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2301240</wp:posOffset>
            </wp:positionH>
            <wp:positionV relativeFrom="page">
              <wp:posOffset>448945</wp:posOffset>
            </wp:positionV>
            <wp:extent cx="295846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October 2,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Kevin Woody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Wynn Resorts, Limited</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Annual Report on Form 10-K for the fiscal year ended December 31,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March 1, 2013</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0-50028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Woody:</w:t>
      </w:r>
    </w:p>
    <w:p>
      <w:pPr>
        <w:spacing w:after="0" w:line="225" w:lineRule="exact"/>
        <w:rPr>
          <w:sz w:val="24"/>
          <w:szCs w:val="24"/>
          <w:color w:val="auto"/>
        </w:rPr>
      </w:pPr>
    </w:p>
    <w:p>
      <w:pPr>
        <w:jc w:val="both"/>
        <w:ind w:right="180"/>
        <w:spacing w:after="0" w:line="264" w:lineRule="auto"/>
        <w:rPr>
          <w:sz w:val="20"/>
          <w:szCs w:val="20"/>
          <w:color w:val="auto"/>
        </w:rPr>
      </w:pPr>
      <w:r>
        <w:rPr>
          <w:rFonts w:ascii="Arial" w:cs="Arial" w:eastAsia="Arial" w:hAnsi="Arial"/>
          <w:sz w:val="18"/>
          <w:szCs w:val="18"/>
          <w:color w:val="auto"/>
        </w:rPr>
        <w:t>We are in receipt of the September 25, 2013 comment letter from you on behalf of the staff (the “Staff”) of the Securities and Exchange Commission (the “Commission”) regarding the Annual Report on Form 10-K filed by Wynn Resorts, Limited (the “Company”) on March 1, 2013. The comment from the September 25, 2013 letter is set forth below, followed by our related response.</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Statements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 Statements of Income, page 75</w:t>
      </w:r>
    </w:p>
    <w:p>
      <w:pPr>
        <w:spacing w:after="0" w:line="131" w:lineRule="exact"/>
        <w:rPr>
          <w:sz w:val="24"/>
          <w:szCs w:val="24"/>
          <w:color w:val="auto"/>
        </w:rPr>
      </w:pPr>
    </w:p>
    <w:p>
      <w:pPr>
        <w:ind w:left="460" w:hanging="452"/>
        <w:spacing w:after="0" w:line="264"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comment 2 and we are unable to agree with your position. Please confirm that you will remove dividends declared per common share from the face of your consolidated statements of income in future annual filings to comply with GAAP. Please note that presentation of dividends declared per common share would be appropriate in quarterly filings.</w:t>
      </w:r>
    </w:p>
    <w:p>
      <w:pPr>
        <w:spacing w:after="0" w:line="73" w:lineRule="exact"/>
        <w:rPr>
          <w:sz w:val="24"/>
          <w:szCs w:val="24"/>
          <w:color w:val="auto"/>
        </w:rPr>
      </w:pPr>
    </w:p>
    <w:p>
      <w:pPr>
        <w:ind w:left="460" w:right="340" w:firstLine="438"/>
        <w:spacing w:after="0" w:line="277" w:lineRule="auto"/>
        <w:rPr>
          <w:sz w:val="20"/>
          <w:szCs w:val="20"/>
          <w:color w:val="auto"/>
        </w:rPr>
      </w:pPr>
      <w:r>
        <w:rPr>
          <w:rFonts w:ascii="Arial" w:cs="Arial" w:eastAsia="Arial" w:hAnsi="Arial"/>
          <w:sz w:val="18"/>
          <w:szCs w:val="18"/>
          <w:color w:val="auto"/>
        </w:rPr>
        <w:t>In future 10-K filings, the Company will remove the disclosure of dividends declared per common share from the face of the Consolidated Statements of Income.</w:t>
      </w:r>
    </w:p>
    <w:p>
      <w:pPr>
        <w:spacing w:after="0" w:line="10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144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acknowledges that:</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be pleased to discuss further any of the responses noted in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 Maddox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35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Ronald O. Mueller</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Gibson, Dunn &amp; Crutcher LLP</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2019-12-07T04:22:33Z</dcterms:created>
  <dcterms:modified xsi:type="dcterms:W3CDTF">2019-12-07T04:22:33Z</dcterms:modified>
</cp:coreProperties>
</file>