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219075</wp:posOffset>
            </wp:positionV>
            <wp:extent cx="274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281305</wp:posOffset>
            </wp:positionV>
            <wp:extent cx="274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21,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40" w:type="dxa"/>
            <w:vAlign w:val="bottom"/>
          </w:tcPr>
          <w:p>
            <w:pPr>
              <w:ind w:left="1800"/>
              <w:spacing w:after="0"/>
              <w:rPr>
                <w:sz w:val="20"/>
                <w:szCs w:val="20"/>
                <w:color w:val="auto"/>
              </w:rPr>
            </w:pPr>
            <w:r>
              <w:rPr>
                <w:rFonts w:ascii="Arial" w:cs="Arial" w:eastAsia="Arial" w:hAnsi="Arial"/>
                <w:sz w:val="18"/>
                <w:szCs w:val="18"/>
                <w:b w:val="1"/>
                <w:bCs w:val="1"/>
                <w:color w:val="auto"/>
              </w:rPr>
              <w:t>000-50028</w:t>
            </w:r>
          </w:p>
        </w:tc>
        <w:tc>
          <w:tcPr>
            <w:tcW w:w="176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40" w:type="dxa"/>
            <w:vAlign w:val="bottom"/>
          </w:tcPr>
          <w:p>
            <w:pPr>
              <w:ind w:left="1780"/>
              <w:spacing w:after="0"/>
              <w:rPr>
                <w:sz w:val="20"/>
                <w:szCs w:val="20"/>
                <w:color w:val="auto"/>
              </w:rPr>
            </w:pPr>
            <w:r>
              <w:rPr>
                <w:rFonts w:ascii="Arial" w:cs="Arial" w:eastAsia="Arial" w:hAnsi="Arial"/>
                <w:sz w:val="14"/>
                <w:szCs w:val="14"/>
                <w:b w:val="1"/>
                <w:bCs w:val="1"/>
                <w:color w:val="auto"/>
              </w:rPr>
              <w:t>(Commission</w:t>
            </w:r>
          </w:p>
        </w:tc>
        <w:tc>
          <w:tcPr>
            <w:tcW w:w="1760" w:type="dxa"/>
            <w:vAlign w:val="bottom"/>
          </w:tcPr>
          <w:p>
            <w:pPr>
              <w:jc w:val="center"/>
              <w:ind w:left="5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2"/>
              </w:rPr>
              <w:t>of incorporation)</w:t>
            </w:r>
          </w:p>
        </w:tc>
        <w:tc>
          <w:tcPr>
            <w:tcW w:w="4740" w:type="dxa"/>
            <w:vAlign w:val="bottom"/>
          </w:tcPr>
          <w:p>
            <w:pPr>
              <w:ind w:left="1780"/>
              <w:spacing w:after="0"/>
              <w:rPr>
                <w:sz w:val="20"/>
                <w:szCs w:val="20"/>
                <w:color w:val="auto"/>
              </w:rPr>
            </w:pPr>
            <w:r>
              <w:rPr>
                <w:rFonts w:ascii="Arial" w:cs="Arial" w:eastAsia="Arial" w:hAnsi="Arial"/>
                <w:sz w:val="14"/>
                <w:szCs w:val="14"/>
                <w:b w:val="1"/>
                <w:bCs w:val="1"/>
                <w:color w:val="auto"/>
              </w:rPr>
              <w:t>File Number)</w:t>
            </w:r>
          </w:p>
        </w:tc>
        <w:tc>
          <w:tcPr>
            <w:tcW w:w="1760" w:type="dxa"/>
            <w:vAlign w:val="bottom"/>
          </w:tcPr>
          <w:p>
            <w:pPr>
              <w:jc w:val="center"/>
              <w:ind w:left="541"/>
              <w:spacing w:after="0"/>
              <w:rPr>
                <w:sz w:val="20"/>
                <w:szCs w:val="20"/>
                <w:color w:val="auto"/>
              </w:rPr>
            </w:pPr>
            <w:r>
              <w:rPr>
                <w:rFonts w:ascii="Arial" w:cs="Arial" w:eastAsia="Arial" w:hAnsi="Arial"/>
                <w:sz w:val="14"/>
                <w:szCs w:val="14"/>
                <w:b w:val="1"/>
                <w:bCs w:val="1"/>
                <w:color w:val="auto"/>
                <w:w w:val="96"/>
              </w:rPr>
              <w:t>Identification No.)</w:t>
            </w:r>
          </w:p>
        </w:tc>
      </w:tr>
      <w:tr>
        <w:trPr>
          <w:trHeight w:val="237"/>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3131 Las Vegas Boulevard South</w:t>
            </w:r>
          </w:p>
        </w:tc>
        <w:tc>
          <w:tcPr>
            <w:tcW w:w="47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40" w:type="dxa"/>
            <w:vAlign w:val="bottom"/>
          </w:tcPr>
          <w:p>
            <w:pPr>
              <w:spacing w:after="0"/>
              <w:rPr>
                <w:sz w:val="20"/>
                <w:szCs w:val="20"/>
                <w:color w:val="auto"/>
              </w:rPr>
            </w:pPr>
          </w:p>
        </w:tc>
        <w:tc>
          <w:tcPr>
            <w:tcW w:w="17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40" w:type="dxa"/>
            <w:vAlign w:val="bottom"/>
          </w:tcPr>
          <w:p>
            <w:pPr>
              <w:spacing w:after="0"/>
              <w:rPr>
                <w:sz w:val="18"/>
                <w:szCs w:val="18"/>
                <w:color w:val="auto"/>
              </w:rPr>
            </w:pPr>
          </w:p>
        </w:tc>
        <w:tc>
          <w:tcPr>
            <w:tcW w:w="1760" w:type="dxa"/>
            <w:vAlign w:val="bottom"/>
          </w:tcPr>
          <w:p>
            <w:pPr>
              <w:jc w:val="center"/>
              <w:ind w:left="5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2820" w:type="dxa"/>
            <w:vAlign w:val="bottom"/>
          </w:tcPr>
          <w:p>
            <w:pPr>
              <w:spacing w:after="0"/>
              <w:rPr>
                <w:sz w:val="23"/>
                <w:szCs w:val="23"/>
                <w:color w:val="auto"/>
              </w:rPr>
            </w:pPr>
          </w:p>
        </w:tc>
        <w:tc>
          <w:tcPr>
            <w:tcW w:w="4740" w:type="dxa"/>
            <w:vAlign w:val="bottom"/>
          </w:tcPr>
          <w:p>
            <w:pPr>
              <w:jc w:val="center"/>
              <w:ind w:right="220"/>
              <w:spacing w:after="0"/>
              <w:rPr>
                <w:sz w:val="20"/>
                <w:szCs w:val="20"/>
                <w:color w:val="auto"/>
              </w:rPr>
            </w:pPr>
            <w:r>
              <w:rPr>
                <w:rFonts w:ascii="Arial" w:cs="Arial" w:eastAsia="Arial" w:hAnsi="Arial"/>
                <w:sz w:val="18"/>
                <w:szCs w:val="18"/>
                <w:b w:val="1"/>
                <w:bCs w:val="1"/>
                <w:color w:val="auto"/>
                <w:w w:val="90"/>
              </w:rPr>
              <w:t>(702) 770-7555</w:t>
            </w:r>
          </w:p>
        </w:tc>
        <w:tc>
          <w:tcPr>
            <w:tcW w:w="176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40" w:type="dxa"/>
            <w:vAlign w:val="bottom"/>
          </w:tcPr>
          <w:p>
            <w:pPr>
              <w:jc w:val="center"/>
              <w:ind w:right="2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6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40" w:type="dxa"/>
            <w:vAlign w:val="bottom"/>
          </w:tcPr>
          <w:p>
            <w:pPr>
              <w:jc w:val="center"/>
              <w:ind w:right="220"/>
              <w:spacing w:after="0"/>
              <w:rPr>
                <w:sz w:val="20"/>
                <w:szCs w:val="20"/>
                <w:color w:val="auto"/>
              </w:rPr>
            </w:pPr>
            <w:r>
              <w:rPr>
                <w:rFonts w:ascii="Arial" w:cs="Arial" w:eastAsia="Arial" w:hAnsi="Arial"/>
                <w:sz w:val="18"/>
                <w:szCs w:val="18"/>
                <w:b w:val="1"/>
                <w:bCs w:val="1"/>
                <w:color w:val="auto"/>
                <w:w w:val="92"/>
              </w:rPr>
              <w:t>Not Applicable</w:t>
            </w:r>
          </w:p>
        </w:tc>
        <w:tc>
          <w:tcPr>
            <w:tcW w:w="176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40" w:type="dxa"/>
            <w:vAlign w:val="bottom"/>
          </w:tcPr>
          <w:p>
            <w:pPr>
              <w:jc w:val="center"/>
              <w:ind w:right="22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6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868" w:right="239" w:bottom="1440" w:gutter="0" w:footer="0" w:header="0"/>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December 21, 2018, Wynn Resorts (Macau) S.A. (“WRM”), an indirect subsidiary of Wynn Resorts, Limited (the “Registrant”) amended its credit facilities, dated September 14, 2004 (and as further amended from time to time), by entering into the Amended Common Terms Agreement with, among others, Bank of China Limited, Macau Branch as the main global coordinating lead arranger and Bank of China Limited, Macau Branch as facilities agent, intercreditor agent and security agent, and a syndicate of lenders.</w:t>
      </w:r>
    </w:p>
    <w:p>
      <w:pPr>
        <w:spacing w:after="0" w:line="18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previously disclosed, WRM’s senior secured credit facilities consist of an approximately US$2.3 billion equivalent senior secured term loan facility (“Term Loan”) and an approximately US$750 million equivalent senior secured revolving credit facility (“Revolving Facility”). The Amended Common Terms Agreement, among other things, extend the maturity dates of the Term Loan and the Revolving Facility.</w:t>
      </w:r>
    </w:p>
    <w:p>
      <w:pPr>
        <w:spacing w:after="0" w:line="18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Term Loan was previously repayable in graduating installments of between 2.50% to 7.33% of the principal amount on a quarterly basis commencing December 2018, with a final installment of 50% of the principal amount repayable in September 2021; and (ii) the final maturity of any outstanding borrowings from the Revolving Facility was previously repayable by September 2020. The terms of the Term Loan and the Revolving Facility have been amended such that, among other things, (i) the Term Loan is repayable in graduating installments of between 2.875% to 4.50% of the principal amount on a quarterly basis commencing September 30, 2020, with a final installment of 75% of the principal amount repayable on June 26, 2022 (or if June 26, 2022 is not a business day, the immediately preceding business day); and (ii) the final maturity of any outstanding borrowings from the Revolving Facility is June 26, 2022 (or if June 26, 2022 is not a business day, the immediately preceding business day), by which time any outstanding borrowings from the Revolving Facility must be repaid.</w:t>
      </w:r>
    </w:p>
    <w:p>
      <w:pPr>
        <w:spacing w:after="0" w:line="192"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lenders and agents under the Amended Common Terms Agreement and certain of their affiliates have performed investment banking, commercial lending and advisory services for WRM, the Registrant, their subsidiaries and their respective affiliates, from time to time, for which they have received customary fees and expenses. These parties may, from time to time, engage in transactions with, and perform services for, WRM, the Registrant, their subsidiaries and their respective affiliates in the ordinary course of their business.</w:t>
      </w:r>
    </w:p>
    <w:p>
      <w:pPr>
        <w:spacing w:after="0" w:line="18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foregoing description of the Amended Common Terms Agreement does not purport to be complete and is qualified in its entirety by reference to the full text of the agreement, a copy of which will be filed as an exhibit to the Registrant’s Annual Report on Form 10-K for the year ended December 31, 2018.</w:t>
      </w:r>
    </w:p>
    <w:p>
      <w:pPr>
        <w:spacing w:after="0" w:line="282"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set forth in Item 1.01 is incorporated herein by reference.</w:t>
      </w:r>
    </w:p>
    <w:p>
      <w:pPr>
        <w:sectPr>
          <w:pgSz w:w="11900" w:h="16838" w:orient="portrait"/>
          <w:cols w:equalWidth="0" w:num="1">
            <w:col w:w="11400"/>
          </w:cols>
          <w:pgMar w:left="240" w:top="526" w:right="25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640" w:val="left"/>
          <w:tab w:leader="none" w:pos="7560" w:val="left"/>
        </w:tabs>
        <w:rPr>
          <w:sz w:val="20"/>
          <w:szCs w:val="20"/>
          <w:color w:val="auto"/>
        </w:rPr>
      </w:pPr>
      <w:r>
        <w:rPr>
          <w:rFonts w:ascii="Arial" w:cs="Arial" w:eastAsia="Arial" w:hAnsi="Arial"/>
          <w:sz w:val="18"/>
          <w:szCs w:val="18"/>
          <w:color w:val="auto"/>
        </w:rPr>
        <w:t>Dated: December 21,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0780"/>
      </w:cols>
      <w:pgMar w:left="240" w:top="36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2019-12-06T20:36:06Z</dcterms:created>
  <dcterms:modified xsi:type="dcterms:W3CDTF">2019-12-06T20:36:06Z</dcterms:modified>
</cp:coreProperties>
</file>