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t>UNITED STATES</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1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June 7, 2007</w:t>
      </w:r>
    </w:p>
    <w:p>
      <w:pPr>
        <w:spacing w:after="0" w:line="21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11" w:lineRule="exact"/>
        <w:rPr>
          <w:sz w:val="24"/>
          <w:szCs w:val="24"/>
          <w:color w:val="auto"/>
        </w:rPr>
      </w:pPr>
    </w:p>
    <w:tbl>
      <w:tblPr>
        <w:tblLayout w:type="fixed"/>
        <w:tblInd w:w="440" w:type="dxa"/>
        <w:tblCellMar>
          <w:top w:w="0" w:type="dxa"/>
          <w:left w:w="0" w:type="dxa"/>
          <w:bottom w:w="0" w:type="dxa"/>
          <w:right w:w="0" w:type="dxa"/>
        </w:tblCellMar>
      </w:tblPr>
      <w:tr>
        <w:trPr>
          <w:trHeight w:val="218"/>
        </w:trPr>
        <w:tc>
          <w:tcPr>
            <w:tcW w:w="234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3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000-50028</w:t>
            </w:r>
          </w:p>
        </w:tc>
        <w:tc>
          <w:tcPr>
            <w:tcW w:w="192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6"/>
              </w:rPr>
              <w:t>46-0484987</w:t>
            </w:r>
          </w:p>
        </w:tc>
      </w:tr>
      <w:tr>
        <w:trPr>
          <w:trHeight w:val="216"/>
        </w:trPr>
        <w:tc>
          <w:tcPr>
            <w:tcW w:w="23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33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(Commission File</w:t>
            </w:r>
          </w:p>
        </w:tc>
        <w:tc>
          <w:tcPr>
            <w:tcW w:w="19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23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33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Number)</w:t>
            </w:r>
          </w:p>
        </w:tc>
        <w:tc>
          <w:tcPr>
            <w:tcW w:w="19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8"/>
              </w:rPr>
              <w:t>Identification Number)</w:t>
            </w:r>
          </w:p>
        </w:tc>
      </w:tr>
      <w:tr>
        <w:trPr>
          <w:trHeight w:val="636"/>
        </w:trPr>
        <w:tc>
          <w:tcPr>
            <w:tcW w:w="2340" w:type="dxa"/>
            <w:vAlign w:val="bottom"/>
          </w:tcPr>
          <w:p>
            <w:pPr>
              <w:spacing w:after="0"/>
              <w:rPr>
                <w:sz w:val="24"/>
                <w:szCs w:val="24"/>
                <w:color w:val="auto"/>
              </w:rPr>
            </w:pPr>
          </w:p>
        </w:tc>
        <w:tc>
          <w:tcPr>
            <w:tcW w:w="3340" w:type="dxa"/>
            <w:vAlign w:val="bottom"/>
          </w:tcPr>
          <w:p>
            <w:pPr>
              <w:jc w:val="center"/>
              <w:ind w:right="692"/>
              <w:spacing w:after="0"/>
              <w:rPr>
                <w:sz w:val="20"/>
                <w:szCs w:val="20"/>
                <w:color w:val="auto"/>
              </w:rPr>
            </w:pPr>
            <w:r>
              <w:rPr>
                <w:rFonts w:ascii="Times New Roman" w:cs="Times New Roman" w:eastAsia="Times New Roman" w:hAnsi="Times New Roman"/>
                <w:sz w:val="18"/>
                <w:szCs w:val="18"/>
                <w:b w:val="1"/>
                <w:bCs w:val="1"/>
                <w:color w:val="auto"/>
                <w:w w:val="95"/>
              </w:rPr>
              <w:t>Wynn Las Vegas, LLC</w:t>
            </w:r>
          </w:p>
        </w:tc>
        <w:tc>
          <w:tcPr>
            <w:tcW w:w="1920" w:type="dxa"/>
            <w:vAlign w:val="bottom"/>
          </w:tcPr>
          <w:p>
            <w:pPr>
              <w:spacing w:after="0"/>
              <w:rPr>
                <w:sz w:val="24"/>
                <w:szCs w:val="24"/>
                <w:color w:val="auto"/>
              </w:rPr>
            </w:pPr>
          </w:p>
        </w:tc>
      </w:tr>
      <w:tr>
        <w:trPr>
          <w:trHeight w:val="228"/>
        </w:trPr>
        <w:tc>
          <w:tcPr>
            <w:tcW w:w="5680" w:type="dxa"/>
            <w:vAlign w:val="bottom"/>
            <w:gridSpan w:val="2"/>
          </w:tcPr>
          <w:p>
            <w:pPr>
              <w:jc w:val="center"/>
              <w:ind w:left="1472"/>
              <w:spacing w:after="0"/>
              <w:rPr>
                <w:sz w:val="20"/>
                <w:szCs w:val="20"/>
                <w:color w:val="auto"/>
              </w:rPr>
            </w:pPr>
            <w:r>
              <w:rPr>
                <w:rFonts w:ascii="Times New Roman" w:cs="Times New Roman" w:eastAsia="Times New Roman" w:hAnsi="Times New Roman"/>
                <w:sz w:val="18"/>
                <w:szCs w:val="18"/>
                <w:color w:val="auto"/>
                <w:w w:val="97"/>
              </w:rPr>
              <w:t>(Exact Name of Registrant as specified in Charter)</w:t>
            </w:r>
          </w:p>
        </w:tc>
        <w:tc>
          <w:tcPr>
            <w:tcW w:w="1920" w:type="dxa"/>
            <w:vAlign w:val="bottom"/>
          </w:tcPr>
          <w:p>
            <w:pPr>
              <w:spacing w:after="0"/>
              <w:rPr>
                <w:sz w:val="19"/>
                <w:szCs w:val="19"/>
                <w:color w:val="auto"/>
              </w:rPr>
            </w:pPr>
          </w:p>
        </w:tc>
      </w:tr>
      <w:tr>
        <w:trPr>
          <w:trHeight w:val="420"/>
        </w:trPr>
        <w:tc>
          <w:tcPr>
            <w:tcW w:w="234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3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333-98369</w:t>
            </w:r>
          </w:p>
        </w:tc>
        <w:tc>
          <w:tcPr>
            <w:tcW w:w="192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6"/>
              </w:rPr>
              <w:t>88-0494878</w:t>
            </w:r>
          </w:p>
        </w:tc>
      </w:tr>
      <w:tr>
        <w:trPr>
          <w:trHeight w:val="216"/>
        </w:trPr>
        <w:tc>
          <w:tcPr>
            <w:tcW w:w="23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33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(Commission File</w:t>
            </w:r>
          </w:p>
        </w:tc>
        <w:tc>
          <w:tcPr>
            <w:tcW w:w="19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23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33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Number)</w:t>
            </w:r>
          </w:p>
        </w:tc>
        <w:tc>
          <w:tcPr>
            <w:tcW w:w="19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8"/>
              </w:rPr>
              <w:t>Identification Number)</w:t>
            </w:r>
          </w:p>
        </w:tc>
      </w:tr>
    </w:tbl>
    <w:p>
      <w:pPr>
        <w:spacing w:after="0" w:line="200" w:lineRule="exact"/>
        <w:rPr>
          <w:sz w:val="24"/>
          <w:szCs w:val="24"/>
          <w:color w:val="auto"/>
        </w:rPr>
      </w:pPr>
    </w:p>
    <w:p>
      <w:pPr>
        <w:spacing w:after="0" w:line="218"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3131 Las Vegas Boulevard South</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Las Vegas, Nevada 89109</w:t>
      </w:r>
    </w:p>
    <w:p>
      <w:pPr>
        <w:spacing w:after="0" w:line="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1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3" w:lineRule="exact"/>
        <w:rPr>
          <w:sz w:val="24"/>
          <w:szCs w:val="24"/>
          <w:color w:val="auto"/>
        </w:rPr>
      </w:pPr>
    </w:p>
    <w:p>
      <w:pPr>
        <w:ind w:right="2259"/>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 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662305</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799465</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2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On June 7, 2007, Wynn Resorts, Limited issued a press release announcing, among other things, that:</w:t>
      </w:r>
    </w:p>
    <w:p>
      <w:pPr>
        <w:spacing w:after="0" w:line="185" w:lineRule="exact"/>
        <w:rPr>
          <w:sz w:val="24"/>
          <w:szCs w:val="24"/>
          <w:color w:val="auto"/>
        </w:rPr>
      </w:pPr>
    </w:p>
    <w:p>
      <w:pPr>
        <w:jc w:val="both"/>
        <w:ind w:left="980" w:right="2119" w:hanging="324"/>
        <w:spacing w:after="0" w:line="183" w:lineRule="auto"/>
        <w:tabs>
          <w:tab w:leader="none" w:pos="980" w:val="left"/>
        </w:tabs>
        <w:numPr>
          <w:ilvl w:val="0"/>
          <w:numId w:val="1"/>
        </w:numPr>
        <w:rPr>
          <w:rFonts w:ascii="Times New Roman" w:cs="Times New Roman" w:eastAsia="Times New Roman" w:hAnsi="Times New Roman"/>
          <w:sz w:val="43"/>
          <w:szCs w:val="43"/>
          <w:b w:val="1"/>
          <w:bCs w:val="1"/>
          <w:color w:val="auto"/>
          <w:vertAlign w:val="subscript"/>
        </w:rPr>
      </w:pPr>
      <w:r>
        <w:rPr>
          <w:rFonts w:ascii="Times New Roman" w:cs="Times New Roman" w:eastAsia="Times New Roman" w:hAnsi="Times New Roman"/>
          <w:sz w:val="16"/>
          <w:szCs w:val="16"/>
          <w:color w:val="auto"/>
        </w:rPr>
        <w:t>its Board of Directors has authorized an equity repurchase program of up to $1.2 billion, which may include purchases of both common stock and 6% Convertible Subordinated Debentures due 2015 (the “convertible debentures”);</w:t>
      </w:r>
    </w:p>
    <w:p>
      <w:pPr>
        <w:sectPr>
          <w:pgSz w:w="11900" w:h="16838" w:orient="portrait"/>
          <w:cols w:equalWidth="0" w:num="1">
            <w:col w:w="10219"/>
          </w:cols>
          <w:pgMar w:left="240" w:top="987" w:right="1440" w:bottom="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jc w:val="both"/>
        <w:ind w:right="2119"/>
        <w:spacing w:after="0" w:line="275" w:lineRule="auto"/>
        <w:rPr>
          <w:sz w:val="20"/>
          <w:szCs w:val="20"/>
          <w:color w:val="auto"/>
        </w:rPr>
      </w:pPr>
      <w:r>
        <w:rPr>
          <w:rFonts w:ascii="Times New Roman" w:cs="Times New Roman" w:eastAsia="Times New Roman" w:hAnsi="Times New Roman"/>
          <w:sz w:val="18"/>
          <w:szCs w:val="18"/>
          <w:color w:val="auto"/>
        </w:rPr>
        <w:t>it intends to call the convertible debentures for redemption on July 20, 2007, in accordance with the terms of the indenture governing the convertible debentures;</w:t>
      </w:r>
    </w:p>
    <w:p>
      <w:pPr>
        <w:spacing w:after="0" w:line="133" w:lineRule="exact"/>
        <w:rPr>
          <w:sz w:val="20"/>
          <w:szCs w:val="20"/>
          <w:color w:val="auto"/>
        </w:rPr>
      </w:pPr>
    </w:p>
    <w:p>
      <w:pPr>
        <w:jc w:val="both"/>
        <w:ind w:right="2099"/>
        <w:spacing w:after="0" w:line="262" w:lineRule="auto"/>
        <w:rPr>
          <w:sz w:val="20"/>
          <w:szCs w:val="20"/>
          <w:color w:val="auto"/>
        </w:rPr>
      </w:pPr>
      <w:r>
        <w:rPr>
          <w:rFonts w:ascii="Times New Roman" w:cs="Times New Roman" w:eastAsia="Times New Roman" w:hAnsi="Times New Roman"/>
          <w:sz w:val="18"/>
          <w:szCs w:val="18"/>
          <w:color w:val="auto"/>
        </w:rPr>
        <w:t>the strong operating results experienced at Wynn Las Vegas and Wynn Macau in the first quarter of 2007 have continued into the second quarter, with results significantly exceeding expectations at both properties; and</w:t>
      </w:r>
    </w:p>
    <w:p>
      <w:pPr>
        <w:spacing w:after="0" w:line="146" w:lineRule="exact"/>
        <w:rPr>
          <w:sz w:val="20"/>
          <w:szCs w:val="20"/>
          <w:color w:val="auto"/>
        </w:rPr>
      </w:pPr>
    </w:p>
    <w:p>
      <w:pPr>
        <w:jc w:val="both"/>
        <w:ind w:right="2119"/>
        <w:spacing w:after="0" w:line="310" w:lineRule="auto"/>
        <w:rPr>
          <w:sz w:val="20"/>
          <w:szCs w:val="20"/>
          <w:color w:val="auto"/>
        </w:rPr>
      </w:pPr>
      <w:r>
        <w:rPr>
          <w:rFonts w:ascii="Times New Roman" w:cs="Times New Roman" w:eastAsia="Times New Roman" w:hAnsi="Times New Roman"/>
          <w:sz w:val="16"/>
          <w:szCs w:val="16"/>
          <w:color w:val="auto"/>
        </w:rPr>
        <w:t>due to the uncertain effect of newly restrictive visa requirements imposed by the central government in China, Wynn Resorts has elected to open only a portion of its Wynn Macau expansion in the third quarter of 2007, with the remaining portion of the expansion to be opened subsequently.</w:t>
      </w:r>
    </w:p>
    <w:p>
      <w:pPr>
        <w:spacing w:after="0" w:line="200" w:lineRule="exact"/>
        <w:rPr>
          <w:sz w:val="20"/>
          <w:szCs w:val="20"/>
          <w:color w:val="auto"/>
        </w:rPr>
      </w:pPr>
    </w:p>
    <w:p>
      <w:pPr>
        <w:sectPr>
          <w:pgSz w:w="11900" w:h="16838" w:orient="portrait"/>
          <w:cols w:equalWidth="0" w:num="2">
            <w:col w:w="740" w:space="240"/>
            <w:col w:w="9239"/>
          </w:cols>
          <w:pgMar w:left="240" w:top="108" w:right="1440" w:bottom="0" w:gutter="0" w:footer="0" w:header="0"/>
        </w:sectPr>
      </w:pP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hereby incorporated by reference.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(d)  Exhibit.</w:t>
            </w:r>
          </w:p>
        </w:tc>
        <w:tc>
          <w:tcPr>
            <w:tcW w:w="220" w:type="dxa"/>
            <w:vAlign w:val="bottom"/>
          </w:tcPr>
          <w:p>
            <w:pPr>
              <w:spacing w:after="0"/>
              <w:rPr>
                <w:sz w:val="19"/>
                <w:szCs w:val="19"/>
                <w:color w:val="auto"/>
              </w:rPr>
            </w:pPr>
          </w:p>
        </w:tc>
        <w:tc>
          <w:tcPr>
            <w:tcW w:w="6860" w:type="dxa"/>
            <w:vAlign w:val="bottom"/>
          </w:tcPr>
          <w:p>
            <w:pPr>
              <w:spacing w:after="0"/>
              <w:rPr>
                <w:sz w:val="19"/>
                <w:szCs w:val="19"/>
                <w:color w:val="auto"/>
              </w:rPr>
            </w:pPr>
          </w:p>
        </w:tc>
      </w:tr>
      <w:tr>
        <w:trPr>
          <w:trHeight w:val="418"/>
        </w:trPr>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686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1"/>
        </w:trPr>
        <w:tc>
          <w:tcPr>
            <w:tcW w:w="4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r>
      <w:tr>
        <w:trPr>
          <w:trHeight w:val="357"/>
        </w:trPr>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99.1</w:t>
            </w:r>
          </w:p>
        </w:tc>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Press release, dated June 7,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770890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2119"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June 7, 2007</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555"/>
        </w:trPr>
        <w:tc>
          <w:tcPr>
            <w:tcW w:w="390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96"/>
        </w:trPr>
        <w:tc>
          <w:tcPr>
            <w:tcW w:w="3900" w:type="dxa"/>
            <w:vAlign w:val="bottom"/>
          </w:tcPr>
          <w:p>
            <w:pPr>
              <w:spacing w:after="0"/>
              <w:rPr>
                <w:sz w:val="17"/>
                <w:szCs w:val="17"/>
                <w:color w:val="auto"/>
              </w:rPr>
            </w:pPr>
          </w:p>
        </w:tc>
        <w:tc>
          <w:tcPr>
            <w:tcW w:w="48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390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728345</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2119"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0"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8"/>
          <w:szCs w:val="18"/>
          <w:color w:val="auto"/>
        </w:rPr>
        <w:t>Date: June 7, 2007</w:t>
      </w:r>
      <w:r>
        <w:rPr>
          <w:sz w:val="20"/>
          <w:szCs w:val="20"/>
          <w:color w:val="auto"/>
        </w:rPr>
        <w:tab/>
      </w:r>
      <w:r>
        <w:rPr>
          <w:rFonts w:ascii="Times New Roman" w:cs="Times New Roman" w:eastAsia="Times New Roman" w:hAnsi="Times New Roman"/>
          <w:sz w:val="16"/>
          <w:szCs w:val="16"/>
          <w:color w:val="auto"/>
        </w:rPr>
        <w:t>WYNN LAS VEGAS, LLC</w:t>
      </w:r>
    </w:p>
    <w:p>
      <w:pPr>
        <w:spacing w:after="0" w:line="158"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18"/>
          <w:szCs w:val="18"/>
          <w:color w:val="auto"/>
        </w:rPr>
        <w:t>By:</w:t>
        <w:tab/>
        <w:t>Wynn Resorts Holdings, LLC, its sole member</w:t>
      </w:r>
    </w:p>
    <w:p>
      <w:pPr>
        <w:spacing w:after="0" w:line="158"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18"/>
          <w:szCs w:val="18"/>
          <w:color w:val="auto"/>
        </w:rPr>
        <w:t>By:</w:t>
        <w:tab/>
        <w:t>Wynn Resorts, Limited, its sole member</w:t>
      </w:r>
    </w:p>
    <w:p>
      <w:pPr>
        <w:spacing w:after="0" w:line="200" w:lineRule="exact"/>
        <w:rPr>
          <w:sz w:val="20"/>
          <w:szCs w:val="20"/>
          <w:color w:val="auto"/>
        </w:rPr>
      </w:pPr>
    </w:p>
    <w:p>
      <w:pPr>
        <w:spacing w:after="0" w:line="228" w:lineRule="exact"/>
        <w:rPr>
          <w:sz w:val="20"/>
          <w:szCs w:val="20"/>
          <w:color w:val="auto"/>
        </w:rPr>
      </w:pPr>
    </w:p>
    <w:tbl>
      <w:tblPr>
        <w:tblLayout w:type="fixed"/>
        <w:tblInd w:w="2920" w:type="dxa"/>
        <w:tblCellMar>
          <w:top w:w="0" w:type="dxa"/>
          <w:left w:w="0" w:type="dxa"/>
          <w:bottom w:w="0" w:type="dxa"/>
          <w:right w:w="0" w:type="dxa"/>
        </w:tblCellMar>
      </w:tblP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96"/>
        </w:trPr>
        <w:tc>
          <w:tcPr>
            <w:tcW w:w="980" w:type="dxa"/>
            <w:vAlign w:val="bottom"/>
          </w:tcPr>
          <w:p>
            <w:pPr>
              <w:spacing w:after="0"/>
              <w:rPr>
                <w:sz w:val="17"/>
                <w:szCs w:val="17"/>
                <w:color w:val="auto"/>
              </w:rPr>
            </w:pPr>
          </w:p>
        </w:tc>
        <w:tc>
          <w:tcPr>
            <w:tcW w:w="48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98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865505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0219"/>
          </w:cols>
          <w:pgMar w:left="240" w:top="10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8"/>
                <w:szCs w:val="18"/>
                <w:color w:val="auto"/>
              </w:rPr>
            </w:pPr>
          </w:p>
        </w:tc>
        <w:tc>
          <w:tcPr>
            <w:tcW w:w="682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1"/>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0" w:type="dxa"/>
            <w:vAlign w:val="bottom"/>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r>
      <w:tr>
        <w:trPr>
          <w:trHeight w:val="357"/>
        </w:trPr>
        <w:tc>
          <w:tcPr>
            <w:tcW w:w="8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99.1</w:t>
            </w:r>
          </w:p>
        </w:tc>
        <w:tc>
          <w:tcPr>
            <w:tcW w:w="7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Press release, dated June 7, 2007</w:t>
            </w:r>
          </w:p>
        </w:tc>
      </w:tr>
    </w:tbl>
    <w:p>
      <w:pPr>
        <w:sectPr>
          <w:pgSz w:w="11900" w:h="16838" w:orient="portrait"/>
          <w:cols w:equalWidth="0" w:num="1">
            <w:col w:w="9819"/>
          </w:cols>
          <w:pgMar w:left="640" w:top="12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Wynn Resorts, Limited Announces Equity Repurchase Program</w:t>
      </w:r>
    </w:p>
    <w:p>
      <w:pPr>
        <w:spacing w:after="0" w:line="89" w:lineRule="exact"/>
        <w:rPr>
          <w:sz w:val="20"/>
          <w:szCs w:val="20"/>
          <w:color w:val="auto"/>
        </w:rPr>
      </w:pPr>
    </w:p>
    <w:p>
      <w:pPr>
        <w:ind w:right="2159"/>
        <w:spacing w:after="0" w:line="235" w:lineRule="auto"/>
        <w:rPr>
          <w:sz w:val="20"/>
          <w:szCs w:val="20"/>
          <w:color w:val="auto"/>
        </w:rPr>
      </w:pPr>
      <w:r>
        <w:rPr>
          <w:rFonts w:ascii="Times New Roman" w:cs="Times New Roman" w:eastAsia="Times New Roman" w:hAnsi="Times New Roman"/>
          <w:sz w:val="22"/>
          <w:szCs w:val="22"/>
          <w:color w:val="auto"/>
        </w:rPr>
        <w:t>June 7, 2007 Las Vegas, NV--(BUSINESS WIRE)—Wynn Resorts, Limited (NASDAQ: WYNN) announced today that its Board of Directors has authorized an equity repurchase program of up to $1.2 billion which may include purchases of both its common stock and its 6% Convertible Debentures due 2015. The repurchase program may include repurchases from time to time through open market purchases or negotiated transactions, depending upon market conditions. The Company intends to call the debentures for redemption on July 20, 2007, in accordance with the terms of the indenture.</w:t>
      </w:r>
    </w:p>
    <w:p>
      <w:pPr>
        <w:spacing w:after="0" w:line="49" w:lineRule="exact"/>
        <w:rPr>
          <w:sz w:val="20"/>
          <w:szCs w:val="20"/>
          <w:color w:val="auto"/>
        </w:rPr>
      </w:pPr>
    </w:p>
    <w:p>
      <w:pPr>
        <w:ind w:right="2339"/>
        <w:spacing w:after="0" w:line="244" w:lineRule="auto"/>
        <w:rPr>
          <w:sz w:val="20"/>
          <w:szCs w:val="20"/>
          <w:color w:val="auto"/>
        </w:rPr>
      </w:pPr>
      <w:r>
        <w:rPr>
          <w:rFonts w:ascii="Times New Roman" w:cs="Times New Roman" w:eastAsia="Times New Roman" w:hAnsi="Times New Roman"/>
          <w:sz w:val="22"/>
          <w:szCs w:val="22"/>
          <w:color w:val="auto"/>
        </w:rPr>
        <w:t>The Company also announced that the strong operating results experienced at Wynn Las Vegas and Wynn Macau in the first quarter of 2007 have continued into the second quarter, with results significantly exceeding expectations at both properties.</w:t>
      </w:r>
    </w:p>
    <w:p>
      <w:pPr>
        <w:spacing w:after="0" w:line="52" w:lineRule="exact"/>
        <w:rPr>
          <w:sz w:val="20"/>
          <w:szCs w:val="20"/>
          <w:color w:val="auto"/>
        </w:rPr>
      </w:pPr>
    </w:p>
    <w:p>
      <w:pPr>
        <w:ind w:right="2219"/>
        <w:spacing w:after="0" w:line="234" w:lineRule="auto"/>
        <w:rPr>
          <w:sz w:val="20"/>
          <w:szCs w:val="20"/>
          <w:color w:val="auto"/>
        </w:rPr>
      </w:pPr>
      <w:r>
        <w:rPr>
          <w:rFonts w:ascii="Times New Roman" w:cs="Times New Roman" w:eastAsia="Times New Roman" w:hAnsi="Times New Roman"/>
          <w:sz w:val="22"/>
          <w:szCs w:val="22"/>
          <w:color w:val="auto"/>
        </w:rPr>
        <w:t>Stephen A. Wynn, Chairman and CEO commented, “While we are very pleased with the positive momentum shown in April and May, we are wary of the future effect of newly restrictive visa requirements imposed by the central government in China which have, in the past few weeks, restricted visitation to Macau from Guangdong province. In addition, management recognizes and will continue to monitor the effect on our business of the dramatic expansion in supply represented by the openings of the Venetian Cotai in August and the MGM Grand Paradise in November. In light of this uncertainty in the marketplace, we have elected to open only a portion of our Wynn Macau expansion in the third quarter of 2007 and to opportunistically provide the additional supply available in the remainder of the expansion.”</w:t>
      </w:r>
    </w:p>
    <w:p>
      <w:pPr>
        <w:spacing w:after="0" w:line="59" w:lineRule="exact"/>
        <w:rPr>
          <w:sz w:val="20"/>
          <w:szCs w:val="20"/>
          <w:color w:val="auto"/>
        </w:rPr>
      </w:pPr>
    </w:p>
    <w:p>
      <w:pPr>
        <w:ind w:right="2279"/>
        <w:spacing w:after="0" w:line="236" w:lineRule="auto"/>
        <w:rPr>
          <w:sz w:val="20"/>
          <w:szCs w:val="20"/>
          <w:color w:val="auto"/>
        </w:rPr>
      </w:pPr>
      <w:r>
        <w:rPr>
          <w:rFonts w:ascii="Times New Roman" w:cs="Times New Roman" w:eastAsia="Times New Roman" w:hAnsi="Times New Roman"/>
          <w:sz w:val="22"/>
          <w:szCs w:val="22"/>
          <w:color w:val="auto"/>
        </w:rPr>
        <w:t>The Company intends to open approximately 25,000 square feet of additional gaming space at Wynn Macau in the third quarter of 2007, which will include approximately 25 table games and 200 slot machines, along with an additional restaurant. The remaining portion of the expansion will be opened subsequently. Design and budgeting for the Wynn Diamond Suites hotel tower previously announced for Wynn Macau continues, with an early 2010 opening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179"/>
        <w:spacing w:after="0" w:line="233" w:lineRule="auto"/>
        <w:rPr>
          <w:sz w:val="20"/>
          <w:szCs w:val="20"/>
          <w:color w:val="auto"/>
        </w:rPr>
      </w:pPr>
      <w:r>
        <w:rPr>
          <w:rFonts w:ascii="Times New Roman" w:cs="Times New Roman" w:eastAsia="Times New Roman" w:hAnsi="Times New Roman"/>
          <w:sz w:val="22"/>
          <w:szCs w:val="22"/>
          <w:color w:val="auto"/>
        </w:rPr>
        <w:t>Wynn Resorts, Limited is traded on the Nasdaq National Market under the ticker symbol WYNN and is part of the NASDAQ-100 Index. The Company owns and operates Wynn Las Vegas (www.wynnlasvegas.com), a luxury hotel and destination casino resorts located on the Las Vegas Strip.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On September 6, 2006, Wynn Macau, a destination casino resort in the Macau Special Administrative Region of the People's Republic of China, opened. Wynn Macau currently features 600 deluxe hotel rooms and suites; approximately 256 table games and 477 slot machines in approximately 110,000 square feet of casino gaming space; casual and fine dining in four restaurants; approximately 26,000 square feet of retail space; a health club, pool and spa, along with lounges and meeting facilities.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AT WYNN RESORTS: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Samanta Stewart, (702) 770-7555</w:t>
      </w:r>
    </w:p>
    <w:p>
      <w:pPr>
        <w:spacing w:after="0"/>
        <w:rPr>
          <w:sz w:val="20"/>
          <w:szCs w:val="20"/>
          <w:color w:val="auto"/>
        </w:rPr>
      </w:pPr>
      <w:r>
        <w:rPr>
          <w:rFonts w:ascii="Times New Roman" w:cs="Times New Roman" w:eastAsia="Times New Roman" w:hAnsi="Times New Roman"/>
          <w:sz w:val="22"/>
          <w:szCs w:val="22"/>
          <w:color w:val="auto"/>
        </w:rPr>
        <w:t>investorrelations@wynnresorts.com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Wynn Resorts, Limited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4"/>
          <w:szCs w:val="14"/>
          <w:color w:val="auto"/>
        </w:rPr>
        <w:t>Page 2</w:t>
      </w:r>
    </w:p>
    <w:sectPr>
      <w:pgSz w:w="11900" w:h="16838" w:orient="portrait"/>
      <w:cols w:equalWidth="0" w:num="1">
        <w:col w:w="10219"/>
      </w:cols>
      <w:pgMar w:left="2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2019-12-15T06:09:43Z</dcterms:created>
  <dcterms:modified xsi:type="dcterms:W3CDTF">2019-12-15T06:09:43Z</dcterms:modified>
</cp:coreProperties>
</file>