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151130</wp:posOffset>
            </wp:positionV>
            <wp:extent cx="29171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89"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182880</wp:posOffset>
            </wp:positionV>
            <wp:extent cx="29171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6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April 18, 2018</w:t>
      </w:r>
    </w:p>
    <w:p>
      <w:pPr>
        <w:spacing w:after="0" w:line="172"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108" w:type="dxa"/>
        <w:tblCellMar>
          <w:top w:w="0" w:type="dxa"/>
          <w:left w:w="0" w:type="dxa"/>
          <w:bottom w:w="0" w:type="dxa"/>
          <w:right w:w="0" w:type="dxa"/>
        </w:tblCellMar>
      </w:tblPr>
      <w:tr>
        <w:trPr>
          <w:trHeight w:val="157"/>
        </w:trPr>
        <w:tc>
          <w:tcPr>
            <w:tcW w:w="2520" w:type="dxa"/>
            <w:vAlign w:val="bottom"/>
          </w:tcPr>
          <w:p>
            <w:pPr>
              <w:jc w:val="center"/>
              <w:ind w:right="766"/>
              <w:spacing w:after="0"/>
              <w:rPr>
                <w:sz w:val="20"/>
                <w:szCs w:val="20"/>
                <w:color w:val="auto"/>
              </w:rPr>
            </w:pPr>
            <w:r>
              <w:rPr>
                <w:rFonts w:ascii="Arial" w:cs="Arial" w:eastAsia="Arial" w:hAnsi="Arial"/>
                <w:sz w:val="12"/>
                <w:szCs w:val="12"/>
                <w:b w:val="1"/>
                <w:bCs w:val="1"/>
                <w:color w:val="auto"/>
                <w:w w:val="88"/>
              </w:rPr>
              <w:t>Nevada</w:t>
            </w:r>
          </w:p>
        </w:tc>
        <w:tc>
          <w:tcPr>
            <w:tcW w:w="4480" w:type="dxa"/>
            <w:vAlign w:val="bottom"/>
          </w:tcPr>
          <w:p>
            <w:pPr>
              <w:ind w:left="1920"/>
              <w:spacing w:after="0"/>
              <w:rPr>
                <w:sz w:val="20"/>
                <w:szCs w:val="20"/>
                <w:color w:val="auto"/>
              </w:rPr>
            </w:pPr>
            <w:r>
              <w:rPr>
                <w:rFonts w:ascii="Arial" w:cs="Arial" w:eastAsia="Arial" w:hAnsi="Arial"/>
                <w:sz w:val="12"/>
                <w:szCs w:val="12"/>
                <w:b w:val="1"/>
                <w:bCs w:val="1"/>
                <w:color w:val="auto"/>
              </w:rPr>
              <w:t>000-50028</w:t>
            </w:r>
          </w:p>
        </w:tc>
        <w:tc>
          <w:tcPr>
            <w:tcW w:w="1860" w:type="dxa"/>
            <w:vAlign w:val="bottom"/>
          </w:tcPr>
          <w:p>
            <w:pPr>
              <w:jc w:val="right"/>
              <w:ind w:right="27"/>
              <w:spacing w:after="0"/>
              <w:rPr>
                <w:sz w:val="20"/>
                <w:szCs w:val="20"/>
                <w:color w:val="auto"/>
              </w:rPr>
            </w:pPr>
            <w:r>
              <w:rPr>
                <w:rFonts w:ascii="Arial" w:cs="Arial" w:eastAsia="Arial" w:hAnsi="Arial"/>
                <w:sz w:val="12"/>
                <w:szCs w:val="12"/>
                <w:b w:val="1"/>
                <w:bCs w:val="1"/>
                <w:color w:val="auto"/>
              </w:rPr>
              <w:t>46-0484987</w:t>
            </w:r>
          </w:p>
        </w:tc>
      </w:tr>
      <w:tr>
        <w:trPr>
          <w:trHeight w:val="121"/>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(State or other jurisdiction</w:t>
            </w:r>
          </w:p>
        </w:tc>
        <w:tc>
          <w:tcPr>
            <w:tcW w:w="4480" w:type="dxa"/>
            <w:vAlign w:val="bottom"/>
          </w:tcPr>
          <w:p>
            <w:pPr>
              <w:ind w:left="1900"/>
              <w:spacing w:after="0"/>
              <w:rPr>
                <w:sz w:val="20"/>
                <w:szCs w:val="20"/>
                <w:color w:val="auto"/>
              </w:rPr>
            </w:pPr>
            <w:r>
              <w:rPr>
                <w:rFonts w:ascii="Arial" w:cs="Arial" w:eastAsia="Arial" w:hAnsi="Arial"/>
                <w:sz w:val="10"/>
                <w:szCs w:val="10"/>
                <w:b w:val="1"/>
                <w:bCs w:val="1"/>
                <w:color w:val="auto"/>
              </w:rPr>
              <w:t>(Commission</w:t>
            </w:r>
          </w:p>
        </w:tc>
        <w:tc>
          <w:tcPr>
            <w:tcW w:w="1860" w:type="dxa"/>
            <w:vAlign w:val="bottom"/>
          </w:tcPr>
          <w:p>
            <w:pPr>
              <w:jc w:val="center"/>
              <w:ind w:left="1067"/>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of incorporation)</w:t>
            </w:r>
          </w:p>
        </w:tc>
        <w:tc>
          <w:tcPr>
            <w:tcW w:w="4480" w:type="dxa"/>
            <w:vAlign w:val="bottom"/>
          </w:tcPr>
          <w:p>
            <w:pPr>
              <w:ind w:left="1900"/>
              <w:spacing w:after="0"/>
              <w:rPr>
                <w:sz w:val="20"/>
                <w:szCs w:val="20"/>
                <w:color w:val="auto"/>
              </w:rPr>
            </w:pPr>
            <w:r>
              <w:rPr>
                <w:rFonts w:ascii="Arial" w:cs="Arial" w:eastAsia="Arial" w:hAnsi="Arial"/>
                <w:sz w:val="10"/>
                <w:szCs w:val="10"/>
                <w:b w:val="1"/>
                <w:bCs w:val="1"/>
                <w:color w:val="auto"/>
              </w:rPr>
              <w:t>File Number)</w:t>
            </w:r>
          </w:p>
        </w:tc>
        <w:tc>
          <w:tcPr>
            <w:tcW w:w="1860" w:type="dxa"/>
            <w:vAlign w:val="bottom"/>
          </w:tcPr>
          <w:p>
            <w:pPr>
              <w:jc w:val="center"/>
              <w:ind w:left="1047"/>
              <w:spacing w:after="0"/>
              <w:rPr>
                <w:sz w:val="20"/>
                <w:szCs w:val="20"/>
                <w:color w:val="auto"/>
              </w:rPr>
            </w:pPr>
            <w:r>
              <w:rPr>
                <w:rFonts w:ascii="Arial" w:cs="Arial" w:eastAsia="Arial" w:hAnsi="Arial"/>
                <w:sz w:val="10"/>
                <w:szCs w:val="10"/>
                <w:b w:val="1"/>
                <w:bCs w:val="1"/>
                <w:color w:val="auto"/>
                <w:w w:val="89"/>
              </w:rPr>
              <w:t>Identification No.)</w:t>
            </w: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3131 Las Vegas Boulevard South</w:t>
            </w:r>
          </w:p>
        </w:tc>
        <w:tc>
          <w:tcPr>
            <w:tcW w:w="44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Las Vegas, Nevada</w:t>
            </w:r>
          </w:p>
        </w:tc>
        <w:tc>
          <w:tcPr>
            <w:tcW w:w="4480" w:type="dxa"/>
            <w:vAlign w:val="bottom"/>
          </w:tcPr>
          <w:p>
            <w:pPr>
              <w:spacing w:after="0"/>
              <w:rPr>
                <w:sz w:val="13"/>
                <w:szCs w:val="13"/>
                <w:color w:val="auto"/>
              </w:rPr>
            </w:pPr>
          </w:p>
        </w:tc>
        <w:tc>
          <w:tcPr>
            <w:tcW w:w="1860" w:type="dxa"/>
            <w:vAlign w:val="bottom"/>
          </w:tcPr>
          <w:p>
            <w:pPr>
              <w:jc w:val="right"/>
              <w:ind w:right="167"/>
              <w:spacing w:after="0"/>
              <w:rPr>
                <w:sz w:val="20"/>
                <w:szCs w:val="20"/>
                <w:color w:val="auto"/>
              </w:rPr>
            </w:pPr>
            <w:r>
              <w:rPr>
                <w:rFonts w:ascii="Arial" w:cs="Arial" w:eastAsia="Arial" w:hAnsi="Arial"/>
                <w:sz w:val="12"/>
                <w:szCs w:val="12"/>
                <w:b w:val="1"/>
                <w:bCs w:val="1"/>
                <w:color w:val="auto"/>
              </w:rPr>
              <w:t>89109</w:t>
            </w:r>
          </w:p>
        </w:tc>
      </w:tr>
      <w:tr>
        <w:trPr>
          <w:trHeight w:val="145"/>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4480" w:type="dxa"/>
            <w:vAlign w:val="bottom"/>
          </w:tcPr>
          <w:p>
            <w:pPr>
              <w:spacing w:after="0"/>
              <w:rPr>
                <w:sz w:val="12"/>
                <w:szCs w:val="12"/>
                <w:color w:val="auto"/>
              </w:rPr>
            </w:pPr>
          </w:p>
        </w:tc>
        <w:tc>
          <w:tcPr>
            <w:tcW w:w="1860" w:type="dxa"/>
            <w:vAlign w:val="bottom"/>
          </w:tcPr>
          <w:p>
            <w:pPr>
              <w:jc w:val="center"/>
              <w:ind w:left="1047"/>
              <w:spacing w:after="0"/>
              <w:rPr>
                <w:sz w:val="20"/>
                <w:szCs w:val="20"/>
                <w:color w:val="auto"/>
              </w:rPr>
            </w:pPr>
            <w:r>
              <w:rPr>
                <w:rFonts w:ascii="Arial" w:cs="Arial" w:eastAsia="Arial" w:hAnsi="Arial"/>
                <w:sz w:val="10"/>
                <w:szCs w:val="10"/>
                <w:b w:val="1"/>
                <w:bCs w:val="1"/>
                <w:color w:val="auto"/>
                <w:w w:val="88"/>
              </w:rPr>
              <w:t>(Zip Code)</w:t>
            </w:r>
          </w:p>
        </w:tc>
      </w:tr>
      <w:tr>
        <w:trPr>
          <w:trHeight w:val="183"/>
        </w:trPr>
        <w:tc>
          <w:tcPr>
            <w:tcW w:w="2520" w:type="dxa"/>
            <w:vAlign w:val="bottom"/>
          </w:tcPr>
          <w:p>
            <w:pPr>
              <w:spacing w:after="0"/>
              <w:rPr>
                <w:sz w:val="15"/>
                <w:szCs w:val="15"/>
                <w:color w:val="auto"/>
              </w:rPr>
            </w:pPr>
          </w:p>
        </w:tc>
        <w:tc>
          <w:tcPr>
            <w:tcW w:w="4480" w:type="dxa"/>
            <w:vAlign w:val="bottom"/>
          </w:tcPr>
          <w:p>
            <w:pPr>
              <w:jc w:val="center"/>
              <w:ind w:right="207"/>
              <w:spacing w:after="0"/>
              <w:rPr>
                <w:sz w:val="20"/>
                <w:szCs w:val="20"/>
                <w:color w:val="auto"/>
              </w:rPr>
            </w:pPr>
            <w:r>
              <w:rPr>
                <w:rFonts w:ascii="Arial" w:cs="Arial" w:eastAsia="Arial" w:hAnsi="Arial"/>
                <w:sz w:val="12"/>
                <w:szCs w:val="12"/>
                <w:b w:val="1"/>
                <w:bCs w:val="1"/>
                <w:color w:val="auto"/>
                <w:w w:val="90"/>
              </w:rPr>
              <w:t>(702) 770-7555</w:t>
            </w:r>
          </w:p>
        </w:tc>
        <w:tc>
          <w:tcPr>
            <w:tcW w:w="1860" w:type="dxa"/>
            <w:vAlign w:val="bottom"/>
          </w:tcPr>
          <w:p>
            <w:pPr>
              <w:spacing w:after="0"/>
              <w:rPr>
                <w:sz w:val="15"/>
                <w:szCs w:val="15"/>
                <w:color w:val="auto"/>
              </w:rPr>
            </w:pPr>
          </w:p>
        </w:tc>
      </w:tr>
      <w:tr>
        <w:trPr>
          <w:trHeight w:val="110"/>
        </w:trPr>
        <w:tc>
          <w:tcPr>
            <w:tcW w:w="2520" w:type="dxa"/>
            <w:vAlign w:val="bottom"/>
          </w:tcPr>
          <w:p>
            <w:pPr>
              <w:spacing w:after="0"/>
              <w:rPr>
                <w:sz w:val="9"/>
                <w:szCs w:val="9"/>
                <w:color w:val="auto"/>
              </w:rPr>
            </w:pPr>
          </w:p>
        </w:tc>
        <w:tc>
          <w:tcPr>
            <w:tcW w:w="4480" w:type="dxa"/>
            <w:vAlign w:val="bottom"/>
          </w:tcPr>
          <w:p>
            <w:pPr>
              <w:jc w:val="center"/>
              <w:ind w:right="187"/>
              <w:spacing w:after="0" w:line="110" w:lineRule="exact"/>
              <w:rPr>
                <w:sz w:val="20"/>
                <w:szCs w:val="20"/>
                <w:color w:val="auto"/>
              </w:rPr>
            </w:pPr>
            <w:r>
              <w:rPr>
                <w:rFonts w:ascii="Arial" w:cs="Arial" w:eastAsia="Arial" w:hAnsi="Arial"/>
                <w:sz w:val="10"/>
                <w:szCs w:val="10"/>
                <w:b w:val="1"/>
                <w:bCs w:val="1"/>
                <w:color w:val="auto"/>
                <w:w w:val="85"/>
              </w:rPr>
              <w:t>(Registrant’s telephone number, including area code)</w:t>
            </w:r>
          </w:p>
        </w:tc>
        <w:tc>
          <w:tcPr>
            <w:tcW w:w="1860" w:type="dxa"/>
            <w:vAlign w:val="bottom"/>
          </w:tcPr>
          <w:p>
            <w:pPr>
              <w:spacing w:after="0"/>
              <w:rPr>
                <w:sz w:val="9"/>
                <w:szCs w:val="9"/>
                <w:color w:val="auto"/>
              </w:rPr>
            </w:pPr>
          </w:p>
        </w:tc>
      </w:tr>
      <w:tr>
        <w:trPr>
          <w:trHeight w:val="143"/>
        </w:trPr>
        <w:tc>
          <w:tcPr>
            <w:tcW w:w="2520" w:type="dxa"/>
            <w:vAlign w:val="bottom"/>
          </w:tcPr>
          <w:p>
            <w:pPr>
              <w:spacing w:after="0"/>
              <w:rPr>
                <w:sz w:val="12"/>
                <w:szCs w:val="12"/>
                <w:color w:val="auto"/>
              </w:rPr>
            </w:pPr>
          </w:p>
        </w:tc>
        <w:tc>
          <w:tcPr>
            <w:tcW w:w="4480" w:type="dxa"/>
            <w:vAlign w:val="bottom"/>
          </w:tcPr>
          <w:p>
            <w:pPr>
              <w:jc w:val="center"/>
              <w:ind w:right="207"/>
              <w:spacing w:after="0"/>
              <w:rPr>
                <w:sz w:val="20"/>
                <w:szCs w:val="20"/>
                <w:color w:val="auto"/>
              </w:rPr>
            </w:pPr>
            <w:r>
              <w:rPr>
                <w:rFonts w:ascii="Arial" w:cs="Arial" w:eastAsia="Arial" w:hAnsi="Arial"/>
                <w:sz w:val="12"/>
                <w:szCs w:val="12"/>
                <w:b w:val="1"/>
                <w:bCs w:val="1"/>
                <w:color w:val="auto"/>
                <w:w w:val="92"/>
              </w:rPr>
              <w:t>Not Applicable</w:t>
            </w:r>
          </w:p>
        </w:tc>
        <w:tc>
          <w:tcPr>
            <w:tcW w:w="1860" w:type="dxa"/>
            <w:vAlign w:val="bottom"/>
          </w:tcPr>
          <w:p>
            <w:pPr>
              <w:spacing w:after="0"/>
              <w:rPr>
                <w:sz w:val="12"/>
                <w:szCs w:val="12"/>
                <w:color w:val="auto"/>
              </w:rPr>
            </w:pPr>
          </w:p>
        </w:tc>
      </w:tr>
      <w:tr>
        <w:trPr>
          <w:trHeight w:val="124"/>
        </w:trPr>
        <w:tc>
          <w:tcPr>
            <w:tcW w:w="2520" w:type="dxa"/>
            <w:vAlign w:val="bottom"/>
          </w:tcPr>
          <w:p>
            <w:pPr>
              <w:spacing w:after="0"/>
              <w:rPr>
                <w:sz w:val="10"/>
                <w:szCs w:val="10"/>
                <w:color w:val="auto"/>
              </w:rPr>
            </w:pPr>
          </w:p>
        </w:tc>
        <w:tc>
          <w:tcPr>
            <w:tcW w:w="4480" w:type="dxa"/>
            <w:vAlign w:val="bottom"/>
          </w:tcPr>
          <w:p>
            <w:pPr>
              <w:jc w:val="center"/>
              <w:ind w:right="20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860" w:type="dxa"/>
            <w:vAlign w:val="bottom"/>
          </w:tcPr>
          <w:p>
            <w:pPr>
              <w:spacing w:after="0"/>
              <w:rPr>
                <w:sz w:val="10"/>
                <w:szCs w:val="10"/>
                <w:color w:val="auto"/>
              </w:rPr>
            </w:pPr>
          </w:p>
        </w:tc>
      </w:tr>
    </w:tbl>
    <w:p>
      <w:pPr>
        <w:spacing w:after="0" w:line="278"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6" w:lineRule="exact"/>
        <w:rPr>
          <w:sz w:val="24"/>
          <w:szCs w:val="24"/>
          <w:color w:val="auto"/>
        </w:rPr>
      </w:pPr>
    </w:p>
    <w:p>
      <w:pPr>
        <w:ind w:left="8" w:right="340"/>
        <w:spacing w:after="0" w:line="24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002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2" w:lineRule="exact"/>
        <w:rPr>
          <w:sz w:val="24"/>
          <w:szCs w:val="24"/>
          <w:color w:val="auto"/>
        </w:rPr>
      </w:pPr>
    </w:p>
    <w:p>
      <w:pPr>
        <w:ind w:left="8" w:right="10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8"/>
          </w:cols>
          <w:pgMar w:left="212" w:top="499" w:right="199" w:bottom="1440" w:gutter="0" w:footer="0" w:header="0"/>
        </w:sectPr>
      </w:pPr>
    </w:p>
    <w:bookmarkStart w:id="1" w:name="page2"/>
    <w:bookmarkEnd w:id="1"/>
    <w:p>
      <w:pPr>
        <w:ind w:left="20"/>
        <w:spacing w:after="0"/>
        <w:tabs>
          <w:tab w:leader="none" w:pos="1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226"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On April 18, 2018, Wynn Macau, Limited ("WML"), an indirect subsidiary of Wynn Resorts, Limited (the "Registrant") with its ordinary shares of common stock listed on The Stock Exchange of Hong Kong Limited (the "HKSE"), filed with the HKSE its annual report in respect of the year ended December 31, 2017 (the "Annual Report").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22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5940" w:type="dxa"/>
            <w:vAlign w:val="bottom"/>
            <w:gridSpan w:val="2"/>
          </w:tcPr>
          <w:p>
            <w:pPr>
              <w:ind w:left="38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1220" w:type="dxa"/>
            <w:vAlign w:val="bottom"/>
          </w:tcPr>
          <w:p>
            <w:pPr>
              <w:ind w:left="260"/>
              <w:spacing w:after="0"/>
              <w:rPr>
                <w:sz w:val="20"/>
                <w:szCs w:val="20"/>
                <w:color w:val="auto"/>
              </w:rPr>
            </w:pPr>
            <w:r>
              <w:rPr>
                <w:rFonts w:ascii="Arial" w:cs="Arial" w:eastAsia="Arial" w:hAnsi="Arial"/>
                <w:sz w:val="12"/>
                <w:szCs w:val="12"/>
                <w:color w:val="auto"/>
              </w:rPr>
              <w:t>(d) Exhibits.</w:t>
            </w:r>
          </w:p>
        </w:tc>
        <w:tc>
          <w:tcPr>
            <w:tcW w:w="16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41"/>
        </w:trPr>
        <w:tc>
          <w:tcPr>
            <w:tcW w:w="1220" w:type="dxa"/>
            <w:vAlign w:val="bottom"/>
          </w:tcPr>
          <w:p>
            <w:pPr>
              <w:spacing w:after="0"/>
              <w:rPr>
                <w:sz w:val="20"/>
                <w:szCs w:val="20"/>
                <w:color w:val="auto"/>
              </w:rPr>
            </w:pPr>
            <w:r>
              <w:rPr>
                <w:rFonts w:ascii="Arial" w:cs="Arial" w:eastAsia="Arial" w:hAnsi="Arial"/>
                <w:sz w:val="10"/>
                <w:szCs w:val="10"/>
                <w:b w:val="1"/>
                <w:bCs w:val="1"/>
                <w:color w:val="auto"/>
              </w:rPr>
              <w:t>Exhibit No.</w:t>
            </w:r>
          </w:p>
        </w:tc>
        <w:tc>
          <w:tcPr>
            <w:tcW w:w="16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0"/>
                <w:szCs w:val="10"/>
                <w:b w:val="1"/>
                <w:bCs w:val="1"/>
                <w:color w:val="auto"/>
              </w:rPr>
              <w:t>Description</w:t>
            </w:r>
          </w:p>
        </w:tc>
      </w:tr>
      <w:tr>
        <w:trPr>
          <w:trHeight w:val="143"/>
        </w:trPr>
        <w:tc>
          <w:tcPr>
            <w:tcW w:w="1220" w:type="dxa"/>
            <w:vAlign w:val="bottom"/>
          </w:tcPr>
          <w:p>
            <w:pPr>
              <w:spacing w:after="0"/>
              <w:rPr>
                <w:sz w:val="20"/>
                <w:szCs w:val="20"/>
                <w:color w:val="auto"/>
              </w:rPr>
            </w:pPr>
            <w:r>
              <w:rPr>
                <w:rFonts w:ascii="Arial" w:cs="Arial" w:eastAsia="Arial" w:hAnsi="Arial"/>
                <w:sz w:val="12"/>
                <w:szCs w:val="12"/>
                <w:color w:val="auto"/>
              </w:rPr>
              <w:t>99.1</w:t>
            </w:r>
          </w:p>
        </w:tc>
        <w:tc>
          <w:tcPr>
            <w:tcW w:w="1640" w:type="dxa"/>
            <w:vAlign w:val="bottom"/>
          </w:tcPr>
          <w:p>
            <w:pPr>
              <w:spacing w:after="0"/>
              <w:rPr>
                <w:sz w:val="12"/>
                <w:szCs w:val="12"/>
                <w:color w:val="auto"/>
              </w:rPr>
            </w:pPr>
          </w:p>
        </w:tc>
        <w:tc>
          <w:tcPr>
            <w:tcW w:w="4300" w:type="dxa"/>
            <w:vAlign w:val="bottom"/>
            <w:tcBorders>
              <w:bottom w:val="single" w:sz="8" w:color="0000FF"/>
            </w:tcBorders>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Annual Report of Wynn Macau, Limited in respect of the year ended December 31, 2017.</w:t>
              </w:r>
            </w:hyperlink>
          </w:p>
        </w:tc>
      </w:tr>
    </w:tbl>
    <w:p>
      <w:pPr>
        <w:sectPr>
          <w:pgSz w:w="11900" w:h="16838" w:orient="portrait"/>
          <w:cols w:equalWidth="0" w:num="1">
            <w:col w:w="11440"/>
          </w:cols>
          <w:pgMar w:left="220" w:top="865"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59" w:lineRule="exact"/>
        <w:rPr>
          <w:sz w:val="20"/>
          <w:szCs w:val="20"/>
          <w:color w:val="auto"/>
        </w:rPr>
      </w:pPr>
    </w:p>
    <w:p>
      <w:pPr>
        <w:ind w:left="7340"/>
        <w:spacing w:after="0"/>
        <w:rPr>
          <w:sz w:val="20"/>
          <w:szCs w:val="20"/>
          <w:color w:val="auto"/>
        </w:rPr>
      </w:pPr>
      <w:r>
        <w:rPr>
          <w:rFonts w:ascii="Arial" w:cs="Arial" w:eastAsia="Arial" w:hAnsi="Arial"/>
          <w:sz w:val="12"/>
          <w:szCs w:val="12"/>
          <w:b w:val="1"/>
          <w:bCs w:val="1"/>
          <w:color w:val="auto"/>
        </w:rPr>
        <w:t>WYNN RESORTS, LIMITED</w:t>
      </w:r>
    </w:p>
    <w:p>
      <w:pPr>
        <w:sectPr>
          <w:pgSz w:w="11900" w:h="16838" w:orient="portrait"/>
          <w:cols w:equalWidth="0" w:num="1">
            <w:col w:w="10219"/>
          </w:cols>
          <w:pgMar w:left="240" w:top="433" w:right="1440"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Dated: April 18, 2018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26250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5090" cy="571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3">
            <w:col w:w="5720" w:space="720"/>
            <w:col w:w="180" w:space="720"/>
            <w:col w:w="2879"/>
          </w:cols>
          <w:pgMar w:left="240" w:top="433" w:right="1440" w:bottom="1440" w:gutter="0" w:footer="0" w:header="0"/>
          <w:type w:val="continuous"/>
        </w:sectPr>
      </w:pPr>
    </w:p>
    <w:p>
      <w:pPr>
        <w:ind w:left="6440"/>
        <w:spacing w:after="0"/>
        <w:rPr>
          <w:sz w:val="20"/>
          <w:szCs w:val="20"/>
          <w:color w:val="auto"/>
        </w:rPr>
      </w:pPr>
      <w:r>
        <w:rPr>
          <w:rFonts w:ascii="Arial" w:cs="Arial" w:eastAsia="Arial" w:hAnsi="Arial"/>
          <w:sz w:val="12"/>
          <w:szCs w:val="12"/>
          <w:color w:val="auto"/>
        </w:rPr>
        <w:t>Craig S. Billings</w:t>
      </w:r>
    </w:p>
    <w:p>
      <w:pPr>
        <w:spacing w:after="0" w:line="42"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Chief Financial Officer and Treasurer</w:t>
      </w:r>
    </w:p>
    <w:p>
      <w:pPr>
        <w:spacing w:after="0" w:line="42" w:lineRule="exact"/>
        <w:rPr>
          <w:sz w:val="20"/>
          <w:szCs w:val="20"/>
          <w:color w:val="auto"/>
        </w:rPr>
      </w:pPr>
    </w:p>
    <w:p>
      <w:pPr>
        <w:ind w:left="644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0219"/>
          </w:cols>
          <w:pgMar w:left="240" w:top="433" w:right="1440"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6502400</wp:posOffset>
            </wp:positionV>
            <wp:extent cx="724471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6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6497320</wp:posOffset>
            </wp:positionV>
            <wp:extent cx="724471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6497320</wp:posOffset>
            </wp:positionV>
            <wp:extent cx="724471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2019-12-28T23:08:53Z</dcterms:created>
  <dcterms:modified xsi:type="dcterms:W3CDTF">2019-12-28T23:08:53Z</dcterms:modified>
</cp:coreProperties>
</file>