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UNDER</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tbl>
      <w:tblPr>
        <w:tblW w:w="4001"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0"/>
        <w:gridCol w:w="420"/>
        <w:gridCol w:w="599"/>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Las Vegas, Nevada 89109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Wynn Resorts, Limited Second Amended and Restated 2014 Omnibus Incentive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Jacqui Krum</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General Counsel and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3131 Las Vegas Boulevard South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Las Vegas, Nevada 89109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(Name and address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770-7555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 of agent for service)</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0"/>
        </w:rPr>
        <w:t>Copies to</w:t>
      </w:r>
      <w:r>
        <w:rPr>
          <w:rFonts w:ascii="Times New Roman;serif" w:hAnsi="Times New Roman;serif"/>
          <w:b w:val="false"/>
          <w:color w:val="000000"/>
          <w:sz w:val="2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Robert M. Hayward, P.C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Katie J. Holahan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Kirkland &amp; Ellis LLP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33 West Wolf Point Plaza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Chicago, IL 60654</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566"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S-8 (this "Registration Statement") is being filed to register an additional 500,000 shares of common stock, $0.01 par value per share (the "Common Stock") of Wynn Resorts, Limited (the “Registrant”), that may become available for issuance under the Wynn Resorts, Limited Second Amended and Restated 2014 Omnibus Incentive Plan (the "Plan") pursuant to certain share recycling and other terms and conditions of the Plan.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 previously filed the following registration statements with the Securities and Exchange Commission (the “Commission”) relating to shares of Common Stock issuable under the Plan: Registration Statement on Form S-8 (File No. 333-196113) filed on May 20, 2014, Registration Statement on Form S-8 (File No. 333-239579) filed on June 30, 2020 and Registration Statement on Form S-8 (File No. 333-281485) filed on August 12, 2024 (collectively, the “Prior Registration Statements”). The Prior Registration Statements are currently effective. This Registration Statement relates to securities of the same class as those to which the Prior Registration Statements relate and is submitted in accordance with General Instruction E of Form S-8 regarding registration of additional securities. Pursuant to General Instruction E of Form S-8, the contents of the Prior Registration Statements, including all attachments and exhibits thereto and the periodic and current reports that we filed with the Commission under the Securities Exchange Act of 1934, as amended, </w:t>
      </w: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effectiveness of the Prior Registration Statements, are incorporated herein by reference except to the extent supplemented, amended or superseded by the information set forth herein. Any items in the Prior Registration Statements not expressly changed hereby shall be as set forth in the Prior Registration Statements.</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4"/>
        <w:gridCol w:w="2694"/>
        <w:gridCol w:w="38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Ninth Amended and Restated Bylaws of the Registrant. (Incorporated by reference from the Annual Report on Form 10-K</w:t>
              </w:r>
            </w:hyperlink>
            <w:r>
              <w:rPr>
                <w:rFonts w:ascii="Times New Roman;serif" w:hAnsi="Times New Roman;serif"/>
                <w:b w:val="false"/>
                <w:color w:val="000000"/>
                <w:sz w:val="20"/>
              </w:rPr>
              <w:t xml:space="preserve">, </w:t>
            </w:r>
            <w:hyperlink r:id="rId4">
              <w:r>
                <w:rPr>
                  <w:rStyle w:val="InternetLink"/>
                  <w:rFonts w:ascii="Times New Roman;serif" w:hAnsi="Times New Roman;serif"/>
                  <w:b w:val="false"/>
                  <w:color w:val="0000FF"/>
                  <w:sz w:val="20"/>
                  <w:u w:val="single"/>
                </w:rPr>
                <w:t>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rownsteinhya.htm">
              <w:r>
                <w:rPr>
                  <w:rStyle w:val="InternetLink"/>
                  <w:rFonts w:ascii="Times New Roman;serif" w:hAnsi="Times New Roman;serif"/>
                  <w:b w:val="false"/>
                  <w:color w:val="000080"/>
                  <w:sz w:val="20"/>
                  <w:u w:val="single"/>
                </w:rPr>
                <w:t xml:space="preserve">Opinion of </w:t>
              </w:r>
            </w:hyperlink>
            <w:hyperlink w:anchor="ex51opinionofbrownsteinhya.htm">
              <w:r>
                <w:rPr>
                  <w:rStyle w:val="InternetLink"/>
                  <w:rFonts w:ascii="Times New Roman;serif" w:hAnsi="Times New Roman;serif"/>
                  <w:b w:val="false"/>
                  <w:color w:val="000080"/>
                  <w:sz w:val="20"/>
                  <w:u w:val="single"/>
                </w:rPr>
                <w:t>Brownstein Hyatt Fa</w:t>
              </w:r>
            </w:hyperlink>
            <w:hyperlink w:anchor="ex51opinionofbrownsteinhya.htm">
              <w:r>
                <w:rPr>
                  <w:rStyle w:val="InternetLink"/>
                  <w:rFonts w:ascii="Times New Roman;serif" w:hAnsi="Times New Roman;serif"/>
                  <w:b w:val="false"/>
                  <w:color w:val="000080"/>
                  <w:sz w:val="20"/>
                  <w:u w:val="single"/>
                </w:rPr>
                <w:t>r</w:t>
              </w:r>
            </w:hyperlink>
            <w:hyperlink w:anchor="ex51opinionofbrownsteinhya.htm">
              <w:r>
                <w:rPr>
                  <w:rStyle w:val="InternetLink"/>
                  <w:rFonts w:ascii="Times New Roman;serif" w:hAnsi="Times New Roman;serif"/>
                  <w:b w:val="false"/>
                  <w:color w:val="000080"/>
                  <w:sz w:val="20"/>
                  <w:u w:val="single"/>
                </w:rPr>
                <w:t>ber Sch</w:t>
              </w:r>
            </w:hyperlink>
            <w:hyperlink w:anchor="ex51opinionofbrownsteinhya.htm">
              <w:r>
                <w:rPr>
                  <w:rStyle w:val="InternetLink"/>
                  <w:rFonts w:ascii="Times New Roman;serif" w:hAnsi="Times New Roman;serif"/>
                  <w:b w:val="false"/>
                  <w:color w:val="000080"/>
                  <w:sz w:val="20"/>
                  <w:u w:val="single"/>
                </w:rPr>
                <w:t>reck, LLP</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Second Amended and Restated 2014 Omnibus Incentive Pla</w:t>
              </w:r>
            </w:hyperlink>
            <w:hyperlink r:id="rId6">
              <w:r>
                <w:rPr>
                  <w:rStyle w:val="InternetLink"/>
                  <w:rFonts w:ascii="Times New Roman;serif" w:hAnsi="Times New Roman;serif"/>
                  <w:b w:val="false"/>
                  <w:color w:val="000080"/>
                  <w:sz w:val="20"/>
                  <w:u w:val="single"/>
                </w:rPr>
                <w:t>n</w:t>
              </w:r>
            </w:hyperlink>
            <w:hyperlink r:id="rId7">
              <w:r>
                <w:rPr>
                  <w:rStyle w:val="InternetLink"/>
                  <w:rFonts w:ascii="Times New Roman;serif" w:hAnsi="Times New Roman;serif"/>
                  <w:b w:val="false"/>
                  <w:color w:val="000080"/>
                  <w:sz w:val="20"/>
                  <w:u w:val="single"/>
                </w:rPr>
                <w:t xml:space="preserve"> (Incorporated by reference from the R</w:t>
              </w:r>
            </w:hyperlink>
            <w:hyperlink r:id="rId8">
              <w:r>
                <w:rPr>
                  <w:rStyle w:val="InternetLink"/>
                  <w:rFonts w:ascii="Times New Roman;serif" w:hAnsi="Times New Roman;serif"/>
                  <w:b w:val="false"/>
                  <w:color w:val="000080"/>
                  <w:sz w:val="20"/>
                  <w:u w:val="single"/>
                </w:rPr>
                <w:t>egistration Statement on Form S-8, filed by the Reg</w:t>
              </w:r>
            </w:hyperlink>
            <w:hyperlink r:id="rId9">
              <w:r>
                <w:rPr>
                  <w:rStyle w:val="InternetLink"/>
                  <w:rFonts w:ascii="Times New Roman;serif" w:hAnsi="Times New Roman;serif"/>
                  <w:b w:val="false"/>
                  <w:color w:val="000080"/>
                  <w:sz w:val="20"/>
                  <w:u w:val="single"/>
                </w:rPr>
                <w:t>istrant on August 12. 2</w:t>
              </w:r>
            </w:hyperlink>
            <w:hyperlink r:id="rId10">
              <w:r>
                <w:rPr>
                  <w:rStyle w:val="InternetLink"/>
                  <w:rFonts w:ascii="Times New Roman;serif" w:hAnsi="Times New Roman;serif"/>
                  <w:b w:val="false"/>
                  <w:color w:val="000080"/>
                  <w:sz w:val="20"/>
                  <w:u w:val="single"/>
                </w:rPr>
                <w:t>0</w:t>
              </w:r>
            </w:hyperlink>
            <w:hyperlink r:id="rId11">
              <w:r>
                <w:rPr>
                  <w:rStyle w:val="InternetLink"/>
                  <w:rFonts w:ascii="Times New Roman;serif" w:hAnsi="Times New Roman;serif"/>
                  <w:b w:val="false"/>
                  <w:color w:val="000080"/>
                  <w:sz w:val="20"/>
                  <w:u w:val="single"/>
                </w:rPr>
                <w:t>24</w:t>
              </w:r>
            </w:hyperlink>
            <w:hyperlink r:id="rId12">
              <w:r>
                <w:rPr>
                  <w:rStyle w:val="InternetLink"/>
                  <w:rFonts w:ascii="Times New Roman;serif" w:hAnsi="Times New Roman;serif"/>
                  <w:b w:val="false"/>
                  <w:color w:val="000080"/>
                  <w:sz w:val="20"/>
                  <w:u w:val="single"/>
                </w:rPr>
                <w: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consentofindependent.htm">
              <w:r>
                <w:rPr>
                  <w:rStyle w:val="InternetLink"/>
                  <w:rFonts w:ascii="Times New Roman;serif" w:hAnsi="Times New Roman;serif"/>
                  <w:b w:val="false"/>
                  <w:color w:val="0000FF"/>
                  <w:sz w:val="20"/>
                  <w:u w:val="single"/>
                </w:rPr>
                <w:t>Consent of Independent Registered Public Accounting Firm</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opinionofbrownsteinhya.htm">
              <w:r>
                <w:rPr>
                  <w:rStyle w:val="InternetLink"/>
                  <w:rFonts w:ascii="Times New Roman;serif" w:hAnsi="Times New Roman;serif"/>
                  <w:b w:val="false"/>
                  <w:color w:val="000080"/>
                  <w:sz w:val="20"/>
                  <w:u w:val="single"/>
                </w:rPr>
                <w:t xml:space="preserve">Consent of </w:t>
              </w:r>
            </w:hyperlink>
            <w:hyperlink w:anchor="ex51opinionofbrownsteinhya.htm">
              <w:r>
                <w:rPr>
                  <w:rStyle w:val="InternetLink"/>
                  <w:rFonts w:ascii="Times New Roman;serif" w:hAnsi="Times New Roman;serif"/>
                  <w:b w:val="false"/>
                  <w:color w:val="000080"/>
                  <w:sz w:val="20"/>
                  <w:u w:val="single"/>
                </w:rPr>
                <w:t>Brownstein Hyatt Fa</w:t>
              </w:r>
            </w:hyperlink>
            <w:hyperlink w:anchor="ex51opinionofbrownsteinhya.htm">
              <w:r>
                <w:rPr>
                  <w:rStyle w:val="InternetLink"/>
                  <w:rFonts w:ascii="Times New Roman;serif" w:hAnsi="Times New Roman;serif"/>
                  <w:b w:val="false"/>
                  <w:color w:val="000080"/>
                  <w:sz w:val="20"/>
                  <w:u w:val="single"/>
                </w:rPr>
                <w:t>r</w:t>
              </w:r>
            </w:hyperlink>
            <w:hyperlink w:anchor="ex51opinionofbrownsteinhya.htm">
              <w:r>
                <w:rPr>
                  <w:rStyle w:val="InternetLink"/>
                  <w:rFonts w:ascii="Times New Roman;serif" w:hAnsi="Times New Roman;serif"/>
                  <w:b w:val="false"/>
                  <w:color w:val="000080"/>
                  <w:sz w:val="20"/>
                  <w:u w:val="single"/>
                </w:rPr>
                <w:t>ber Sch</w:t>
              </w:r>
            </w:hyperlink>
            <w:hyperlink w:anchor="ex51opinionofbrownsteinhya.htm">
              <w:r>
                <w:rPr>
                  <w:rStyle w:val="InternetLink"/>
                  <w:rFonts w:ascii="Times New Roman;serif" w:hAnsi="Times New Roman;serif"/>
                  <w:b w:val="false"/>
                  <w:color w:val="000080"/>
                  <w:sz w:val="20"/>
                  <w:u w:val="single"/>
                </w:rPr>
                <w:t xml:space="preserve">reck, LLP </w:t>
              </w:r>
            </w:hyperlink>
            <w:hyperlink w:anchor="ex51opinionofbrownsteinhya.htm">
              <w:r>
                <w:rPr>
                  <w:rStyle w:val="InternetLink"/>
                  <w:rFonts w:ascii="Times New Roman;serif" w:hAnsi="Times New Roman;serif"/>
                  <w:b w:val="false"/>
                  <w:color w:val="000080"/>
                  <w:sz w:val="20"/>
                  <w:u w:val="single"/>
                </w:rPr>
                <w:t>(included in Exhibit 5.1)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ca76686fbf4c0186adf26e5dc913ce_4">
              <w:r>
                <w:rPr>
                  <w:rStyle w:val="InternetLink"/>
                  <w:rFonts w:ascii="Times New Roman;serif" w:hAnsi="Times New Roman;serif"/>
                  <w:b w:val="false"/>
                  <w:color w:val="0000FF"/>
                  <w:sz w:val="20"/>
                  <w:u w:val="single"/>
                </w:rPr>
                <w:t>Power of Attorney of officers and directors of the Registrant (included on signature page of this registration statement)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filingfees.htm">
              <w:r>
                <w:rPr>
                  <w:rStyle w:val="InternetLink"/>
                  <w:rFonts w:ascii="Times New Roman;serif" w:hAnsi="Times New Roman;serif"/>
                  <w:b w:val="false"/>
                  <w:color w:val="0000FF"/>
                  <w:sz w:val="20"/>
                  <w:u w:val="single"/>
                </w:rPr>
                <w:t>Calculation of Filing Fee Table</w:t>
              </w:r>
            </w:hyperlink>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this Registration Statement or any material change to such information in this Registration Statement;</w:t>
      </w:r>
    </w:p>
    <w:p>
      <w:pPr>
        <w:pStyle w:val="TextBody"/>
        <w:bidi w:val="0"/>
        <w:spacing w:lineRule="auto" w:line="288" w:before="120" w:after="283"/>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(b)The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30th day of March, 2026.</w:t>
      </w:r>
    </w:p>
    <w:p>
      <w:pPr>
        <w:pStyle w:val="TextBody"/>
        <w:bidi w:val="0"/>
        <w:spacing w:lineRule="auto" w:line="288" w:before="0" w:after="0"/>
        <w:jc w:val="right"/>
        <w:rPr>
          <w:color w:val="000000"/>
        </w:rPr>
      </w:pPr>
      <w:r>
        <w:rPr>
          <w:color w:val="000000"/>
        </w:rPr>
        <w:t> </w:t>
      </w:r>
    </w:p>
    <w:tbl>
      <w:tblPr>
        <w:tblW w:w="5707" w:type="dxa"/>
        <w:jc w:val="right"/>
        <w:tblInd w:w="0" w:type="dxa"/>
        <w:tblLayout w:type="fixed"/>
        <w:tblCellMar>
          <w:top w:w="28" w:type="dxa"/>
          <w:left w:w="28" w:type="dxa"/>
          <w:bottom w:w="28" w:type="dxa"/>
          <w:right w:w="28" w:type="dxa"/>
        </w:tblCellMar>
      </w:tblPr>
      <w:tblGrid>
        <w:gridCol w:w="721"/>
        <w:gridCol w:w="634"/>
        <w:gridCol w:w="640"/>
        <w:gridCol w:w="109"/>
        <w:gridCol w:w="109"/>
        <w:gridCol w:w="109"/>
        <w:gridCol w:w="134"/>
        <w:gridCol w:w="134"/>
        <w:gridCol w:w="136"/>
        <w:gridCol w:w="109"/>
        <w:gridCol w:w="109"/>
        <w:gridCol w:w="109"/>
        <w:gridCol w:w="777"/>
        <w:gridCol w:w="777"/>
        <w:gridCol w:w="1100"/>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Cameron-Doe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Julie Cameron-Doe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Craig S. Billings, Julie Cameron-Doe and Jacqui Krum and each of them, his or her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 indicated.</w:t>
      </w:r>
    </w:p>
    <w:p>
      <w:pPr>
        <w:pStyle w:val="TextBody"/>
        <w:bidi w:val="0"/>
        <w:spacing w:lineRule="auto" w:line="288" w:before="0" w:after="0"/>
        <w:jc w:val="left"/>
        <w:rPr>
          <w:color w:val="000000"/>
        </w:rPr>
      </w:pPr>
      <w:r>
        <w:rPr>
          <w:color w:val="000000"/>
        </w:rPr>
        <w:t> </w:t>
      </w:r>
    </w:p>
    <w:tbl>
      <w:tblPr>
        <w:tblW w:w="8617"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1418"/>
        <w:gridCol w:w="1418"/>
        <w:gridCol w:w="1438"/>
        <w:gridCol w:w="109"/>
        <w:gridCol w:w="109"/>
        <w:gridCol w:w="109"/>
        <w:gridCol w:w="419"/>
        <w:gridCol w:w="419"/>
        <w:gridCol w:w="60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S. Billings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Cameron-Doe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Cameron Doe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Betsy S. Atkins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Betsy S. Atkins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Byrne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Byrne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Liu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Liu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M. Sanfilippo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M. Sanfilippo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Darnell Strom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Darnell Strom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Winifred Webb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30, 2026</w:t>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Winifred Webb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107filingfees.htm"/>
      <w:bookmarkStart w:id="1" w:name="ksex107filingfees"/>
      <w:bookmarkStart w:id="2" w:name="ex107filingfees.htm"/>
      <w:bookmarkStart w:id="3" w:name="ksex107filingfees"/>
      <w:bookmarkEnd w:id="2"/>
      <w:bookmarkEnd w:id="3"/>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WYNN RESORTS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$0.01 par value per share </w:t>
            </w:r>
          </w:p>
        </w:tc>
        <w:tc>
          <w:tcPr>
            <w:tcW w:w="1293" w:type="dxa"/>
            <w:tcBorders/>
            <w:shd w:fill="E7E7E2" w:val="clear"/>
            <w:vAlign w:val="center"/>
          </w:tcPr>
          <w:p>
            <w:pPr>
              <w:pStyle w:val="TableContents"/>
              <w:bidi w:val="0"/>
              <w:spacing w:before="0" w:after="283"/>
              <w:jc w:val="center"/>
              <w:rPr/>
            </w:pPr>
            <w:r>
              <w:rPr/>
              <w:t xml:space="preserve">457(a) </w:t>
            </w:r>
          </w:p>
        </w:tc>
        <w:tc>
          <w:tcPr>
            <w:tcW w:w="1202" w:type="dxa"/>
            <w:tcBorders/>
            <w:shd w:fill="E7E7E2" w:val="clear"/>
            <w:vAlign w:val="center"/>
          </w:tcPr>
          <w:p>
            <w:pPr>
              <w:pStyle w:val="TableContents"/>
              <w:bidi w:val="0"/>
              <w:spacing w:before="0" w:after="283"/>
              <w:jc w:val="right"/>
              <w:rPr/>
            </w:pPr>
            <w:r>
              <w:rPr/>
              <w:t xml:space="preserve">500,000 </w:t>
            </w:r>
          </w:p>
        </w:tc>
        <w:tc>
          <w:tcPr>
            <w:tcW w:w="1214" w:type="dxa"/>
            <w:tcBorders/>
            <w:shd w:fill="E7E7E2" w:val="clear"/>
            <w:vAlign w:val="center"/>
          </w:tcPr>
          <w:p>
            <w:pPr>
              <w:pStyle w:val="TableContents"/>
              <w:bidi w:val="0"/>
              <w:spacing w:before="0" w:after="283"/>
              <w:jc w:val="right"/>
              <w:rPr/>
            </w:pPr>
            <w:r>
              <w:rPr/>
              <w:t xml:space="preserve">$ 101.65 </w:t>
            </w:r>
          </w:p>
        </w:tc>
        <w:tc>
          <w:tcPr>
            <w:tcW w:w="1702" w:type="dxa"/>
            <w:tcBorders/>
            <w:shd w:fill="E7E7E2" w:val="clear"/>
            <w:vAlign w:val="center"/>
          </w:tcPr>
          <w:p>
            <w:pPr>
              <w:pStyle w:val="TableContents"/>
              <w:bidi w:val="0"/>
              <w:spacing w:before="0" w:after="283"/>
              <w:jc w:val="right"/>
              <w:rPr/>
            </w:pPr>
            <w:r>
              <w:rPr/>
              <w:t xml:space="preserve">$ 50,825,000.00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$ 7,018.93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4" w:name="MaxAggtOfferingPrice"/>
            <w:bookmarkEnd w:id="4"/>
            <w:r>
              <w:rPr/>
              <w:t xml:space="preserve">$ 50,825,000.00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$ 7,018.93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7" w:name="NetFeeAmt"/>
            <w:bookmarkEnd w:id="7"/>
            <w:r>
              <w:rPr/>
              <w:t xml:space="preserve">$ 7,018.93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3"/>
        <w:gridCol w:w="8710"/>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be deemed to cover additional shares of Common Stock that may become issuable with respect to the shares of Common Stock registered hereunder as a result of any stock dividend, stock split, recapitalization or other similar transaction. The proposed maximum aggregate offering price per unit and the maximum aggregate offering price is 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March 24,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both"/>
        <w:rPr/>
      </w:pPr>
      <w:r>
        <w:rPr/>
      </w:r>
    </w:p>
    <w:tbl>
      <w:tblPr>
        <w:tblW w:w="9881" w:type="dxa"/>
        <w:jc w:val="left"/>
        <w:tblInd w:w="0" w:type="dxa"/>
        <w:tblLayout w:type="fixed"/>
        <w:tblCellMar>
          <w:top w:w="28" w:type="dxa"/>
          <w:left w:w="28" w:type="dxa"/>
          <w:bottom w:w="28" w:type="dxa"/>
          <w:right w:w="28" w:type="dxa"/>
        </w:tblCellMar>
      </w:tblPr>
      <w:tblGrid>
        <w:gridCol w:w="1080"/>
        <w:gridCol w:w="950"/>
        <w:gridCol w:w="951"/>
        <w:gridCol w:w="2021"/>
        <w:gridCol w:w="2021"/>
        <w:gridCol w:w="2858"/>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76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13"/>
                          <a:stretch>
                            <a:fillRect/>
                          </a:stretch>
                        </pic:blipFill>
                        <pic:spPr bwMode="auto">
                          <a:xfrm>
                            <a:off x="0" y="0"/>
                            <a:ext cx="1828800" cy="276225"/>
                          </a:xfrm>
                          <a:prstGeom prst="rect">
                            <a:avLst/>
                          </a:prstGeom>
                        </pic:spPr>
                      </pic:pic>
                    </a:graphicData>
                  </a:graphic>
                </wp:inline>
              </w:drawing>
            </w:r>
          </w:p>
        </w:tc>
        <w:tc>
          <w:tcPr>
            <w:tcW w:w="6900" w:type="dxa"/>
            <w:gridSpan w:val="3"/>
            <w:tcBorders/>
            <w:tcMar>
              <w:top w:w="0" w:type="dxa"/>
              <w:left w:w="0" w:type="dxa"/>
              <w:bottom w:w="0" w:type="dxa"/>
              <w:right w:w="0" w:type="dxa"/>
            </w:tcMar>
            <w:vAlign w:val="center"/>
          </w:tcPr>
          <w:p>
            <w:pPr>
              <w:pStyle w:val="TableContents"/>
              <w:bidi w:val="0"/>
              <w:spacing w:lineRule="auto" w:line="331" w:before="0" w:after="0"/>
              <w:jc w:val="left"/>
              <w:rPr/>
            </w:pPr>
            <w:r>
              <w:rPr>
                <w:rFonts w:ascii="Verdana;sans-serif" w:hAnsi="Verdana;sans-serif"/>
                <w:b/>
                <w:color w:val="051C2C"/>
                <w:sz w:val="16"/>
              </w:rPr>
              <w:t xml:space="preserve">Brownstein Hyatt Farber Schreck, LLP </w:t>
            </w:r>
            <w:r>
              <w:rPr>
                <w:color w:val="000000"/>
              </w:rPr>
              <w:t xml:space="preserve">                         </w:t>
            </w:r>
            <w:r>
              <w:rPr>
                <w:rFonts w:ascii="Verdana;sans-serif" w:hAnsi="Verdana;sans-serif"/>
                <w:b w:val="false"/>
                <w:color w:val="000000"/>
                <w:sz w:val="16"/>
              </w:rPr>
              <w:t xml:space="preserve">702.382.2101 main </w:t>
            </w:r>
          </w:p>
          <w:p>
            <w:pPr>
              <w:pStyle w:val="TableContents"/>
              <w:bidi w:val="0"/>
              <w:spacing w:lineRule="auto" w:line="331" w:before="0" w:after="0"/>
              <w:jc w:val="left"/>
              <w:rPr>
                <w:rFonts w:ascii="Verdana;sans-serif" w:hAnsi="Verdana;sans-serif"/>
                <w:b w:val="false"/>
                <w:color w:val="000000"/>
                <w:sz w:val="16"/>
              </w:rPr>
            </w:pPr>
            <w:r>
              <w:rPr>
                <w:rFonts w:ascii="Verdana;sans-serif" w:hAnsi="Verdana;sans-serif"/>
                <w:b w:val="false"/>
                <w:color w:val="000000"/>
                <w:sz w:val="16"/>
              </w:rPr>
              <w:t>100 North City Parkway, Suite 1600</w:t>
            </w:r>
          </w:p>
          <w:p>
            <w:pPr>
              <w:pStyle w:val="TableContents"/>
              <w:bidi w:val="0"/>
              <w:spacing w:lineRule="auto" w:line="331" w:before="0" w:after="0"/>
              <w:jc w:val="left"/>
              <w:rPr>
                <w:rFonts w:ascii="Verdana;sans-serif" w:hAnsi="Verdana;sans-serif"/>
                <w:b w:val="false"/>
                <w:color w:val="000000"/>
                <w:sz w:val="16"/>
              </w:rPr>
            </w:pPr>
            <w:r>
              <w:rPr>
                <w:rFonts w:ascii="Verdana;sans-serif" w:hAnsi="Verdana;sans-serif"/>
                <w:b w:val="false"/>
                <w:color w:val="000000"/>
                <w:sz w:val="16"/>
              </w:rPr>
              <w:t>Las Vegas, NV 89106</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Limited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3131 Las Vegas Boulevard South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Nevada 89109</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addressee set forth above: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have acted as local Nevada counsel to Wynn Resorts, Limited, a Nevada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in connection with the filing by the Company of a Registration Statement on Form S-8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val="false"/>
          <w:color w:val="000000"/>
          <w:sz w:val="20"/>
          <w:u w:val="single"/>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val="false"/>
          <w:color w:val="000000"/>
          <w:sz w:val="20"/>
          <w:u w:val="single"/>
        </w:rPr>
        <w:t>Act</w:t>
      </w:r>
      <w:r>
        <w:rPr>
          <w:color w:val="000000"/>
        </w:rPr>
        <w:t>”</w:t>
      </w:r>
      <w:r>
        <w:rPr>
          <w:rFonts w:ascii="Times New Roman;serif" w:hAnsi="Times New Roman;serif"/>
          <w:b w:val="false"/>
          <w:color w:val="000000"/>
          <w:sz w:val="20"/>
        </w:rPr>
        <w:t>), relating to the registration of an additional 500,000 shares (the “</w:t>
      </w:r>
      <w:r>
        <w:rPr>
          <w:rFonts w:ascii="Times New Roman;serif" w:hAnsi="Times New Roman;serif"/>
          <w:b w:val="false"/>
          <w:color w:val="000000"/>
          <w:sz w:val="20"/>
          <w:u w:val="single"/>
        </w:rPr>
        <w:t>Shares</w:t>
      </w:r>
      <w:r>
        <w:rPr>
          <w:color w:val="000000"/>
        </w:rPr>
        <w:t>”</w:t>
      </w:r>
      <w:r>
        <w:rPr>
          <w:rFonts w:ascii="Times New Roman;serif" w:hAnsi="Times New Roman;serif"/>
          <w:b w:val="false"/>
          <w:color w:val="000000"/>
          <w:sz w:val="20"/>
        </w:rPr>
        <w:t>) of the Company’s common stock, par value $0.01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issuable under the Wynn Resorts, Limited Second Amended and Restated 2014 Omnibus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This opinion letter is being delivered at your request, pursuant to the requirements of Item 601(b)(5) of Regulation S-K under the Act.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capacity as such counsel, we are familiar with the proceedings taken and proposed to be taken by the Company in connection with the authorization and issuance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issuing the opinion hereinafter expressed, we have (a) made such legal and factual examinations and inquiries, including an examination of originals or copies certified or otherwise identified to our satisfaction as being true copies of (i) the Registration Statement, (ii) the Plan, (iii) the Company’s articles of incorporation and bylaws, and (iv) such other agreements, instruments, corporate records (including resolutions of the board of directors and any committee thereof and of the stockholders of the Company)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Without limiting the generality of the foregoing, we have, with your permission, assumed without independent verification that (i) the Plan is a valid, binding and enforceable obligation of the Company; (ii) each natural person executing a document had at all relevant times and has sufficient legal capacity to do so; (iii) all documents submitted to us as originals are authentic, the signatures on all documents we reviewed are genuine and all documents submitted to us as certified, conformed, photostatic, electronic or facsimile copies conform to the original document; (iv) the statements of fact and representations and warranties set forth in the documents we have reviewed, including the Plan, are and will at all relevant times be, true and correct as to factual matters; (v) all corporate records made available to us by the Company, and all public records we have reviewed, are accurate and complete; and (vi) after the issuance of any Shares, the total number of issued and outstanding shares of Common Stock, together with the total number of shares of Common Stock then reserved for issuance or obligated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issued by the Company pursuant to any agreement, plan or arrangement, including the Plan, or otherwise, will not exceed the total number of shares of Common Stock then authorized under the Company’s articles of incorporation.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 the Shares will be validly issued, fully paid and non-assessable.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such time as the Registration Statement is declared effective. No opinion is offered or implied as to any matter, and no inference may be drawn, beyond the strict scope of the specific issues expressly addressed by the opinion set forth herein.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 Brownstein Hyatt Farber Schreck, LLP</w:t>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 (Form S-8) pertaining to the Second Amended and Restated 2014 Omnibus Incentive Plan of Wynn Resorts, Limited of our reports dated March 2, 2026, with respect to the consolidated financial statements of Wynn Resorts, Limited, and the effectiveness of internal control over financial reporting of Wynn Resorts, Limited, included in its Annual Report (Form 10-K) for the year ended December 31, 2025 and the financial statement schedule of Wynn Resorts, Limited included therein, filed with the Securities and Exchange Commission.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March 30, 2026</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0000024/ex32-bylaws.htm" TargetMode="External"/><Relationship Id="rId5" Type="http://schemas.openxmlformats.org/officeDocument/2006/relationships/hyperlink" Target="https://www.sec.gov/Archives/edgar/data/1174922/000117492224000101/ex101-secondamendedandrest.htm" TargetMode="External"/><Relationship Id="rId6" Type="http://schemas.openxmlformats.org/officeDocument/2006/relationships/hyperlink" Target="https://www.sec.gov/Archives/edgar/data/1174922/000117492224000101/ex101-secondamendedandrest.htm" TargetMode="External"/><Relationship Id="rId7" Type="http://schemas.openxmlformats.org/officeDocument/2006/relationships/hyperlink" Target="https://www.sec.gov/Archives/edgar/data/1174922/000117492224000101/ex101-secondamendedandrest.htm" TargetMode="External"/><Relationship Id="rId8" Type="http://schemas.openxmlformats.org/officeDocument/2006/relationships/hyperlink" Target="https://www.sec.gov/Archives/edgar/data/1174922/000117492224000101/ex101-secondamendedandrest.htm" TargetMode="External"/><Relationship Id="rId9" Type="http://schemas.openxmlformats.org/officeDocument/2006/relationships/hyperlink" Target="https://www.sec.gov/Archives/edgar/data/1174922/000117492224000101/ex101-secondamendedandrest.htm" TargetMode="External"/><Relationship Id="rId10" Type="http://schemas.openxmlformats.org/officeDocument/2006/relationships/hyperlink" Target="https://www.sec.gov/Archives/edgar/data/1174922/000117492224000101/ex101-secondamendedandrest.htm" TargetMode="External"/><Relationship Id="rId11" Type="http://schemas.openxmlformats.org/officeDocument/2006/relationships/hyperlink" Target="https://www.sec.gov/Archives/edgar/data/1174922/000117492224000101/ex101-secondamendedandrest.htm" TargetMode="External"/><Relationship Id="rId12" Type="http://schemas.openxmlformats.org/officeDocument/2006/relationships/hyperlink" Target="https://www.sec.gov/Archives/edgar/data/1174922/000117492224000101/ex101-secondamendedandrest.htm" TargetMode="External"/><Relationship Id="rId13" Type="http://schemas.openxmlformats.org/officeDocument/2006/relationships/image" Target="media/image1.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3042</Words>
  <Characters>16451</Characters>
  <CharactersWithSpaces>19479</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