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3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-224155</wp:posOffset>
            </wp:positionV>
            <wp:extent cx="2169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6" w:lineRule="exact"/>
        <w:rPr>
          <w:sz w:val="24"/>
          <w:szCs w:val="24"/>
          <w:color w:val="auto"/>
        </w:rPr>
      </w:pPr>
    </w:p>
    <w:p>
      <w:pPr>
        <w:ind w:left="720" w:right="200" w:hanging="685"/>
        <w:spacing w:after="0" w:line="248"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640"/>
        <w:spacing w:after="0"/>
        <w:tabs>
          <w:tab w:leader="none" w:pos="68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-7620</wp:posOffset>
            </wp:positionV>
            <wp:extent cx="11239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395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0" w:lineRule="exact"/>
        <w:rPr>
          <w:sz w:val="24"/>
          <w:szCs w:val="24"/>
          <w:color w:val="auto"/>
        </w:rPr>
      </w:pP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-302895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1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25" w:lineRule="exact"/>
        <w:rPr>
          <w:sz w:val="24"/>
          <w:szCs w:val="24"/>
          <w:color w:val="auto"/>
        </w:rPr>
      </w:pPr>
    </w:p>
    <w:tbl>
      <w:tblPr>
        <w:tblLayout w:type="fixed"/>
        <w:tblInd w:w="1880" w:type="dxa"/>
        <w:tblCellMar>
          <w:top w:w="0" w:type="dxa"/>
          <w:left w:w="0" w:type="dxa"/>
          <w:bottom w:w="0" w:type="dxa"/>
          <w:right w:w="0" w:type="dxa"/>
        </w:tblCellMar>
      </w:tblPr>
      <w:tr>
        <w:trPr>
          <w:trHeight w:val="234"/>
        </w:trPr>
        <w:tc>
          <w:tcPr>
            <w:tcW w:w="4000" w:type="dxa"/>
            <w:vAlign w:val="bottom"/>
          </w:tcPr>
          <w:p>
            <w:pPr>
              <w:jc w:val="center"/>
              <w:ind w:right="2062"/>
              <w:spacing w:after="0"/>
              <w:rPr>
                <w:sz w:val="20"/>
                <w:szCs w:val="20"/>
                <w:color w:val="auto"/>
              </w:rPr>
            </w:pPr>
            <w:r>
              <w:rPr>
                <w:rFonts w:ascii="Arial" w:cs="Arial" w:eastAsia="Arial" w:hAnsi="Arial"/>
                <w:sz w:val="18"/>
                <w:szCs w:val="18"/>
                <w:b w:val="1"/>
                <w:bCs w:val="1"/>
                <w:color w:val="auto"/>
                <w:w w:val="99"/>
              </w:rPr>
              <w:t>N</w:t>
            </w:r>
            <w:r>
              <w:rPr>
                <w:rFonts w:ascii="Arial" w:cs="Arial" w:eastAsia="Arial" w:hAnsi="Arial"/>
                <w:sz w:val="14"/>
                <w:szCs w:val="14"/>
                <w:b w:val="1"/>
                <w:bCs w:val="1"/>
                <w:color w:val="auto"/>
                <w:w w:val="99"/>
              </w:rPr>
              <w:t>EVADA</w:t>
            </w:r>
          </w:p>
        </w:tc>
        <w:tc>
          <w:tcPr>
            <w:tcW w:w="3260" w:type="dxa"/>
            <w:vAlign w:val="bottom"/>
          </w:tcPr>
          <w:p>
            <w:pPr>
              <w:jc w:val="center"/>
              <w:ind w:left="2042"/>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2"/>
              </w:rPr>
              <w:t>(State or other jurisdiction of</w:t>
            </w:r>
          </w:p>
        </w:tc>
        <w:tc>
          <w:tcPr>
            <w:tcW w:w="3260" w:type="dxa"/>
            <w:vAlign w:val="bottom"/>
          </w:tcPr>
          <w:p>
            <w:pPr>
              <w:jc w:val="center"/>
              <w:ind w:left="2062"/>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062"/>
              <w:spacing w:after="0"/>
              <w:rPr>
                <w:sz w:val="20"/>
                <w:szCs w:val="20"/>
                <w:color w:val="auto"/>
              </w:rPr>
            </w:pPr>
            <w:r>
              <w:rPr>
                <w:rFonts w:ascii="Arial" w:cs="Arial" w:eastAsia="Arial" w:hAnsi="Arial"/>
                <w:sz w:val="14"/>
                <w:szCs w:val="14"/>
                <w:b w:val="1"/>
                <w:bCs w:val="1"/>
                <w:color w:val="auto"/>
                <w:w w:val="93"/>
              </w:rPr>
              <w:t>incorporation or organization)</w:t>
            </w:r>
          </w:p>
        </w:tc>
        <w:tc>
          <w:tcPr>
            <w:tcW w:w="3260" w:type="dxa"/>
            <w:vAlign w:val="bottom"/>
          </w:tcPr>
          <w:p>
            <w:pPr>
              <w:jc w:val="center"/>
              <w:ind w:left="2042"/>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3131 Las Vegas Boulevard South - Las Vegas, Nevada 89109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167640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64" w:lineRule="exact"/>
        <w:rPr>
          <w:sz w:val="24"/>
          <w:szCs w:val="24"/>
          <w:color w:val="auto"/>
        </w:rPr>
      </w:pPr>
    </w:p>
    <w:p>
      <w:pPr>
        <w:ind w:right="40" w:firstLine="432"/>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2543810</wp:posOffset>
            </wp:positionH>
            <wp:positionV relativeFrom="paragraph">
              <wp:posOffset>-419735</wp:posOffset>
            </wp:positionV>
            <wp:extent cx="21697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ind w:right="100" w:firstLine="432"/>
        <w:spacing w:after="0" w:line="27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00" w:val="left"/>
        </w:tabs>
        <w:rPr>
          <w:sz w:val="20"/>
          <w:szCs w:val="20"/>
          <w:color w:val="auto"/>
        </w:rPr>
      </w:pPr>
      <w:r>
        <w:rPr>
          <w:rFonts w:ascii="Arial" w:cs="Arial" w:eastAsia="Arial" w:hAnsi="Arial"/>
          <w:sz w:val="18"/>
          <w:szCs w:val="18"/>
          <w:color w:val="auto"/>
        </w:rPr>
        <w:t>files).</w:t>
        <w:tab/>
        <w:t>Yes x</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 w:lineRule="exact"/>
        <w:rPr>
          <w:sz w:val="24"/>
          <w:szCs w:val="24"/>
          <w:color w:val="auto"/>
        </w:rPr>
      </w:pPr>
    </w:p>
    <w:p>
      <w:pPr>
        <w:jc w:val="both"/>
        <w:ind w:right="60" w:firstLine="432"/>
        <w:spacing w:after="0" w:line="25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4"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80" w:type="dxa"/>
            <w:vAlign w:val="bottom"/>
          </w:tcPr>
          <w:p>
            <w:pPr>
              <w:ind w:left="340"/>
              <w:spacing w:after="0"/>
              <w:rPr>
                <w:sz w:val="20"/>
                <w:szCs w:val="20"/>
                <w:color w:val="auto"/>
              </w:rPr>
            </w:pPr>
            <w:r>
              <w:rPr>
                <w:rFonts w:ascii="Arial" w:cs="Arial" w:eastAsia="Arial" w:hAnsi="Arial"/>
                <w:sz w:val="18"/>
                <w:szCs w:val="18"/>
                <w:color w:val="auto"/>
              </w:rPr>
              <w:t>x</w:t>
            </w:r>
          </w:p>
        </w:tc>
        <w:tc>
          <w:tcPr>
            <w:tcW w:w="5240" w:type="dxa"/>
            <w:vAlign w:val="bottom"/>
          </w:tcPr>
          <w:p>
            <w:pPr>
              <w:ind w:left="29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80" w:type="dxa"/>
            <w:vAlign w:val="bottom"/>
          </w:tcPr>
          <w:p>
            <w:pPr>
              <w:ind w:left="3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5240" w:type="dxa"/>
            <w:vAlign w:val="bottom"/>
          </w:tcPr>
          <w:p>
            <w:pPr>
              <w:ind w:left="290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jc w:val="both"/>
        <w:ind w:right="260" w:firstLine="432"/>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440" w:right="154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Indicate the number of shares outstanding of each of the issuer's classes of common stock, as of the latest practicable date.</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Class</w:t>
            </w:r>
          </w:p>
        </w:tc>
        <w:tc>
          <w:tcPr>
            <w:tcW w:w="7440" w:type="dxa"/>
            <w:vAlign w:val="bottom"/>
          </w:tcPr>
          <w:p>
            <w:pPr>
              <w:spacing w:after="0"/>
              <w:rPr>
                <w:sz w:val="14"/>
                <w:szCs w:val="14"/>
                <w:color w:val="auto"/>
              </w:rPr>
            </w:pP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Outstanding at October 31, 2018</w:t>
            </w:r>
          </w:p>
        </w:tc>
      </w:tr>
      <w:tr>
        <w:trPr>
          <w:trHeight w:val="20"/>
        </w:trPr>
        <w:tc>
          <w:tcPr>
            <w:tcW w:w="13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9100" w:type="dxa"/>
            <w:vAlign w:val="bottom"/>
            <w:gridSpan w:val="3"/>
          </w:tcPr>
          <w:p>
            <w:pPr>
              <w:jc w:val="center"/>
              <w:ind w:right="6120"/>
              <w:spacing w:after="0"/>
              <w:rPr>
                <w:sz w:val="20"/>
                <w:szCs w:val="20"/>
                <w:color w:val="auto"/>
              </w:rPr>
            </w:pPr>
            <w:r>
              <w:rPr>
                <w:rFonts w:ascii="Arial" w:cs="Arial" w:eastAsia="Arial" w:hAnsi="Arial"/>
                <w:sz w:val="18"/>
                <w:szCs w:val="18"/>
                <w:color w:val="auto"/>
                <w:w w:val="90"/>
              </w:rPr>
              <w:t>Common stock, $0.01 par value</w:t>
            </w:r>
          </w:p>
        </w:tc>
        <w:tc>
          <w:tcPr>
            <w:tcW w:w="2000" w:type="dxa"/>
            <w:vAlign w:val="bottom"/>
          </w:tcPr>
          <w:p>
            <w:pPr>
              <w:jc w:val="right"/>
              <w:ind w:right="459"/>
              <w:spacing w:after="0"/>
              <w:rPr>
                <w:sz w:val="20"/>
                <w:szCs w:val="20"/>
                <w:color w:val="auto"/>
              </w:rPr>
            </w:pPr>
            <w:r>
              <w:rPr>
                <w:rFonts w:ascii="Arial" w:cs="Arial" w:eastAsia="Arial" w:hAnsi="Arial"/>
                <w:sz w:val="18"/>
                <w:szCs w:val="18"/>
                <w:color w:val="auto"/>
              </w:rPr>
              <w:t>108,738,518</w:t>
            </w:r>
          </w:p>
        </w:tc>
        <w:tc>
          <w:tcPr>
            <w:tcW w:w="320" w:type="dxa"/>
            <w:vAlign w:val="bottom"/>
          </w:tcPr>
          <w:p>
            <w:pPr>
              <w:spacing w:after="0"/>
              <w:rPr>
                <w:sz w:val="22"/>
                <w:szCs w:val="22"/>
                <w:color w:val="auto"/>
              </w:rPr>
            </w:pPr>
          </w:p>
        </w:tc>
      </w:tr>
      <w:tr>
        <w:trPr>
          <w:trHeight w:val="284"/>
        </w:trPr>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29"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gridSpan w:val="6"/>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448"/>
        </w:trPr>
        <w:tc>
          <w:tcPr>
            <w:tcW w:w="3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gridSpan w:val="11"/>
          </w:tcPr>
          <w:p>
            <w:pPr>
              <w:jc w:val="center"/>
              <w:ind w:right="3340"/>
              <w:spacing w:after="0"/>
              <w:rPr>
                <w:sz w:val="20"/>
                <w:szCs w:val="20"/>
                <w:color w:val="auto"/>
              </w:rPr>
            </w:pPr>
            <w:r>
              <w:rPr>
                <w:rFonts w:ascii="Arial" w:cs="Arial" w:eastAsia="Arial" w:hAnsi="Arial"/>
                <w:sz w:val="18"/>
                <w:szCs w:val="18"/>
                <w:b w:val="1"/>
                <w:bCs w:val="1"/>
                <w:color w:val="auto"/>
              </w:rPr>
              <w:t>WYNN RESORTS, LIMITED AND SUBSIDIARIES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98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w w:val="99"/>
              </w:rPr>
              <w:t>FORM 10-Q</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980" w:type="dxa"/>
            <w:vAlign w:val="bottom"/>
            <w:gridSpan w:val="10"/>
          </w:tcPr>
          <w:p>
            <w:pPr>
              <w:jc w:val="center"/>
              <w:ind w:right="4040"/>
              <w:spacing w:after="0"/>
              <w:rPr>
                <w:sz w:val="20"/>
                <w:szCs w:val="20"/>
                <w:color w:val="auto"/>
              </w:rPr>
            </w:pPr>
            <w:r>
              <w:rPr>
                <w:rFonts w:ascii="Arial" w:cs="Arial" w:eastAsia="Arial" w:hAnsi="Arial"/>
                <w:sz w:val="18"/>
                <w:szCs w:val="18"/>
                <w:b w:val="1"/>
                <w:bCs w:val="1"/>
                <w:color w:val="auto"/>
              </w:rPr>
              <w:t>INDEX</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67"/>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94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 September 30, 2018 (unaudited) and December 31, 2017</w:t>
              </w:r>
            </w:hyperlink>
          </w:p>
        </w:tc>
        <w:tc>
          <w:tcPr>
            <w:tcW w:w="180" w:type="dxa"/>
            <w:vAlign w:val="bottom"/>
            <w:gridSpan w:val="2"/>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Condensed Consolidated Statements of Income (unaudited) – Three and Nine Months Ended September 30, 2018 and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2017</w:t>
              </w:r>
            </w:hyperlink>
          </w:p>
        </w:tc>
        <w:tc>
          <w:tcPr>
            <w:tcW w:w="2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08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(unaudited) – Three and Nine Months Ended</w:t>
              </w:r>
            </w:hyperlink>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September 30, 2018 and 2017</w:t>
              </w:r>
            </w:hyperlink>
          </w:p>
        </w:tc>
        <w:tc>
          <w:tcPr>
            <w:tcW w:w="1280" w:type="dxa"/>
            <w:vAlign w:val="bottom"/>
            <w:gridSpan w:val="4"/>
          </w:tcPr>
          <w:p>
            <w:pPr>
              <w:spacing w:after="0"/>
              <w:rPr>
                <w:sz w:val="17"/>
                <w:szCs w:val="17"/>
                <w:color w:val="auto"/>
              </w:rPr>
            </w:pPr>
          </w:p>
        </w:tc>
        <w:tc>
          <w:tcPr>
            <w:tcW w:w="180" w:type="dxa"/>
            <w:vAlign w:val="bottom"/>
            <w:gridSpan w:val="2"/>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3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Condensed Consolidated Statement of Stockholders' Equity (unaudited) – Nine Months Ended September 30, 2018</w:t>
              </w:r>
            </w:hyperlink>
          </w:p>
        </w:tc>
        <w:tc>
          <w:tcPr>
            <w:tcW w:w="840" w:type="dxa"/>
            <w:vAlign w:val="bottom"/>
            <w:gridSpan w:val="3"/>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140" w:type="dxa"/>
            <w:vAlign w:val="bottom"/>
            <w:gridSpan w:val="18"/>
          </w:tcPr>
          <w:p>
            <w:pPr>
              <w:spacing w:after="0"/>
              <w:rPr>
                <w:rFonts w:ascii="Arial" w:cs="Arial" w:eastAsia="Arial" w:hAnsi="Arial"/>
                <w:sz w:val="18"/>
                <w:szCs w:val="18"/>
                <w:color w:val="0000EE"/>
                <w:w w:val="97"/>
              </w:rPr>
            </w:pPr>
            <w:hyperlink w:anchor="page7">
              <w:r>
                <w:rPr>
                  <w:rFonts w:ascii="Arial" w:cs="Arial" w:eastAsia="Arial" w:hAnsi="Arial"/>
                  <w:sz w:val="18"/>
                  <w:szCs w:val="18"/>
                  <w:color w:val="0000EE"/>
                  <w:w w:val="97"/>
                </w:rPr>
                <w:t>Condensed Consolidated Statements of Cash Flows (unaudited) – Nine Months Ended September 30, 2018 and 2017</w:t>
              </w:r>
            </w:hyperlink>
          </w:p>
        </w:tc>
        <w:tc>
          <w:tcPr>
            <w:tcW w:w="180" w:type="dxa"/>
            <w:vAlign w:val="bottom"/>
            <w:gridSpan w:val="2"/>
          </w:tcPr>
          <w:p>
            <w:pPr>
              <w:jc w:val="right"/>
              <w:spacing w:after="0"/>
              <w:rPr>
                <w:rFonts w:ascii="Arial" w:cs="Arial" w:eastAsia="Arial" w:hAnsi="Arial"/>
                <w:sz w:val="18"/>
                <w:szCs w:val="18"/>
                <w:color w:val="0000EE"/>
              </w:rPr>
            </w:pPr>
            <w:hyperlink w:anchor="page7">
              <w:r>
                <w:rPr>
                  <w:rFonts w:ascii="Arial" w:cs="Arial" w:eastAsia="Arial" w:hAnsi="Arial"/>
                  <w:sz w:val="18"/>
                  <w:szCs w:val="18"/>
                  <w:color w:val="0000EE"/>
                </w:rPr>
                <w:t>7</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2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Condensed Consolidated Financial Statements (unaudited)</w:t>
              </w:r>
            </w:hyperlink>
          </w:p>
        </w:tc>
        <w:tc>
          <w:tcPr>
            <w:tcW w:w="72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34">
              <w:r>
                <w:rPr>
                  <w:rFonts w:ascii="Arial" w:cs="Arial" w:eastAsia="Arial" w:hAnsi="Arial"/>
                  <w:sz w:val="18"/>
                  <w:szCs w:val="18"/>
                  <w:color w:val="0000EE"/>
                  <w:w w:val="90"/>
                </w:rPr>
                <w:t>Item 2.</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Management's Discussion and Analysis of Financial Condition and Results of Operations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34">
              <w:r>
                <w:rPr>
                  <w:rFonts w:ascii="Arial" w:cs="Arial" w:eastAsia="Arial" w:hAnsi="Arial"/>
                  <w:sz w:val="18"/>
                  <w:szCs w:val="18"/>
                  <w:color w:val="0000EE"/>
                  <w:w w:val="79"/>
                </w:rPr>
                <w:t>33</w:t>
              </w:r>
            </w:hyperlink>
          </w:p>
        </w:tc>
      </w:tr>
      <w:tr>
        <w:trPr>
          <w:trHeight w:val="250"/>
        </w:trPr>
        <w:tc>
          <w:tcPr>
            <w:tcW w:w="380" w:type="dxa"/>
            <w:vAlign w:val="bottom"/>
          </w:tcPr>
          <w:p>
            <w:pPr>
              <w:spacing w:after="0"/>
              <w:rPr>
                <w:sz w:val="21"/>
                <w:szCs w:val="21"/>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860" w:type="dxa"/>
            <w:vAlign w:val="bottom"/>
            <w:gridSpan w:val="4"/>
          </w:tcPr>
          <w:p>
            <w:pPr>
              <w:spacing w:after="0"/>
              <w:rPr>
                <w:sz w:val="21"/>
                <w:szCs w:val="21"/>
                <w:color w:val="auto"/>
              </w:rPr>
            </w:pPr>
          </w:p>
        </w:tc>
        <w:tc>
          <w:tcPr>
            <w:tcW w:w="43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2"/>
              </w:rPr>
            </w:pPr>
            <w:hyperlink w:anchor="page53">
              <w:r>
                <w:rPr>
                  <w:rFonts w:ascii="Arial" w:cs="Arial" w:eastAsia="Arial" w:hAnsi="Arial"/>
                  <w:sz w:val="18"/>
                  <w:szCs w:val="18"/>
                  <w:color w:val="0000EE"/>
                  <w:w w:val="92"/>
                </w:rPr>
                <w:t>Quantitative and Qualitative Disclosures About Market Risk</w:t>
              </w:r>
            </w:hyperlink>
          </w:p>
        </w:tc>
        <w:tc>
          <w:tcPr>
            <w:tcW w:w="2060" w:type="dxa"/>
            <w:vAlign w:val="bottom"/>
            <w:tcBorders>
              <w:top w:val="single" w:sz="8" w:color="0000EE"/>
            </w:tcBorders>
            <w:gridSpan w:val="2"/>
          </w:tcPr>
          <w:p>
            <w:pPr>
              <w:spacing w:after="0"/>
              <w:rPr>
                <w:sz w:val="21"/>
                <w:szCs w:val="21"/>
                <w:color w:val="auto"/>
              </w:rPr>
            </w:pPr>
          </w:p>
        </w:tc>
        <w:tc>
          <w:tcPr>
            <w:tcW w:w="3020" w:type="dxa"/>
            <w:vAlign w:val="bottom"/>
            <w:gridSpan w:val="6"/>
          </w:tcPr>
          <w:p>
            <w:pPr>
              <w:spacing w:after="0"/>
              <w:rPr>
                <w:sz w:val="21"/>
                <w:szCs w:val="21"/>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3">
              <w:r>
                <w:rPr>
                  <w:rFonts w:ascii="Arial" w:cs="Arial" w:eastAsia="Arial" w:hAnsi="Arial"/>
                  <w:sz w:val="18"/>
                  <w:szCs w:val="18"/>
                  <w:color w:val="0000EE"/>
                  <w:w w:val="79"/>
                </w:rPr>
                <w:t>52</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860" w:type="dxa"/>
            <w:vAlign w:val="bottom"/>
            <w:gridSpan w:val="4"/>
          </w:tcPr>
          <w:p>
            <w:pPr>
              <w:spacing w:after="0"/>
              <w:rPr>
                <w:sz w:val="21"/>
                <w:szCs w:val="21"/>
                <w:color w:val="auto"/>
              </w:rPr>
            </w:pP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Controls and Procedures</w:t>
              </w:r>
            </w:hyperlink>
          </w:p>
        </w:tc>
        <w:tc>
          <w:tcPr>
            <w:tcW w:w="7680" w:type="dxa"/>
            <w:vAlign w:val="bottom"/>
            <w:gridSpan w:val="11"/>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53</w:t>
              </w:r>
            </w:hyperlink>
          </w:p>
        </w:tc>
      </w:tr>
      <w:tr>
        <w:trPr>
          <w:trHeight w:val="588"/>
        </w:trPr>
        <w:tc>
          <w:tcPr>
            <w:tcW w:w="1760" w:type="dxa"/>
            <w:vAlign w:val="bottom"/>
            <w:gridSpan w:val="6"/>
          </w:tcPr>
          <w:p>
            <w:pPr>
              <w:ind w:left="40"/>
              <w:spacing w:after="0"/>
              <w:rPr>
                <w:sz w:val="20"/>
                <w:szCs w:val="20"/>
                <w:color w:val="auto"/>
              </w:rPr>
            </w:pPr>
            <w:r>
              <w:rPr>
                <w:rFonts w:ascii="Arial" w:cs="Arial" w:eastAsia="Arial" w:hAnsi="Arial"/>
                <w:sz w:val="18"/>
                <w:szCs w:val="18"/>
                <w:b w:val="1"/>
                <w:bCs w:val="1"/>
                <w:color w:val="auto"/>
              </w:rPr>
              <w:t>Part II.</w:t>
            </w:r>
          </w:p>
        </w:tc>
        <w:tc>
          <w:tcPr>
            <w:tcW w:w="9460" w:type="dxa"/>
            <w:vAlign w:val="bottom"/>
            <w:gridSpan w:val="19"/>
          </w:tcPr>
          <w:p>
            <w:pPr>
              <w:spacing w:after="0"/>
              <w:rPr>
                <w:sz w:val="20"/>
                <w:szCs w:val="20"/>
                <w:color w:val="auto"/>
              </w:rPr>
            </w:pPr>
            <w:r>
              <w:rPr>
                <w:rFonts w:ascii="Arial" w:cs="Arial" w:eastAsia="Arial" w:hAnsi="Arial"/>
                <w:sz w:val="18"/>
                <w:szCs w:val="18"/>
                <w:b w:val="1"/>
                <w:bCs w:val="1"/>
                <w:color w:val="auto"/>
              </w:rPr>
              <w:t>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0"/>
        </w:trPr>
        <w:tc>
          <w:tcPr>
            <w:tcW w:w="380" w:type="dxa"/>
            <w:vAlign w:val="bottom"/>
          </w:tcPr>
          <w:p>
            <w:pPr>
              <w:spacing w:after="0"/>
              <w:rPr>
                <w:sz w:val="19"/>
                <w:szCs w:val="19"/>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1.</w:t>
              </w:r>
            </w:hyperlink>
          </w:p>
        </w:tc>
        <w:tc>
          <w:tcPr>
            <w:tcW w:w="860" w:type="dxa"/>
            <w:vAlign w:val="bottom"/>
            <w:gridSpan w:val="4"/>
          </w:tcPr>
          <w:p>
            <w:pPr>
              <w:spacing w:after="0"/>
              <w:rPr>
                <w:sz w:val="19"/>
                <w:szCs w:val="19"/>
                <w:color w:val="auto"/>
              </w:rPr>
            </w:pPr>
          </w:p>
        </w:tc>
        <w:tc>
          <w:tcPr>
            <w:tcW w:w="134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55">
              <w:r>
                <w:rPr>
                  <w:rFonts w:ascii="Arial" w:cs="Arial" w:eastAsia="Arial" w:hAnsi="Arial"/>
                  <w:sz w:val="18"/>
                  <w:szCs w:val="18"/>
                  <w:color w:val="0000EE"/>
                  <w:w w:val="88"/>
                </w:rPr>
                <w:t>Legal Proceedings</w:t>
              </w:r>
            </w:hyperlink>
          </w:p>
        </w:tc>
        <w:tc>
          <w:tcPr>
            <w:tcW w:w="8120" w:type="dxa"/>
            <w:vAlign w:val="bottom"/>
            <w:gridSpan w:val="13"/>
          </w:tcPr>
          <w:p>
            <w:pPr>
              <w:spacing w:after="0"/>
              <w:rPr>
                <w:sz w:val="19"/>
                <w:szCs w:val="19"/>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Item 1A.</w:t>
              </w:r>
            </w:hyperlink>
          </w:p>
        </w:tc>
        <w:tc>
          <w:tcPr>
            <w:tcW w:w="946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Risk Factors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20"/>
        </w:trPr>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5"/>
          </w:tcPr>
          <w:p>
            <w:pPr>
              <w:spacing w:after="0" w:line="20" w:lineRule="exact"/>
              <w:rPr>
                <w:sz w:val="1"/>
                <w:szCs w:val="1"/>
                <w:color w:val="auto"/>
              </w:rPr>
            </w:pPr>
          </w:p>
        </w:tc>
        <w:tc>
          <w:tcPr>
            <w:tcW w:w="5100" w:type="dxa"/>
            <w:vAlign w:val="bottom"/>
            <w:gridSpan w:val="9"/>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2.</w:t>
              </w:r>
            </w:hyperlink>
          </w:p>
        </w:tc>
        <w:tc>
          <w:tcPr>
            <w:tcW w:w="120" w:type="dxa"/>
            <w:vAlign w:val="bottom"/>
          </w:tcPr>
          <w:p>
            <w:pPr>
              <w:spacing w:after="0"/>
              <w:rPr>
                <w:sz w:val="21"/>
                <w:szCs w:val="21"/>
                <w:color w:val="auto"/>
              </w:rPr>
            </w:pPr>
          </w:p>
        </w:tc>
        <w:tc>
          <w:tcPr>
            <w:tcW w:w="740" w:type="dxa"/>
            <w:vAlign w:val="bottom"/>
            <w:gridSpan w:val="3"/>
          </w:tcPr>
          <w:p>
            <w:pPr>
              <w:spacing w:after="0"/>
              <w:rPr>
                <w:sz w:val="21"/>
                <w:szCs w:val="21"/>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Unregistered Sales of Equity Securities and Use of Proceeds</w:t>
              </w:r>
            </w:hyperlink>
          </w:p>
        </w:tc>
        <w:tc>
          <w:tcPr>
            <w:tcW w:w="5100" w:type="dxa"/>
            <w:vAlign w:val="bottom"/>
            <w:gridSpan w:val="9"/>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5">
              <w:r>
                <w:rPr>
                  <w:rFonts w:ascii="Arial" w:cs="Arial" w:eastAsia="Arial" w:hAnsi="Arial"/>
                  <w:sz w:val="18"/>
                  <w:szCs w:val="18"/>
                  <w:color w:val="0000EE"/>
                  <w:w w:val="79"/>
                </w:rPr>
                <w:t>54</w:t>
              </w:r>
            </w:hyperlink>
          </w:p>
        </w:tc>
      </w:tr>
      <w:tr>
        <w:trPr>
          <w:trHeight w:val="250"/>
        </w:trPr>
        <w:tc>
          <w:tcPr>
            <w:tcW w:w="380" w:type="dxa"/>
            <w:vAlign w:val="bottom"/>
          </w:tcPr>
          <w:p>
            <w:pPr>
              <w:spacing w:after="0"/>
              <w:rPr>
                <w:sz w:val="21"/>
                <w:szCs w:val="21"/>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Item 5.</w:t>
              </w:r>
            </w:hyperlink>
          </w:p>
        </w:tc>
        <w:tc>
          <w:tcPr>
            <w:tcW w:w="860" w:type="dxa"/>
            <w:vAlign w:val="bottom"/>
            <w:gridSpan w:val="4"/>
          </w:tcPr>
          <w:p>
            <w:pPr>
              <w:spacing w:after="0"/>
              <w:rPr>
                <w:sz w:val="21"/>
                <w:szCs w:val="21"/>
                <w:color w:val="auto"/>
              </w:rPr>
            </w:pPr>
          </w:p>
        </w:tc>
        <w:tc>
          <w:tcPr>
            <w:tcW w:w="132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Other Information</w:t>
              </w:r>
            </w:hyperlink>
          </w:p>
        </w:tc>
        <w:tc>
          <w:tcPr>
            <w:tcW w:w="8140" w:type="dxa"/>
            <w:vAlign w:val="bottom"/>
            <w:gridSpan w:val="14"/>
          </w:tcPr>
          <w:p>
            <w:pPr>
              <w:spacing w:after="0"/>
              <w:rPr>
                <w:sz w:val="21"/>
                <w:szCs w:val="21"/>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55</w:t>
              </w:r>
            </w:hyperlink>
          </w:p>
        </w:tc>
      </w:tr>
      <w:tr>
        <w:trPr>
          <w:trHeight w:val="250"/>
        </w:trPr>
        <w:tc>
          <w:tcPr>
            <w:tcW w:w="380" w:type="dxa"/>
            <w:vAlign w:val="bottom"/>
          </w:tcPr>
          <w:p>
            <w:pPr>
              <w:spacing w:after="0"/>
              <w:rPr>
                <w:sz w:val="21"/>
                <w:szCs w:val="21"/>
                <w:color w:val="auto"/>
              </w:rPr>
            </w:pPr>
          </w:p>
        </w:tc>
        <w:tc>
          <w:tcPr>
            <w:tcW w:w="520" w:type="dxa"/>
            <w:vAlign w:val="bottom"/>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Item 6.</w:t>
              </w:r>
            </w:hyperlink>
          </w:p>
        </w:tc>
        <w:tc>
          <w:tcPr>
            <w:tcW w:w="860" w:type="dxa"/>
            <w:vAlign w:val="bottom"/>
            <w:gridSpan w:val="4"/>
          </w:tcPr>
          <w:p>
            <w:pPr>
              <w:spacing w:after="0"/>
              <w:rPr>
                <w:sz w:val="21"/>
                <w:szCs w:val="21"/>
                <w:color w:val="auto"/>
              </w:rPr>
            </w:pPr>
          </w:p>
        </w:tc>
        <w:tc>
          <w:tcPr>
            <w:tcW w:w="9460" w:type="dxa"/>
            <w:vAlign w:val="bottom"/>
            <w:gridSpan w:val="1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180" w:type="dxa"/>
            <w:vAlign w:val="bottom"/>
            <w:gridSpan w:val="2"/>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56</w:t>
              </w:r>
            </w:hyperlink>
          </w:p>
        </w:tc>
      </w:tr>
      <w:tr>
        <w:trPr>
          <w:trHeight w:val="20"/>
        </w:trPr>
        <w:tc>
          <w:tcPr>
            <w:tcW w:w="3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380" w:type="dxa"/>
            <w:vAlign w:val="bottom"/>
          </w:tcPr>
          <w:p>
            <w:pPr>
              <w:spacing w:after="0"/>
              <w:rPr>
                <w:sz w:val="21"/>
                <w:szCs w:val="21"/>
                <w:color w:val="auto"/>
              </w:rPr>
            </w:pPr>
          </w:p>
        </w:tc>
        <w:tc>
          <w:tcPr>
            <w:tcW w:w="1380" w:type="dxa"/>
            <w:vAlign w:val="bottom"/>
            <w:gridSpan w:val="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Signature</w:t>
              </w:r>
            </w:hyperlink>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gridSpan w:val="2"/>
          </w:tcPr>
          <w:p>
            <w:pPr>
              <w:jc w:val="right"/>
              <w:spacing w:after="0"/>
              <w:rPr>
                <w:rFonts w:ascii="Arial" w:cs="Arial" w:eastAsia="Arial" w:hAnsi="Arial"/>
                <w:sz w:val="18"/>
                <w:szCs w:val="18"/>
                <w:color w:val="0000EE"/>
                <w:w w:val="79"/>
              </w:rPr>
            </w:pPr>
            <w:hyperlink w:anchor="page58">
              <w:r>
                <w:rPr>
                  <w:rFonts w:ascii="Arial" w:cs="Arial" w:eastAsia="Arial" w:hAnsi="Arial"/>
                  <w:sz w:val="18"/>
                  <w:szCs w:val="18"/>
                  <w:color w:val="0000EE"/>
                  <w:w w:val="79"/>
                </w:rPr>
                <w:t>57</w:t>
              </w:r>
            </w:hyperlink>
          </w:p>
        </w:tc>
      </w:tr>
      <w:tr>
        <w:trPr>
          <w:trHeight w:val="669"/>
        </w:trPr>
        <w:tc>
          <w:tcPr>
            <w:tcW w:w="38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4360" w:type="dxa"/>
            <w:vAlign w:val="bottom"/>
            <w:gridSpan w:val="10"/>
          </w:tcPr>
          <w:p>
            <w:pPr>
              <w:ind w:left="39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400"/>
          </w:cols>
          <w:pgMar w:left="240" w:top="11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260" w:type="dxa"/>
            <w:vAlign w:val="bottom"/>
          </w:tcPr>
          <w:p>
            <w:pPr>
              <w:jc w:val="right"/>
              <w:ind w:right="242"/>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2017</w:t>
            </w:r>
          </w:p>
        </w:tc>
      </w:tr>
      <w:tr>
        <w:trPr>
          <w:trHeight w:val="190"/>
        </w:trPr>
        <w:tc>
          <w:tcPr>
            <w:tcW w:w="8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r>
      <w:tr>
        <w:trPr>
          <w:trHeight w:val="80"/>
        </w:trPr>
        <w:tc>
          <w:tcPr>
            <w:tcW w:w="83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08"/>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Current 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62"/>
        </w:trPr>
        <w:tc>
          <w:tcPr>
            <w:tcW w:w="834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260" w:type="dxa"/>
            <w:vAlign w:val="bottom"/>
            <w:shd w:val="clear" w:color="auto" w:fill="CCEEFF"/>
          </w:tcPr>
          <w:p>
            <w:pPr>
              <w:spacing w:after="0"/>
              <w:rPr>
                <w:sz w:val="5"/>
                <w:szCs w:val="5"/>
                <w:color w:val="auto"/>
              </w:rPr>
            </w:pP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1,949,253</w:t>
            </w:r>
          </w:p>
        </w:tc>
        <w:tc>
          <w:tcPr>
            <w:tcW w:w="120" w:type="dxa"/>
            <w:vAlign w:val="bottom"/>
          </w:tcPr>
          <w:p>
            <w:pPr>
              <w:spacing w:after="0"/>
              <w:rPr>
                <w:sz w:val="21"/>
                <w:szCs w:val="21"/>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2,804,474</w:t>
            </w: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Investment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166,773</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Receivables, net</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232,672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224,128</w:t>
            </w: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63,076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71,636</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Prepaid expenses and other</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91,319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156,773</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b w:val="1"/>
                <w:bCs w:val="1"/>
                <w:color w:val="auto"/>
              </w:rPr>
              <w:t>2,336,320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b w:val="1"/>
                <w:bCs w:val="1"/>
                <w:color w:val="auto"/>
              </w:rPr>
              <w:t>3,423,784</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9,221,028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8,498,756</w:t>
            </w: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3,747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2,160</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Investment securities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160,682</w:t>
            </w: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223,382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123,705</w:t>
            </w:r>
          </w:p>
        </w:tc>
      </w:tr>
      <w:tr>
        <w:trPr>
          <w:trHeight w:val="249"/>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 net</w:t>
            </w:r>
          </w:p>
        </w:tc>
        <w:tc>
          <w:tcPr>
            <w:tcW w:w="200" w:type="dxa"/>
            <w:vAlign w:val="bottom"/>
          </w:tcPr>
          <w:p>
            <w:pPr>
              <w:spacing w:after="0"/>
              <w:rPr>
                <w:sz w:val="21"/>
                <w:szCs w:val="21"/>
                <w:color w:val="auto"/>
              </w:rPr>
            </w:pPr>
          </w:p>
        </w:tc>
        <w:tc>
          <w:tcPr>
            <w:tcW w:w="1300" w:type="dxa"/>
            <w:vAlign w:val="bottom"/>
          </w:tcPr>
          <w:p>
            <w:pPr>
              <w:jc w:val="right"/>
              <w:ind w:right="43"/>
              <w:spacing w:after="0"/>
              <w:rPr>
                <w:sz w:val="20"/>
                <w:szCs w:val="20"/>
                <w:color w:val="auto"/>
              </w:rPr>
            </w:pPr>
            <w:r>
              <w:rPr>
                <w:rFonts w:ascii="Arial" w:cs="Arial" w:eastAsia="Arial" w:hAnsi="Arial"/>
                <w:sz w:val="16"/>
                <w:szCs w:val="16"/>
                <w:color w:val="auto"/>
              </w:rPr>
              <w:t>361,314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22"/>
              <w:spacing w:after="0"/>
              <w:rPr>
                <w:sz w:val="20"/>
                <w:szCs w:val="20"/>
                <w:color w:val="auto"/>
              </w:rPr>
            </w:pPr>
            <w:r>
              <w:rPr>
                <w:rFonts w:ascii="Arial" w:cs="Arial" w:eastAsia="Arial" w:hAnsi="Arial"/>
                <w:sz w:val="16"/>
                <w:szCs w:val="16"/>
                <w:color w:val="auto"/>
              </w:rPr>
              <w:t>240,533</w:t>
            </w:r>
          </w:p>
        </w:tc>
      </w:tr>
      <w:tr>
        <w:trPr>
          <w:trHeight w:val="22"/>
        </w:trPr>
        <w:tc>
          <w:tcPr>
            <w:tcW w:w="8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231,700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232,119</w:t>
            </w: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assets</w:t>
            </w: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12,377,491</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6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12,681,739</w:t>
            </w:r>
          </w:p>
        </w:tc>
      </w:tr>
      <w:tr>
        <w:trPr>
          <w:trHeight w:val="62"/>
        </w:trPr>
        <w:tc>
          <w:tcPr>
            <w:tcW w:w="834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r>
      <w:tr>
        <w:trPr>
          <w:trHeight w:val="163"/>
        </w:trPr>
        <w:tc>
          <w:tcPr>
            <w:tcW w:w="8340" w:type="dxa"/>
            <w:vAlign w:val="bottom"/>
            <w:tcBorders>
              <w:bottom w:val="single" w:sz="8" w:color="CCEEFF"/>
            </w:tcBorders>
            <w:shd w:val="clear" w:color="auto" w:fill="CCEEFF"/>
          </w:tcPr>
          <w:p>
            <w:pPr>
              <w:ind w:left="40"/>
              <w:spacing w:after="0" w:line="161" w:lineRule="exact"/>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r>
      <w:tr>
        <w:trPr>
          <w:trHeight w:val="208"/>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and construction payables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Customer 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Gaming taxes payable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Accrued interest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jc w:val="right"/>
        <w:ind w:right="4380"/>
        <w:spacing w:after="0"/>
        <w:rPr>
          <w:sz w:val="20"/>
          <w:szCs w:val="20"/>
          <w:color w:val="auto"/>
        </w:rPr>
      </w:pPr>
      <w:r>
        <w:rPr>
          <w:rFonts w:ascii="Arial" w:cs="Arial" w:eastAsia="Arial" w:hAnsi="Arial"/>
          <w:sz w:val="16"/>
          <w:szCs w:val="16"/>
          <w:color w:val="auto"/>
        </w:rPr>
        <w:t>Dividends payable to noncontrolling interests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current liabilities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6"/>
          <w:szCs w:val="16"/>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Other long-term liabilities</w:t>
      </w:r>
    </w:p>
    <w:p>
      <w:pPr>
        <w:spacing w:after="0" w:line="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Commitments and contingencies (Note 13)</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Stockholders' equity:</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tabs>
          <w:tab w:leader="none" w:pos="820" w:val="left"/>
          <w:tab w:leader="none" w:pos="1600" w:val="left"/>
          <w:tab w:leader="none" w:pos="24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315,959</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3"/>
          <w:szCs w:val="13"/>
          <w:color w:val="auto"/>
        </w:rPr>
        <w:t>285,437</w:t>
      </w:r>
    </w:p>
    <w:p>
      <w:pPr>
        <w:spacing w:after="0" w:line="86" w:lineRule="exact"/>
        <w:rPr>
          <w:sz w:val="20"/>
          <w:szCs w:val="20"/>
          <w:color w:val="auto"/>
        </w:rPr>
      </w:pPr>
    </w:p>
    <w:p>
      <w:pPr>
        <w:ind w:left="840"/>
        <w:spacing w:after="0"/>
        <w:tabs>
          <w:tab w:leader="none" w:pos="2300" w:val="left"/>
        </w:tabs>
        <w:rPr>
          <w:sz w:val="20"/>
          <w:szCs w:val="20"/>
          <w:color w:val="auto"/>
        </w:rPr>
      </w:pPr>
      <w:r>
        <w:rPr>
          <w:rFonts w:ascii="Arial" w:cs="Arial" w:eastAsia="Arial" w:hAnsi="Arial"/>
          <w:sz w:val="13"/>
          <w:szCs w:val="13"/>
          <w:color w:val="auto"/>
        </w:rPr>
        <w:t>836,700</w:t>
      </w:r>
      <w:r>
        <w:rPr>
          <w:sz w:val="20"/>
          <w:szCs w:val="20"/>
          <w:color w:val="auto"/>
        </w:rPr>
        <w:tab/>
      </w:r>
      <w:r>
        <w:rPr>
          <w:rFonts w:ascii="Arial" w:cs="Arial" w:eastAsia="Arial" w:hAnsi="Arial"/>
          <w:sz w:val="13"/>
          <w:szCs w:val="13"/>
          <w:color w:val="auto"/>
        </w:rPr>
        <w:t>1,049,629</w:t>
      </w:r>
    </w:p>
    <w:p>
      <w:pPr>
        <w:spacing w:after="0" w:line="121" w:lineRule="exact"/>
        <w:rPr>
          <w:sz w:val="20"/>
          <w:szCs w:val="20"/>
          <w:color w:val="auto"/>
        </w:rPr>
      </w:pPr>
    </w:p>
    <w:p>
      <w:pPr>
        <w:jc w:val="both"/>
        <w:ind w:left="840"/>
        <w:spacing w:after="0"/>
        <w:tabs>
          <w:tab w:leader="none" w:pos="2420" w:val="left"/>
        </w:tabs>
        <w:rPr>
          <w:sz w:val="20"/>
          <w:szCs w:val="20"/>
          <w:color w:val="auto"/>
        </w:rPr>
      </w:pPr>
      <w:r>
        <w:rPr>
          <w:rFonts w:ascii="Arial" w:cs="Arial" w:eastAsia="Arial" w:hAnsi="Arial"/>
          <w:sz w:val="16"/>
          <w:szCs w:val="16"/>
          <w:color w:val="auto"/>
        </w:rPr>
        <w:t>210,451</w:t>
      </w:r>
      <w:r>
        <w:rPr>
          <w:sz w:val="20"/>
          <w:szCs w:val="20"/>
          <w:color w:val="auto"/>
        </w:rPr>
        <w:tab/>
      </w:r>
      <w:r>
        <w:rPr>
          <w:rFonts w:ascii="Arial" w:cs="Arial" w:eastAsia="Arial" w:hAnsi="Arial"/>
          <w:sz w:val="16"/>
          <w:szCs w:val="16"/>
          <w:color w:val="auto"/>
        </w:rPr>
        <w:t>211,600</w:t>
      </w:r>
    </w:p>
    <w:p>
      <w:pPr>
        <w:spacing w:after="0" w:line="86" w:lineRule="exact"/>
        <w:rPr>
          <w:sz w:val="20"/>
          <w:szCs w:val="20"/>
          <w:color w:val="auto"/>
        </w:rPr>
      </w:pPr>
    </w:p>
    <w:p>
      <w:pPr>
        <w:ind w:left="840"/>
        <w:spacing w:after="0"/>
        <w:tabs>
          <w:tab w:leader="none" w:pos="2420" w:val="left"/>
        </w:tabs>
        <w:rPr>
          <w:sz w:val="20"/>
          <w:szCs w:val="20"/>
          <w:color w:val="auto"/>
        </w:rPr>
      </w:pPr>
      <w:r>
        <w:rPr>
          <w:rFonts w:ascii="Arial" w:cs="Arial" w:eastAsia="Arial" w:hAnsi="Arial"/>
          <w:sz w:val="13"/>
          <w:szCs w:val="13"/>
          <w:color w:val="auto"/>
        </w:rPr>
        <w:t>141,734</w:t>
      </w:r>
      <w:r>
        <w:rPr>
          <w:sz w:val="20"/>
          <w:szCs w:val="20"/>
          <w:color w:val="auto"/>
        </w:rPr>
        <w:tab/>
      </w:r>
      <w:r>
        <w:rPr>
          <w:rFonts w:ascii="Arial" w:cs="Arial" w:eastAsia="Arial" w:hAnsi="Arial"/>
          <w:sz w:val="13"/>
          <w:szCs w:val="13"/>
          <w:color w:val="auto"/>
        </w:rPr>
        <w:t>140,450</w:t>
      </w:r>
    </w:p>
    <w:p>
      <w:pPr>
        <w:spacing w:after="0" w:line="121"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73,598</w:t>
      </w:r>
      <w:r>
        <w:rPr>
          <w:sz w:val="20"/>
          <w:szCs w:val="20"/>
          <w:color w:val="auto"/>
        </w:rPr>
        <w:tab/>
      </w:r>
      <w:r>
        <w:rPr>
          <w:rFonts w:ascii="Arial" w:cs="Arial" w:eastAsia="Arial" w:hAnsi="Arial"/>
          <w:sz w:val="13"/>
          <w:szCs w:val="13"/>
          <w:color w:val="auto"/>
        </w:rPr>
        <w:t>94,695</w:t>
      </w:r>
    </w:p>
    <w:p>
      <w:pPr>
        <w:spacing w:after="0" w:line="121" w:lineRule="exact"/>
        <w:rPr>
          <w:sz w:val="20"/>
          <w:szCs w:val="20"/>
          <w:color w:val="auto"/>
        </w:rPr>
      </w:pPr>
    </w:p>
    <w:p>
      <w:pPr>
        <w:ind w:left="840"/>
        <w:spacing w:after="0"/>
        <w:tabs>
          <w:tab w:leader="none" w:pos="2500" w:val="left"/>
        </w:tabs>
        <w:rPr>
          <w:sz w:val="20"/>
          <w:szCs w:val="20"/>
          <w:color w:val="auto"/>
        </w:rPr>
      </w:pPr>
      <w:r>
        <w:rPr>
          <w:rFonts w:ascii="Arial" w:cs="Arial" w:eastAsia="Arial" w:hAnsi="Arial"/>
          <w:sz w:val="13"/>
          <w:szCs w:val="13"/>
          <w:color w:val="auto"/>
        </w:rPr>
        <w:t>236,835</w:t>
      </w:r>
      <w:r>
        <w:rPr>
          <w:sz w:val="20"/>
          <w:szCs w:val="20"/>
          <w:color w:val="auto"/>
        </w:rPr>
        <w:tab/>
      </w:r>
      <w:r>
        <w:rPr>
          <w:rFonts w:ascii="Arial" w:cs="Arial" w:eastAsia="Arial" w:hAnsi="Arial"/>
          <w:sz w:val="13"/>
          <w:szCs w:val="13"/>
          <w:color w:val="auto"/>
        </w:rPr>
        <w:t>62,690</w:t>
      </w:r>
    </w:p>
    <w:p>
      <w:pPr>
        <w:spacing w:after="0" w:line="121" w:lineRule="exact"/>
        <w:rPr>
          <w:sz w:val="20"/>
          <w:szCs w:val="20"/>
          <w:color w:val="auto"/>
        </w:rPr>
      </w:pPr>
    </w:p>
    <w:p>
      <w:pPr>
        <w:ind w:left="840"/>
        <w:spacing w:after="0"/>
        <w:tabs>
          <w:tab w:leader="none" w:pos="2780" w:val="left"/>
        </w:tabs>
        <w:rPr>
          <w:sz w:val="20"/>
          <w:szCs w:val="20"/>
          <w:color w:val="auto"/>
        </w:rPr>
      </w:pPr>
      <w:r>
        <w:rPr>
          <w:rFonts w:ascii="Arial" w:cs="Arial" w:eastAsia="Arial" w:hAnsi="Arial"/>
          <w:sz w:val="16"/>
          <w:szCs w:val="16"/>
          <w:color w:val="auto"/>
        </w:rPr>
        <w:t>138,816</w:t>
      </w:r>
      <w:r>
        <w:rPr>
          <w:sz w:val="20"/>
          <w:szCs w:val="20"/>
          <w:color w:val="auto"/>
        </w:rPr>
        <w:tab/>
      </w:r>
      <w:r>
        <w:rPr>
          <w:rFonts w:ascii="Arial" w:cs="Arial" w:eastAsia="Arial" w:hAnsi="Arial"/>
          <w:sz w:val="16"/>
          <w:szCs w:val="16"/>
          <w:color w:val="auto"/>
        </w:rPr>
        <w:t>—</w:t>
      </w:r>
    </w:p>
    <w:p>
      <w:pPr>
        <w:spacing w:after="0" w:line="86" w:lineRule="exact"/>
        <w:rPr>
          <w:sz w:val="20"/>
          <w:szCs w:val="20"/>
          <w:color w:val="auto"/>
        </w:rPr>
      </w:pPr>
    </w:p>
    <w:p>
      <w:pPr>
        <w:ind w:left="920"/>
        <w:spacing w:after="0"/>
        <w:tabs>
          <w:tab w:leader="none" w:pos="2500" w:val="left"/>
        </w:tabs>
        <w:rPr>
          <w:sz w:val="20"/>
          <w:szCs w:val="20"/>
          <w:color w:val="auto"/>
        </w:rPr>
      </w:pPr>
      <w:r>
        <w:rPr>
          <w:rFonts w:ascii="Arial" w:cs="Arial" w:eastAsia="Arial" w:hAnsi="Arial"/>
          <w:sz w:val="13"/>
          <w:szCs w:val="13"/>
          <w:color w:val="auto"/>
        </w:rPr>
        <w:t>93,312</w:t>
      </w:r>
      <w:r>
        <w:rPr>
          <w:sz w:val="20"/>
          <w:szCs w:val="20"/>
          <w:color w:val="auto"/>
        </w:rPr>
        <w:tab/>
      </w:r>
      <w:r>
        <w:rPr>
          <w:rFonts w:ascii="Arial" w:cs="Arial" w:eastAsia="Arial" w:hAnsi="Arial"/>
          <w:sz w:val="13"/>
          <w:szCs w:val="13"/>
          <w:color w:val="auto"/>
        </w:rPr>
        <w:t>85,789</w:t>
      </w:r>
    </w:p>
    <w:p>
      <w:pPr>
        <w:spacing w:after="0" w:line="117"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b w:val="1"/>
          <w:bCs w:val="1"/>
          <w:color w:val="auto"/>
        </w:rPr>
        <w:t>2,047,405</w:t>
      </w:r>
      <w:r>
        <w:rPr>
          <w:sz w:val="20"/>
          <w:szCs w:val="20"/>
          <w:color w:val="auto"/>
        </w:rPr>
        <w:tab/>
      </w:r>
      <w:r>
        <w:rPr>
          <w:rFonts w:ascii="Arial" w:cs="Arial" w:eastAsia="Arial" w:hAnsi="Arial"/>
          <w:sz w:val="13"/>
          <w:szCs w:val="13"/>
          <w:b w:val="1"/>
          <w:bCs w:val="1"/>
          <w:color w:val="auto"/>
        </w:rPr>
        <w:t>1,930,290</w:t>
      </w:r>
    </w:p>
    <w:p>
      <w:pPr>
        <w:spacing w:after="0" w:line="125" w:lineRule="exact"/>
        <w:rPr>
          <w:sz w:val="20"/>
          <w:szCs w:val="20"/>
          <w:color w:val="auto"/>
        </w:rPr>
      </w:pPr>
    </w:p>
    <w:p>
      <w:pPr>
        <w:ind w:left="720"/>
        <w:spacing w:after="0"/>
        <w:tabs>
          <w:tab w:leader="none" w:pos="2300" w:val="left"/>
        </w:tabs>
        <w:rPr>
          <w:sz w:val="20"/>
          <w:szCs w:val="20"/>
          <w:color w:val="auto"/>
        </w:rPr>
      </w:pPr>
      <w:r>
        <w:rPr>
          <w:rFonts w:ascii="Arial" w:cs="Arial" w:eastAsia="Arial" w:hAnsi="Arial"/>
          <w:sz w:val="13"/>
          <w:szCs w:val="13"/>
          <w:color w:val="auto"/>
        </w:rPr>
        <w:t>8,695,335</w:t>
      </w:r>
      <w:r>
        <w:rPr>
          <w:sz w:val="20"/>
          <w:szCs w:val="20"/>
          <w:color w:val="auto"/>
        </w:rPr>
        <w:tab/>
      </w:r>
      <w:r>
        <w:rPr>
          <w:rFonts w:ascii="Arial" w:cs="Arial" w:eastAsia="Arial" w:hAnsi="Arial"/>
          <w:sz w:val="13"/>
          <w:szCs w:val="13"/>
          <w:color w:val="auto"/>
        </w:rPr>
        <w:t>9,565,936</w:t>
      </w:r>
    </w:p>
    <w:p>
      <w:pPr>
        <w:spacing w:after="0" w:line="121" w:lineRule="exact"/>
        <w:rPr>
          <w:sz w:val="20"/>
          <w:szCs w:val="20"/>
          <w:color w:val="auto"/>
        </w:rPr>
      </w:pPr>
    </w:p>
    <w:p>
      <w:pPr>
        <w:ind w:left="920"/>
        <w:spacing w:after="0"/>
        <w:tabs>
          <w:tab w:leader="none" w:pos="2420" w:val="left"/>
        </w:tabs>
        <w:rPr>
          <w:sz w:val="20"/>
          <w:szCs w:val="20"/>
          <w:color w:val="auto"/>
        </w:rPr>
      </w:pPr>
      <w:r>
        <w:rPr>
          <w:rFonts w:ascii="Arial" w:cs="Arial" w:eastAsia="Arial" w:hAnsi="Arial"/>
          <w:sz w:val="13"/>
          <w:szCs w:val="13"/>
          <w:color w:val="auto"/>
        </w:rPr>
        <w:t>94,468</w:t>
      </w:r>
      <w:r>
        <w:rPr>
          <w:sz w:val="20"/>
          <w:szCs w:val="20"/>
          <w:color w:val="auto"/>
        </w:rPr>
        <w:tab/>
      </w:r>
      <w:r>
        <w:rPr>
          <w:rFonts w:ascii="Arial" w:cs="Arial" w:eastAsia="Arial" w:hAnsi="Arial"/>
          <w:sz w:val="13"/>
          <w:szCs w:val="13"/>
          <w:color w:val="auto"/>
        </w:rPr>
        <w:t>107,163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45720</wp:posOffset>
            </wp:positionV>
            <wp:extent cx="19551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97" w:lineRule="exact"/>
        <w:rPr>
          <w:sz w:val="20"/>
          <w:szCs w:val="20"/>
          <w:color w:val="auto"/>
        </w:rPr>
      </w:pPr>
    </w:p>
    <w:p>
      <w:pPr>
        <w:jc w:val="both"/>
        <w:ind w:left="660"/>
        <w:spacing w:after="0"/>
        <w:tabs>
          <w:tab w:leader="none" w:pos="2240" w:val="left"/>
        </w:tabs>
        <w:rPr>
          <w:sz w:val="20"/>
          <w:szCs w:val="20"/>
          <w:color w:val="auto"/>
        </w:rPr>
      </w:pPr>
      <w:r>
        <w:rPr>
          <w:rFonts w:ascii="Arial" w:cs="Arial" w:eastAsia="Arial" w:hAnsi="Arial"/>
          <w:sz w:val="16"/>
          <w:szCs w:val="16"/>
          <w:b w:val="1"/>
          <w:bCs w:val="1"/>
          <w:color w:val="auto"/>
        </w:rPr>
        <w:t>10,837,208</w:t>
      </w:r>
      <w:r>
        <w:rPr>
          <w:sz w:val="20"/>
          <w:szCs w:val="20"/>
          <w:color w:val="auto"/>
        </w:rPr>
        <w:tab/>
      </w:r>
      <w:r>
        <w:rPr>
          <w:rFonts w:ascii="Arial" w:cs="Arial" w:eastAsia="Arial" w:hAnsi="Arial"/>
          <w:sz w:val="16"/>
          <w:szCs w:val="16"/>
          <w:b w:val="1"/>
          <w:bCs w:val="1"/>
          <w:color w:val="auto"/>
        </w:rPr>
        <w:t>11,603,389</w:t>
      </w:r>
    </w:p>
    <w:p>
      <w:pPr>
        <w:spacing w:after="0" w:line="581" w:lineRule="exact"/>
        <w:rPr>
          <w:sz w:val="20"/>
          <w:szCs w:val="20"/>
          <w:color w:val="auto"/>
        </w:rPr>
      </w:pPr>
    </w:p>
    <w:p>
      <w:pPr>
        <w:sectPr>
          <w:pgSz w:w="11900" w:h="16838" w:orient="portrait"/>
          <w:cols w:equalWidth="0" w:num="2">
            <w:col w:w="7640" w:space="720"/>
            <w:col w:w="30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183"/>
        </w:trPr>
        <w:tc>
          <w:tcPr>
            <w:tcW w:w="8340" w:type="dxa"/>
            <w:vAlign w:val="bottom"/>
          </w:tcPr>
          <w:p>
            <w:pPr>
              <w:ind w:left="380"/>
              <w:spacing w:after="0"/>
              <w:rPr>
                <w:sz w:val="20"/>
                <w:szCs w:val="20"/>
                <w:color w:val="auto"/>
              </w:rPr>
            </w:pPr>
            <w:r>
              <w:rPr>
                <w:rFonts w:ascii="Arial" w:cs="Arial" w:eastAsia="Arial" w:hAnsi="Arial"/>
                <w:sz w:val="16"/>
                <w:szCs w:val="16"/>
                <w:color w:val="auto"/>
                <w:w w:val="90"/>
              </w:rPr>
              <w:t>Common stock, par value $0.01; 400,000,000 shares authorized; 122,135,459 and 116,391,753 shares issued; 108,731,082</w:t>
            </w: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0"/>
        </w:trPr>
        <w:tc>
          <w:tcPr>
            <w:tcW w:w="8340" w:type="dxa"/>
            <w:vAlign w:val="bottom"/>
          </w:tcPr>
          <w:p>
            <w:pPr>
              <w:ind w:left="380"/>
              <w:spacing w:after="0"/>
              <w:rPr>
                <w:sz w:val="20"/>
                <w:szCs w:val="20"/>
                <w:color w:val="auto"/>
              </w:rPr>
            </w:pPr>
            <w:r>
              <w:rPr>
                <w:rFonts w:ascii="Arial" w:cs="Arial" w:eastAsia="Arial" w:hAnsi="Arial"/>
                <w:sz w:val="16"/>
                <w:szCs w:val="16"/>
                <w:color w:val="auto"/>
              </w:rPr>
              <w:t>and 103,005,866 shares outstanding, respectively</w:t>
            </w:r>
          </w:p>
        </w:tc>
        <w:tc>
          <w:tcPr>
            <w:tcW w:w="380" w:type="dxa"/>
            <w:vAlign w:val="bottom"/>
          </w:tcPr>
          <w:p>
            <w:pPr>
              <w:spacing w:after="0"/>
              <w:rPr>
                <w:sz w:val="17"/>
                <w:szCs w:val="17"/>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1,221</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1,164</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13,404,377 and 13,385,887 shares, respectively</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(1,187,273)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(1,184,468)</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8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2,455,357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1,497,928</w:t>
            </w:r>
          </w:p>
        </w:tc>
      </w:tr>
      <w:tr>
        <w:trPr>
          <w:trHeight w:val="22"/>
        </w:trPr>
        <w:tc>
          <w:tcPr>
            <w:tcW w:w="8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Accumulated other comprehensive loss</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(1,845)</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21"/>
                <w:szCs w:val="21"/>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537,771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635,067</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3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1,804,993</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947,846</w:t>
            </w:r>
          </w:p>
        </w:tc>
      </w:tr>
      <w:tr>
        <w:trPr>
          <w:trHeight w:val="249"/>
        </w:trPr>
        <w:tc>
          <w:tcPr>
            <w:tcW w:w="8340" w:type="dxa"/>
            <w:vAlign w:val="bottom"/>
          </w:tcPr>
          <w:p>
            <w:pPr>
              <w:ind w:left="380"/>
              <w:spacing w:after="0"/>
              <w:rPr>
                <w:sz w:val="20"/>
                <w:szCs w:val="20"/>
                <w:color w:val="auto"/>
              </w:rPr>
            </w:pPr>
            <w:r>
              <w:rPr>
                <w:rFonts w:ascii="Arial" w:cs="Arial" w:eastAsia="Arial" w:hAnsi="Arial"/>
                <w:sz w:val="16"/>
                <w:szCs w:val="16"/>
                <w:color w:val="auto"/>
              </w:rPr>
              <w:t>Noncontrolling interests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(264,710)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130,504</w:t>
            </w: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1,540,283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rPr>
              <w:t>1,078,350</w:t>
            </w:r>
          </w:p>
        </w:tc>
      </w:tr>
      <w:tr>
        <w:trPr>
          <w:trHeight w:val="215"/>
        </w:trPr>
        <w:tc>
          <w:tcPr>
            <w:tcW w:w="8340" w:type="dxa"/>
            <w:vAlign w:val="bottom"/>
          </w:tcPr>
          <w:p>
            <w:pPr>
              <w:ind w:left="720"/>
              <w:spacing w:after="0"/>
              <w:rPr>
                <w:sz w:val="20"/>
                <w:szCs w:val="20"/>
                <w:color w:val="auto"/>
              </w:rPr>
            </w:pPr>
            <w:r>
              <w:rPr>
                <w:rFonts w:ascii="Arial" w:cs="Arial" w:eastAsia="Arial" w:hAnsi="Arial"/>
                <w:sz w:val="16"/>
                <w:szCs w:val="16"/>
                <w:b w:val="1"/>
                <w:bCs w:val="1"/>
                <w:color w:val="auto"/>
              </w:rPr>
              <w:t>Total liabilities and stockholders' equity</w:t>
            </w: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1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12,377,491</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201"/>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rPr>
              <w:t>12,681,739</w:t>
            </w:r>
          </w:p>
        </w:tc>
      </w:tr>
      <w:tr>
        <w:trPr>
          <w:trHeight w:val="22"/>
        </w:trPr>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70"/>
        </w:trPr>
        <w:tc>
          <w:tcPr>
            <w:tcW w:w="60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(as adjusted)</w:t>
            </w: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(as adjusted)</w:t>
            </w:r>
          </w:p>
        </w:tc>
        <w:tc>
          <w:tcPr>
            <w:tcW w:w="0" w:type="dxa"/>
            <w:vAlign w:val="bottom"/>
          </w:tcPr>
          <w:p>
            <w:pPr>
              <w:spacing w:after="0"/>
              <w:rPr>
                <w:sz w:val="1"/>
                <w:szCs w:val="1"/>
                <w:color w:val="auto"/>
              </w:rPr>
            </w:pPr>
          </w:p>
        </w:tc>
      </w:tr>
      <w:tr>
        <w:trPr>
          <w:trHeight w:val="24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1,222,029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1,075,577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3,564,195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3,067,145</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183,044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170,371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559,405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504,135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580,963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568,878</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110,125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325,511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307,838</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revenues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1,709,072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1,551,347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5,030,074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4,447,996</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60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Casino</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783,171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678,495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2,254,766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1,956,907</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Rooms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62,965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61,390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189,837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184,178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Food and beverage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162,311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151,796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468,265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438,308</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Entertainment, retail and other</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44,028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138,647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142,988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192,327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178,504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545,543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502,635</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Litigation settlement</w:t>
            </w:r>
          </w:p>
        </w:tc>
        <w:tc>
          <w:tcPr>
            <w:tcW w:w="160" w:type="dxa"/>
            <w:vAlign w:val="bottom"/>
          </w:tcPr>
          <w:p>
            <w:pPr>
              <w:spacing w:after="0"/>
              <w:rPr>
                <w:sz w:val="21"/>
                <w:szCs w:val="21"/>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463,557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(benefit) for doubtful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35,255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19,445</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411,685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30,672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38,494</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1,418,089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1,294,020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4,540,813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3,693,850</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290,983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257,327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489,261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754,146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6,948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8,447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21,998</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(291,875)</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(69,982)</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(Loss) gain on extinguishment of debt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(20,774)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2,131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(43,061)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11,216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(19,840)</w:t>
            </w:r>
          </w:p>
        </w:tc>
        <w:tc>
          <w:tcPr>
            <w:tcW w:w="0" w:type="dxa"/>
            <w:vAlign w:val="bottom"/>
          </w:tcPr>
          <w:p>
            <w:pPr>
              <w:spacing w:after="0"/>
              <w:rPr>
                <w:sz w:val="1"/>
                <w:szCs w:val="1"/>
                <w:color w:val="auto"/>
              </w:rPr>
            </w:pPr>
          </w:p>
        </w:tc>
      </w:tr>
      <w:tr>
        <w:trPr>
          <w:trHeight w:val="237"/>
        </w:trPr>
        <w:tc>
          <w:tcPr>
            <w:tcW w:w="6040" w:type="dxa"/>
            <w:vAlign w:val="bottom"/>
          </w:tcPr>
          <w:p>
            <w:pPr>
              <w:ind w:left="700"/>
              <w:spacing w:after="0"/>
              <w:rPr>
                <w:sz w:val="20"/>
                <w:szCs w:val="20"/>
                <w:color w:val="auto"/>
              </w:rPr>
            </w:pPr>
            <w:r>
              <w:rPr>
                <w:rFonts w:ascii="Arial" w:cs="Arial" w:eastAsia="Arial" w:hAnsi="Arial"/>
                <w:sz w:val="18"/>
                <w:szCs w:val="18"/>
                <w:b w:val="1"/>
                <w:bCs w:val="1"/>
                <w:color w:val="auto"/>
              </w:rPr>
              <w:t>Other income (expense), net</w:t>
            </w: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(151,815)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(326,318)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(403,816)</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215,888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162,943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350,330</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124,631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219,772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105,969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287,574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345,290</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Less: net income attributable to noncontrolling interests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(63,657)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(180,010)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(89,791)</w:t>
            </w:r>
          </w:p>
        </w:tc>
        <w:tc>
          <w:tcPr>
            <w:tcW w:w="0" w:type="dxa"/>
            <w:vAlign w:val="bottom"/>
          </w:tcPr>
          <w:p>
            <w:pPr>
              <w:spacing w:after="0"/>
              <w:rPr>
                <w:sz w:val="1"/>
                <w:szCs w:val="1"/>
                <w:color w:val="auto"/>
              </w:rPr>
            </w:pPr>
          </w:p>
        </w:tc>
      </w:tr>
      <w:tr>
        <w:trPr>
          <w:trHeight w:val="27"/>
        </w:trPr>
        <w:tc>
          <w:tcPr>
            <w:tcW w:w="6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156,115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79,767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107,564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255,499</w:t>
            </w: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and diluted net income per common share:</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Wynn Resorts, Limited: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700"/>
              <w:spacing w:after="0"/>
              <w:rPr>
                <w:sz w:val="20"/>
                <w:szCs w:val="20"/>
                <w:color w:val="auto"/>
              </w:rPr>
            </w:pPr>
            <w:r>
              <w:rPr>
                <w:rFonts w:ascii="Arial" w:cs="Arial" w:eastAsia="Arial" w:hAnsi="Arial"/>
                <w:sz w:val="18"/>
                <w:szCs w:val="18"/>
                <w:color w:val="auto"/>
              </w:rPr>
              <w:t>Basic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6040" w:type="dxa"/>
            <w:vAlign w:val="bottom"/>
          </w:tcPr>
          <w:p>
            <w:pPr>
              <w:ind w:left="3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102,173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101,960</w:t>
            </w:r>
          </w:p>
        </w:tc>
        <w:tc>
          <w:tcPr>
            <w:tcW w:w="0" w:type="dxa"/>
            <w:vAlign w:val="bottom"/>
          </w:tcPr>
          <w:p>
            <w:pPr>
              <w:spacing w:after="0"/>
              <w:rPr>
                <w:sz w:val="1"/>
                <w:szCs w:val="1"/>
                <w:color w:val="auto"/>
              </w:rPr>
            </w:pPr>
          </w:p>
        </w:tc>
      </w:tr>
      <w:tr>
        <w:trPr>
          <w:trHeight w:val="243"/>
        </w:trPr>
        <w:tc>
          <w:tcPr>
            <w:tcW w:w="6040" w:type="dxa"/>
            <w:vAlign w:val="bottom"/>
          </w:tcPr>
          <w:p>
            <w:pPr>
              <w:ind w:left="70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108,533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102,794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106,721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102,460</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0"/>
        </w:trPr>
        <w:tc>
          <w:tcPr>
            <w:tcW w:w="10140" w:type="dxa"/>
            <w:vAlign w:val="bottom"/>
            <w:gridSpan w:val="10"/>
          </w:tcPr>
          <w:p>
            <w:pPr>
              <w:ind w:left="21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2" w:right="259" w:bottom="1440" w:gutter="0" w:footer="0" w:header="0"/>
        </w:sectPr>
      </w:pP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00"/>
          </w:cols>
          <w:pgMar w:left="240" w:top="122" w:right="259" w:bottom="1440" w:gutter="0" w:footer="0" w:header="0"/>
          <w:type w:val="continuous"/>
        </w:sectPr>
      </w:pPr>
    </w:p>
    <w:bookmarkStart w:id="4" w:name="page5"/>
    <w:bookmarkEnd w:id="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20" w:type="dxa"/>
            <w:vAlign w:val="bottom"/>
            <w:gridSpan w:val="4"/>
          </w:tcPr>
          <w:p>
            <w:pPr>
              <w:jc w:val="right"/>
              <w:ind w:right="52"/>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264"/>
        </w:trPr>
        <w:tc>
          <w:tcPr>
            <w:tcW w:w="61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219,772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105,969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287,574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345,290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 before and after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(3,495)</w:t>
            </w:r>
          </w:p>
        </w:tc>
      </w:tr>
      <w:tr>
        <w:trPr>
          <w:trHeight w:val="229"/>
        </w:trPr>
        <w:tc>
          <w:tcPr>
            <w:tcW w:w="6160" w:type="dxa"/>
            <w:vAlign w:val="bottom"/>
          </w:tcPr>
          <w:p>
            <w:pPr>
              <w:ind w:left="380"/>
              <w:spacing w:after="0"/>
              <w:rPr>
                <w:sz w:val="20"/>
                <w:szCs w:val="20"/>
                <w:color w:val="auto"/>
              </w:rPr>
            </w:pPr>
            <w:r>
              <w:rPr>
                <w:rFonts w:ascii="Arial" w:cs="Arial" w:eastAsia="Arial" w:hAnsi="Arial"/>
                <w:sz w:val="18"/>
                <w:szCs w:val="18"/>
                <w:color w:val="auto"/>
                <w:w w:val="92"/>
              </w:rPr>
              <w:t>Change in net unrealized (gain) loss on investment securities, before and after</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160" w:type="dxa"/>
            <w:vAlign w:val="bottom"/>
          </w:tcPr>
          <w:p>
            <w:pPr>
              <w:ind w:left="38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366</w:t>
            </w:r>
          </w:p>
        </w:tc>
      </w:tr>
      <w:tr>
        <w:trPr>
          <w:trHeight w:val="27"/>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Redemption Note credit risk adjustment, net of tax of $2,735</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9,211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219,578</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106,436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295,956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342,161</w:t>
            </w:r>
          </w:p>
        </w:tc>
      </w:tr>
      <w:tr>
        <w:trPr>
          <w:trHeight w:val="27"/>
        </w:trPr>
        <w:tc>
          <w:tcPr>
            <w:tcW w:w="6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comprehensive income attributable to noncontrolling interests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(63,608)</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(26,274)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(179,419)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(88,819)</w:t>
            </w:r>
          </w:p>
        </w:tc>
      </w:tr>
      <w:tr>
        <w:trPr>
          <w:trHeight w:val="237"/>
        </w:trPr>
        <w:tc>
          <w:tcPr>
            <w:tcW w:w="61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Wynn Resorts, Limited</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155,970</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80,162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116,537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253,342</w:t>
            </w:r>
          </w:p>
        </w:tc>
      </w:tr>
      <w:tr>
        <w:trPr>
          <w:trHeight w:val="27"/>
        </w:trPr>
        <w:tc>
          <w:tcPr>
            <w:tcW w:w="6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122" w:right="29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840" w:type="dxa"/>
            <w:vAlign w:val="bottom"/>
          </w:tcPr>
          <w:p>
            <w:pPr>
              <w:spacing w:after="0"/>
              <w:rPr>
                <w:sz w:val="15"/>
                <w:szCs w:val="15"/>
                <w:color w:val="auto"/>
              </w:rPr>
            </w:pPr>
          </w:p>
        </w:tc>
        <w:tc>
          <w:tcPr>
            <w:tcW w:w="1880" w:type="dxa"/>
            <w:vAlign w:val="bottom"/>
            <w:gridSpan w:val="5"/>
          </w:tcPr>
          <w:p>
            <w:pPr>
              <w:ind w:left="50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30"/>
        </w:trPr>
        <w:tc>
          <w:tcPr>
            <w:tcW w:w="184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1" w:lineRule="exact"/>
              <w:rPr>
                <w:sz w:val="20"/>
                <w:szCs w:val="20"/>
                <w:color w:val="auto"/>
              </w:rPr>
            </w:pPr>
            <w:r>
              <w:rPr>
                <w:rFonts w:ascii="Arial" w:cs="Arial" w:eastAsia="Arial" w:hAnsi="Arial"/>
                <w:sz w:val="13"/>
                <w:szCs w:val="13"/>
                <w:b w:val="1"/>
                <w:bCs w:val="1"/>
                <w:color w:val="auto"/>
                <w:w w:val="88"/>
              </w:rPr>
              <w:t>Total Wynn</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35"/>
        </w:trPr>
        <w:tc>
          <w:tcPr>
            <w:tcW w:w="18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Resorts, Ltd.</w:t>
            </w: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840" w:type="dxa"/>
            <w:vAlign w:val="bottom"/>
          </w:tcPr>
          <w:p>
            <w:pPr>
              <w:spacing w:after="0"/>
              <w:rPr>
                <w:sz w:val="11"/>
                <w:szCs w:val="11"/>
                <w:color w:val="auto"/>
              </w:rPr>
            </w:pPr>
          </w:p>
        </w:tc>
        <w:tc>
          <w:tcPr>
            <w:tcW w:w="106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7"/>
              </w:rPr>
              <w:t>Shares</w:t>
            </w:r>
          </w:p>
        </w:tc>
        <w:tc>
          <w:tcPr>
            <w:tcW w:w="140" w:type="dxa"/>
            <w:vAlign w:val="bottom"/>
          </w:tcPr>
          <w:p>
            <w:pPr>
              <w:spacing w:after="0"/>
              <w:rPr>
                <w:sz w:val="11"/>
                <w:szCs w:val="11"/>
                <w:color w:val="auto"/>
              </w:rPr>
            </w:pPr>
          </w:p>
        </w:tc>
        <w:tc>
          <w:tcPr>
            <w:tcW w:w="6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Par</w:t>
            </w:r>
          </w:p>
        </w:tc>
        <w:tc>
          <w:tcPr>
            <w:tcW w:w="16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0"/>
              </w:rPr>
              <w:t>Treasury</w:t>
            </w:r>
          </w:p>
        </w:tc>
        <w:tc>
          <w:tcPr>
            <w:tcW w:w="10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paid-in</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80" w:type="dxa"/>
            <w:vAlign w:val="bottom"/>
          </w:tcPr>
          <w:p>
            <w:pPr>
              <w:spacing w:after="0"/>
              <w:rPr>
                <w:sz w:val="11"/>
                <w:szCs w:val="11"/>
                <w:color w:val="auto"/>
              </w:rPr>
            </w:pPr>
          </w:p>
        </w:tc>
        <w:tc>
          <w:tcPr>
            <w:tcW w:w="9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stockholders'</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00" w:type="dxa"/>
            <w:vAlign w:val="bottom"/>
          </w:tcPr>
          <w:p>
            <w:pPr>
              <w:spacing w:after="0"/>
              <w:rPr>
                <w:sz w:val="11"/>
                <w:szCs w:val="11"/>
                <w:color w:val="auto"/>
              </w:rPr>
            </w:pPr>
          </w:p>
        </w:tc>
        <w:tc>
          <w:tcPr>
            <w:tcW w:w="80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1840" w:type="dxa"/>
            <w:vAlign w:val="bottom"/>
          </w:tcPr>
          <w:p>
            <w:pPr>
              <w:spacing w:after="0"/>
              <w:rPr>
                <w:sz w:val="15"/>
                <w:szCs w:val="15"/>
                <w:color w:val="auto"/>
              </w:rPr>
            </w:pPr>
          </w:p>
        </w:tc>
        <w:tc>
          <w:tcPr>
            <w:tcW w:w="10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3"/>
              </w:rPr>
              <w:t>outstanding</w:t>
            </w:r>
          </w:p>
        </w:tc>
        <w:tc>
          <w:tcPr>
            <w:tcW w:w="140" w:type="dxa"/>
            <w:vAlign w:val="bottom"/>
          </w:tcPr>
          <w:p>
            <w:pPr>
              <w:spacing w:after="0"/>
              <w:rPr>
                <w:sz w:val="15"/>
                <w:szCs w:val="15"/>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value</w:t>
            </w:r>
          </w:p>
        </w:tc>
        <w:tc>
          <w:tcPr>
            <w:tcW w:w="160" w:type="dxa"/>
            <w:vAlign w:val="bottom"/>
          </w:tcPr>
          <w:p>
            <w:pPr>
              <w:spacing w:after="0"/>
              <w:rPr>
                <w:sz w:val="15"/>
                <w:szCs w:val="15"/>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2"/>
              </w:rPr>
              <w:t>stock</w:t>
            </w:r>
          </w:p>
        </w:tc>
        <w:tc>
          <w:tcPr>
            <w:tcW w:w="100" w:type="dxa"/>
            <w:vAlign w:val="bottom"/>
          </w:tcPr>
          <w:p>
            <w:pPr>
              <w:spacing w:after="0"/>
              <w:rPr>
                <w:sz w:val="15"/>
                <w:szCs w:val="15"/>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capital</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76"/>
              </w:rPr>
              <w:t>loss</w:t>
            </w:r>
          </w:p>
        </w:tc>
        <w:tc>
          <w:tcPr>
            <w:tcW w:w="180" w:type="dxa"/>
            <w:vAlign w:val="bottom"/>
          </w:tcPr>
          <w:p>
            <w:pPr>
              <w:spacing w:after="0"/>
              <w:rPr>
                <w:sz w:val="15"/>
                <w:szCs w:val="15"/>
                <w:color w:val="auto"/>
              </w:rPr>
            </w:pPr>
          </w:p>
        </w:tc>
        <w:tc>
          <w:tcPr>
            <w:tcW w:w="960" w:type="dxa"/>
            <w:vAlign w:val="bottom"/>
            <w:gridSpan w:val="2"/>
          </w:tcPr>
          <w:p>
            <w:pPr>
              <w:ind w:left="100"/>
              <w:spacing w:after="0"/>
              <w:rPr>
                <w:sz w:val="20"/>
                <w:szCs w:val="20"/>
                <w:color w:val="auto"/>
              </w:rPr>
            </w:pPr>
            <w:r>
              <w:rPr>
                <w:rFonts w:ascii="Arial" w:cs="Arial" w:eastAsia="Arial" w:hAnsi="Arial"/>
                <w:sz w:val="13"/>
                <w:szCs w:val="13"/>
                <w:b w:val="1"/>
                <w:bCs w:val="1"/>
                <w:color w:val="auto"/>
              </w:rPr>
              <w:t>earnings</w:t>
            </w:r>
          </w:p>
        </w:tc>
        <w:tc>
          <w:tcPr>
            <w:tcW w:w="14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equity</w:t>
            </w:r>
          </w:p>
        </w:tc>
        <w:tc>
          <w:tcPr>
            <w:tcW w:w="120" w:type="dxa"/>
            <w:vAlign w:val="bottom"/>
          </w:tcPr>
          <w:p>
            <w:pPr>
              <w:spacing w:after="0"/>
              <w:rPr>
                <w:sz w:val="15"/>
                <w:szCs w:val="15"/>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1"/>
              </w:rPr>
              <w:t>interests</w:t>
            </w: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257"/>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Balances, January 1, 2018</w:t>
            </w:r>
          </w:p>
        </w:tc>
        <w:tc>
          <w:tcPr>
            <w:tcW w:w="94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103,005,866</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1,164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color w:val="auto"/>
              </w:rPr>
              <w:t>(1,184,468)</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color w:val="auto"/>
              </w:rPr>
              <w:t>1,497,928</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(1,845)</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635,067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947,846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130,504</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1,078,350</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w w:val="92"/>
              </w:rPr>
              <w:t>Cumulative credit risk adjustment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income</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107,564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107,564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180,010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287,574</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w w:val="96"/>
              </w:rPr>
              <w:t>Currency translation adjustment</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(1,530)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(591)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(2,121)</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3"/>
              </w:rPr>
              <w:t>Change in net unrealized loss on</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investment securities</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1,292</w:t>
            </w:r>
          </w:p>
        </w:tc>
      </w:tr>
      <w:tr>
        <w:trPr>
          <w:trHeight w:val="264"/>
        </w:trPr>
        <w:tc>
          <w:tcPr>
            <w:tcW w:w="1840" w:type="dxa"/>
            <w:vAlign w:val="bottom"/>
          </w:tcPr>
          <w:p>
            <w:pPr>
              <w:ind w:left="40"/>
              <w:spacing w:after="0"/>
              <w:rPr>
                <w:sz w:val="20"/>
                <w:szCs w:val="20"/>
                <w:color w:val="auto"/>
              </w:rPr>
            </w:pPr>
            <w:r>
              <w:rPr>
                <w:rFonts w:ascii="Arial" w:cs="Arial" w:eastAsia="Arial" w:hAnsi="Arial"/>
                <w:sz w:val="13"/>
                <w:szCs w:val="13"/>
                <w:color w:val="auto"/>
              </w:rPr>
              <w:t>Redemption Note settlement</w:t>
            </w: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9,211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9,211</w:t>
            </w:r>
          </w:p>
        </w:tc>
      </w:tr>
      <w:tr>
        <w:trPr>
          <w:trHeight w:val="2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common stock</w:t>
            </w:r>
          </w:p>
        </w:tc>
        <w:tc>
          <w:tcPr>
            <w:tcW w:w="9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5,300,000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53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915,187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915,240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915,240</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Issuance of restricted stock</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280,834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1,295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1,298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1,799</w:t>
            </w:r>
          </w:p>
        </w:tc>
      </w:tr>
      <w:tr>
        <w:trPr>
          <w:trHeight w:val="278"/>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Cancellation of restricted stock</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(75,908)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Exercise of stock options</w:t>
            </w:r>
          </w:p>
        </w:tc>
        <w:tc>
          <w:tcPr>
            <w:tcW w:w="940" w:type="dxa"/>
            <w:vAlign w:val="bottom"/>
          </w:tcPr>
          <w:p>
            <w:pPr>
              <w:jc w:val="right"/>
              <w:ind w:right="56"/>
              <w:spacing w:after="0"/>
              <w:rPr>
                <w:sz w:val="20"/>
                <w:szCs w:val="20"/>
                <w:color w:val="auto"/>
              </w:rPr>
            </w:pPr>
            <w:r>
              <w:rPr>
                <w:rFonts w:ascii="Arial" w:cs="Arial" w:eastAsia="Arial" w:hAnsi="Arial"/>
                <w:sz w:val="13"/>
                <w:szCs w:val="13"/>
                <w:color w:val="auto"/>
              </w:rPr>
              <w:t>238,780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19,805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19,807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506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20,313</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 repurchased by the</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35"/>
        </w:trPr>
        <w:tc>
          <w:tcPr>
            <w:tcW w:w="184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Company and held as treasury</w:t>
            </w: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shares</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(18,490)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6"/>
              <w:spacing w:after="0"/>
              <w:rPr>
                <w:sz w:val="20"/>
                <w:szCs w:val="20"/>
                <w:color w:val="auto"/>
              </w:rPr>
            </w:pPr>
            <w:r>
              <w:rPr>
                <w:rFonts w:ascii="Arial" w:cs="Arial" w:eastAsia="Arial" w:hAnsi="Arial"/>
                <w:sz w:val="13"/>
                <w:szCs w:val="13"/>
                <w:color w:val="auto"/>
              </w:rPr>
              <w:t>(2,805)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(2,805)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(2,805)</w:t>
            </w:r>
          </w:p>
        </w:tc>
      </w:tr>
      <w:tr>
        <w:trPr>
          <w:trHeight w:val="262"/>
        </w:trPr>
        <w:tc>
          <w:tcPr>
            <w:tcW w:w="1840" w:type="dxa"/>
            <w:vAlign w:val="bottom"/>
          </w:tcPr>
          <w:p>
            <w:pPr>
              <w:ind w:left="40"/>
              <w:spacing w:after="0"/>
              <w:rPr>
                <w:sz w:val="20"/>
                <w:szCs w:val="20"/>
                <w:color w:val="auto"/>
              </w:rPr>
            </w:pPr>
            <w:r>
              <w:rPr>
                <w:rFonts w:ascii="Arial" w:cs="Arial" w:eastAsia="Arial" w:hAnsi="Arial"/>
                <w:sz w:val="13"/>
                <w:szCs w:val="13"/>
                <w:color w:val="auto"/>
              </w:rPr>
              <w:t>Cash dividends declared</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(214,071)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(214,071)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(276,583)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(490,654)</w:t>
            </w:r>
          </w:p>
        </w:tc>
      </w:tr>
      <w:tr>
        <w:trPr>
          <w:trHeight w:val="15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Distribution to noncontrolling</w:t>
            </w: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76"/>
        </w:trPr>
        <w:tc>
          <w:tcPr>
            <w:tcW w:w="18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(301,113)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(301,113)</w:t>
            </w:r>
          </w:p>
        </w:tc>
      </w:tr>
      <w:tr>
        <w:trPr>
          <w:trHeight w:val="264"/>
        </w:trPr>
        <w:tc>
          <w:tcPr>
            <w:tcW w:w="1840" w:type="dxa"/>
            <w:vAlign w:val="bottom"/>
          </w:tcPr>
          <w:p>
            <w:pPr>
              <w:ind w:left="40"/>
              <w:spacing w:after="0"/>
              <w:rPr>
                <w:sz w:val="20"/>
                <w:szCs w:val="20"/>
                <w:color w:val="auto"/>
              </w:rPr>
            </w:pPr>
            <w:r>
              <w:rPr>
                <w:rFonts w:ascii="Arial" w:cs="Arial" w:eastAsia="Arial" w:hAnsi="Arial"/>
                <w:sz w:val="13"/>
                <w:szCs w:val="13"/>
                <w:color w:val="auto"/>
              </w:rPr>
              <w:t>Stock-based compensation</w:t>
            </w: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20" w:type="dxa"/>
            <w:vAlign w:val="bottom"/>
          </w:tcPr>
          <w:p>
            <w:pPr>
              <w:jc w:val="right"/>
              <w:ind w:right="56"/>
              <w:spacing w:after="0"/>
              <w:rPr>
                <w:sz w:val="20"/>
                <w:szCs w:val="20"/>
                <w:color w:val="auto"/>
              </w:rPr>
            </w:pPr>
            <w:r>
              <w:rPr>
                <w:rFonts w:ascii="Arial" w:cs="Arial" w:eastAsia="Arial" w:hAnsi="Arial"/>
                <w:sz w:val="13"/>
                <w:szCs w:val="13"/>
                <w:color w:val="auto"/>
              </w:rPr>
              <w:t>21,141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color w:val="auto"/>
              </w:rPr>
              <w:t>21,141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2,056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ind w:right="37"/>
              <w:spacing w:after="0"/>
              <w:rPr>
                <w:sz w:val="20"/>
                <w:szCs w:val="20"/>
                <w:color w:val="auto"/>
              </w:rPr>
            </w:pPr>
            <w:r>
              <w:rPr>
                <w:rFonts w:ascii="Arial" w:cs="Arial" w:eastAsia="Arial" w:hAnsi="Arial"/>
                <w:sz w:val="13"/>
                <w:szCs w:val="13"/>
                <w:color w:val="auto"/>
              </w:rPr>
              <w:t>23,197</w:t>
            </w:r>
          </w:p>
        </w:tc>
      </w:tr>
      <w:tr>
        <w:trPr>
          <w:trHeight w:val="242"/>
        </w:trPr>
        <w:tc>
          <w:tcPr>
            <w:tcW w:w="1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5"/>
              </w:rPr>
              <w:t>Balances, September 30, 2018</w:t>
            </w:r>
          </w:p>
        </w:tc>
        <w:tc>
          <w:tcPr>
            <w:tcW w:w="94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108,731,082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56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1,221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3"/>
                <w:szCs w:val="13"/>
                <w:b w:val="1"/>
                <w:bCs w:val="1"/>
                <w:color w:val="auto"/>
              </w:rPr>
              <w:t>(1,187,273)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Arial" w:cs="Arial" w:eastAsia="Arial" w:hAnsi="Arial"/>
                <w:sz w:val="13"/>
                <w:szCs w:val="13"/>
                <w:b w:val="1"/>
                <w:bCs w:val="1"/>
                <w:color w:val="auto"/>
              </w:rPr>
              <w:t>2,455,357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(2,083)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537,771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1,804,993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(264,710)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1,540,283</w:t>
            </w:r>
          </w:p>
        </w:tc>
      </w:tr>
      <w:tr>
        <w:trPr>
          <w:trHeight w:val="20"/>
        </w:trPr>
        <w:tc>
          <w:tcPr>
            <w:tcW w:w="1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right"/>
        <w:ind w:right="46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Net income</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58420</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 expense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extinguishment of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Provision (benefit)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derivatives fair value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 in Redemption Note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Property charges and other</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Increase (decrease) in cash from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Receivables, net</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Inventories and 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Customer deposits</w:t>
      </w:r>
    </w:p>
    <w:p>
      <w:pPr>
        <w:spacing w:after="0" w:line="86" w:lineRule="exact"/>
        <w:rPr>
          <w:sz w:val="20"/>
          <w:szCs w:val="20"/>
          <w:color w:val="auto"/>
        </w:rPr>
      </w:pPr>
    </w:p>
    <w:p>
      <w:pPr>
        <w:ind w:left="720"/>
        <w:spacing w:after="0"/>
        <w:rPr>
          <w:sz w:val="20"/>
          <w:szCs w:val="20"/>
          <w:color w:val="auto"/>
        </w:rPr>
      </w:pPr>
      <w:r>
        <w:rPr>
          <w:rFonts w:ascii="Arial" w:cs="Arial" w:eastAsia="Arial" w:hAnsi="Arial"/>
          <w:sz w:val="16"/>
          <w:szCs w:val="16"/>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Capital expenditures, net of construction payables and retention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investment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or maturity of investment securities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Purchase of intangible assets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sale of assets</w:t>
      </w:r>
    </w:p>
    <w:p>
      <w:pPr>
        <w:spacing w:after="0" w:line="8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2017</w:t>
            </w:r>
          </w:p>
        </w:tc>
      </w:tr>
      <w:tr>
        <w:trPr>
          <w:trHeight w:val="258"/>
        </w:trPr>
        <w:tc>
          <w:tcPr>
            <w:tcW w:w="3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ind w:right="260"/>
              <w:spacing w:after="0"/>
              <w:rPr>
                <w:sz w:val="20"/>
                <w:szCs w:val="20"/>
                <w:color w:val="auto"/>
              </w:rPr>
            </w:pPr>
            <w:r>
              <w:rPr>
                <w:rFonts w:ascii="Arial" w:cs="Arial" w:eastAsia="Arial" w:hAnsi="Arial"/>
                <w:sz w:val="14"/>
                <w:szCs w:val="14"/>
                <w:b w:val="1"/>
                <w:bCs w:val="1"/>
                <w:color w:val="auto"/>
              </w:rPr>
              <w:t>(as adjusted)</w:t>
            </w:r>
          </w:p>
        </w:tc>
      </w:tr>
      <w:tr>
        <w:trPr>
          <w:trHeight w:val="519"/>
        </w:trPr>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287,574</w:t>
            </w: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345,290</w:t>
            </w:r>
          </w:p>
        </w:tc>
      </w:tr>
      <w:tr>
        <w:trPr>
          <w:trHeight w:val="540"/>
        </w:trPr>
        <w:tc>
          <w:tcPr>
            <w:tcW w:w="360" w:type="dxa"/>
            <w:vAlign w:val="bottom"/>
          </w:tcPr>
          <w:p>
            <w:pPr>
              <w:spacing w:after="0"/>
              <w:rPr>
                <w:sz w:val="24"/>
                <w:szCs w:val="24"/>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411,685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415,488</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(123,516)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20,830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28,762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29,290</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25,241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18,542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43,061</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2,586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(4,593)</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1,056</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69,331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69,982</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30,464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52,683</w:t>
            </w:r>
          </w:p>
        </w:tc>
      </w:tr>
      <w:tr>
        <w:trPr>
          <w:trHeight w:val="540"/>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(11,038)</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(1,198)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(19,587)</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(212,459)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288,906</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17,755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497,889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b w:val="1"/>
                <w:bCs w:val="1"/>
                <w:color w:val="auto"/>
              </w:rPr>
              <w:t>1,277,505</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501"/>
        </w:trPr>
        <w:tc>
          <w:tcPr>
            <w:tcW w:w="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(1,154,255)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(650,282)</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(34,098)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(191,147)</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359,461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171,375</w:t>
            </w:r>
          </w:p>
        </w:tc>
      </w:tr>
      <w:tr>
        <w:trPr>
          <w:trHeight w:val="270"/>
        </w:trPr>
        <w:tc>
          <w:tcPr>
            <w:tcW w:w="3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(102,388)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(13,408)</w:t>
            </w:r>
          </w:p>
        </w:tc>
      </w:tr>
      <w:tr>
        <w:trPr>
          <w:trHeight w:val="270"/>
        </w:trPr>
        <w:tc>
          <w:tcPr>
            <w:tcW w:w="360" w:type="dxa"/>
            <w:vAlign w:val="bottom"/>
          </w:tcPr>
          <w:p>
            <w:pPr>
              <w:spacing w:after="0"/>
              <w:rPr>
                <w:sz w:val="23"/>
                <w:szCs w:val="23"/>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2,387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20"/>
              <w:spacing w:after="0"/>
              <w:rPr>
                <w:sz w:val="20"/>
                <w:szCs w:val="20"/>
                <w:color w:val="auto"/>
              </w:rPr>
            </w:pPr>
            <w:r>
              <w:rPr>
                <w:rFonts w:ascii="Arial" w:cs="Arial" w:eastAsia="Arial" w:hAnsi="Arial"/>
                <w:sz w:val="16"/>
                <w:szCs w:val="16"/>
                <w:color w:val="auto"/>
              </w:rPr>
              <w:t>20,303</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7"/>
        </w:trPr>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b w:val="1"/>
                <w:bCs w:val="1"/>
                <w:color w:val="auto"/>
              </w:rPr>
              <w:t>(928,893)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b w:val="1"/>
                <w:bCs w:val="1"/>
                <w:color w:val="auto"/>
              </w:rPr>
              <w:t>(663,159)</w:t>
            </w:r>
          </w:p>
        </w:tc>
      </w:tr>
      <w:tr>
        <w:trPr>
          <w:trHeight w:val="33"/>
        </w:trPr>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bl>
    <w:p>
      <w:pPr>
        <w:spacing w:after="0" w:line="287"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p>
      <w:pPr>
        <w:ind w:left="380"/>
        <w:spacing w:after="0"/>
        <w:rPr>
          <w:sz w:val="20"/>
          <w:szCs w:val="20"/>
          <w:color w:val="auto"/>
        </w:rPr>
      </w:pPr>
      <w:r>
        <w:rPr>
          <w:rFonts w:ascii="Arial" w:cs="Arial" w:eastAsia="Arial" w:hAnsi="Arial"/>
          <w:sz w:val="16"/>
          <w:szCs w:val="16"/>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Repayments of long-term debt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Distribution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4"/>
          <w:szCs w:val="14"/>
          <w:color w:val="auto"/>
        </w:rPr>
        <w:t>Proceeds from note receivable from sale of ownership interest in subsidiary</w:t>
      </w:r>
    </w:p>
    <w:p>
      <w:pPr>
        <w:spacing w:after="0" w:line="12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Income taxes paid from sale of ownership interest of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3"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issuance of common stock, net of issuance costs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Repurchase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exercise of stock options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to acquire derivatives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Payments for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2" w:lineRule="exact"/>
        <w:rPr>
          <w:sz w:val="20"/>
          <w:szCs w:val="20"/>
          <w:color w:val="auto"/>
        </w:rPr>
      </w:pPr>
    </w:p>
    <w:p>
      <w:pPr>
        <w:ind w:left="114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Effect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803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100" w:lineRule="exact"/>
        <w:rPr>
          <w:sz w:val="20"/>
          <w:szCs w:val="20"/>
          <w:color w:val="auto"/>
        </w:rPr>
      </w:pPr>
    </w:p>
    <w:p>
      <w:pPr>
        <w:ind w:left="380"/>
        <w:spacing w:after="0"/>
        <w:rPr>
          <w:sz w:val="20"/>
          <w:szCs w:val="20"/>
          <w:color w:val="auto"/>
        </w:rPr>
      </w:pPr>
      <w:r>
        <w:rPr>
          <w:rFonts w:ascii="Arial" w:cs="Arial" w:eastAsia="Arial" w:hAnsi="Arial"/>
          <w:sz w:val="15"/>
          <w:szCs w:val="15"/>
          <w:b w:val="1"/>
          <w:bCs w:val="1"/>
          <w:color w:val="auto"/>
        </w:rPr>
        <w:t>(Decrease) increase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beginning of period</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cash flow disclosures: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40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2,288,605</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2,429,988</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(3,030,526)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(2,416,319)</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(301,113)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(6,201)</w:t>
            </w:r>
          </w:p>
        </w:tc>
      </w:tr>
      <w:tr>
        <w:trPr>
          <w:trHeight w:val="270"/>
        </w:trPr>
        <w:tc>
          <w:tcPr>
            <w:tcW w:w="4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75,000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(25,176)</w:t>
            </w:r>
          </w:p>
        </w:tc>
      </w:tr>
      <w:tr>
        <w:trPr>
          <w:trHeight w:val="270"/>
        </w:trPr>
        <w:tc>
          <w:tcPr>
            <w:tcW w:w="4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915,187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(8,489)</w:t>
            </w:r>
          </w:p>
        </w:tc>
      </w:tr>
      <w:tr>
        <w:trPr>
          <w:trHeight w:val="270"/>
        </w:trPr>
        <w:tc>
          <w:tcPr>
            <w:tcW w:w="4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20,313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48,653</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(350,694)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(270,091)</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(3,900)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(33,787)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(70,496)</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(423,720)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(318,131)</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1,090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(3,460)</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501"/>
        </w:trPr>
        <w:tc>
          <w:tcPr>
            <w:tcW w:w="4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(853,634)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292,755</w:t>
            </w:r>
          </w:p>
        </w:tc>
      </w:tr>
      <w:tr>
        <w:trPr>
          <w:trHeight w:val="270"/>
        </w:trPr>
        <w:tc>
          <w:tcPr>
            <w:tcW w:w="40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2,806,634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2,645,945</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17"/>
        </w:trPr>
        <w:tc>
          <w:tcPr>
            <w:tcW w:w="400" w:type="dxa"/>
            <w:vAlign w:val="bottom"/>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Pr>
          <w:p>
            <w:pPr>
              <w:jc w:val="right"/>
              <w:ind w:right="39"/>
              <w:spacing w:after="0"/>
              <w:rPr>
                <w:sz w:val="20"/>
                <w:szCs w:val="20"/>
                <w:color w:val="auto"/>
              </w:rPr>
            </w:pPr>
            <w:r>
              <w:rPr>
                <w:rFonts w:ascii="Arial" w:cs="Arial" w:eastAsia="Arial" w:hAnsi="Arial"/>
                <w:sz w:val="16"/>
                <w:szCs w:val="16"/>
                <w:b w:val="1"/>
                <w:bCs w:val="1"/>
                <w:color w:val="auto"/>
              </w:rPr>
              <w:t>1,953,000</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ind w:right="19"/>
              <w:spacing w:after="0"/>
              <w:rPr>
                <w:sz w:val="20"/>
                <w:szCs w:val="20"/>
                <w:color w:val="auto"/>
              </w:rPr>
            </w:pPr>
            <w:r>
              <w:rPr>
                <w:rFonts w:ascii="Arial" w:cs="Arial" w:eastAsia="Arial" w:hAnsi="Arial"/>
                <w:sz w:val="16"/>
                <w:szCs w:val="16"/>
                <w:b w:val="1"/>
                <w:bCs w:val="1"/>
                <w:color w:val="auto"/>
              </w:rPr>
              <w:t>2,938,700</w:t>
            </w:r>
          </w:p>
        </w:tc>
      </w:tr>
      <w:tr>
        <w:trPr>
          <w:trHeight w:val="33"/>
        </w:trPr>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513"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Cash paid for interest, net of amounts capitalized</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276,989</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301,800</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Property and equipment acquired under capital lease</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16,593</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Stock-based compensation capitalized into construction</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Liability settled with shares of common stock</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1,800</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19,225</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Change in accounts and construction payables related to property and equipment</w:t>
            </w:r>
          </w:p>
        </w:tc>
        <w:tc>
          <w:tcPr>
            <w:tcW w:w="142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7,718</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(35,375)</w:t>
            </w: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Change in dividends payable on unvested restricted stock included in other accrued liabilities</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59"/>
              <w:spacing w:after="0"/>
              <w:rPr>
                <w:sz w:val="20"/>
                <w:szCs w:val="20"/>
                <w:color w:val="auto"/>
              </w:rPr>
            </w:pPr>
            <w:r>
              <w:rPr>
                <w:rFonts w:ascii="Arial" w:cs="Arial" w:eastAsia="Arial" w:hAnsi="Arial"/>
                <w:sz w:val="16"/>
                <w:szCs w:val="16"/>
                <w:color w:val="auto"/>
              </w:rPr>
              <w:t>1,144</w:t>
            </w:r>
          </w:p>
        </w:tc>
        <w:tc>
          <w:tcPr>
            <w:tcW w:w="5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(427)</w:t>
            </w:r>
          </w:p>
        </w:tc>
      </w:tr>
      <w:tr>
        <w:trPr>
          <w:trHeight w:val="33"/>
        </w:trPr>
        <w:tc>
          <w:tcPr>
            <w:tcW w:w="74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7"/>
        </w:trPr>
        <w:tc>
          <w:tcPr>
            <w:tcW w:w="74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Dividends payable to noncontrolling interests</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138,816</w:t>
            </w:r>
          </w:p>
        </w:tc>
        <w:tc>
          <w:tcPr>
            <w:tcW w:w="5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4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121" w:right="239" w:bottom="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9019"/>
          </w:cols>
          <w:pgMar w:left="1440" w:top="719"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40"/>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9019"/>
          </w:cols>
          <w:pgMar w:left="1440" w:top="719" w:right="1440"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1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1 -</w:t>
      </w:r>
      <w:r>
        <w:rPr>
          <w:sz w:val="20"/>
          <w:szCs w:val="20"/>
          <w:color w:val="auto"/>
        </w:rPr>
        <w:tab/>
      </w:r>
      <w:r>
        <w:rPr>
          <w:rFonts w:ascii="Arial" w:cs="Arial" w:eastAsia="Arial" w:hAnsi="Arial"/>
          <w:sz w:val="16"/>
          <w:szCs w:val="16"/>
          <w:b w:val="1"/>
          <w:bCs w:val="1"/>
          <w:color w:val="auto"/>
        </w:rPr>
        <w:t>Organization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developer, owner and operator of destination casino resorts (integrated resorts). In the Macau Special Administrative Region of the People's Republic of China ("Macau"), the Company owns approximately 72% of Wynn Macau, Limited ("WML"), which includes the operations of the Wynn Palace and Wynn Macau resorts (collectively, the "Macau Operations"). In Las Vegas, Nevada, the Company operates and, with the exception of the retail space described below, owns 100% of Wynn Las Vegas, which it also refers to as its Las Vegas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Wynn Palace features a luxury hotel tower with 1,706 guest rooms, suites and villas, approximately 424,000 square feet of casino space, 13 food and beverage outlets, approximately 37,000 square feet of meeting and convention space, approximately 106,000 square feet of retail space, public attractions including a performance lake and floral art displays and recreation and leisure facilities.</w:t>
      </w:r>
    </w:p>
    <w:p>
      <w:pPr>
        <w:spacing w:after="0" w:line="181"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Wynn Macau features two luxury hotel towers with a total of 1,008 guest rooms and suites, approximately 273,000 square feet of casino space, 12 food and beverage outlets, approximately 31,000 square feet of meeting and convention space, approximately 59,000 square feet of retail space, a rotunda show and recreation and leisure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Wynn Las Vegas features two luxury hotel towers with a total of 4,748 guest rooms, suites and villas, approximately 192,000 square feet of casino space, 32 food and beverage outlets, approximately 290,000 square feet of meeting and convention space, approximately 106,000 square feet of retail space (the majority of which is owned and operated under a joint venture of which the Company owns 50.1%), as well as two theaters, three nightclubs and a beach club and recreation and leisure facilities.</w:t>
      </w:r>
    </w:p>
    <w:p>
      <w:pPr>
        <w:spacing w:after="0" w:line="187"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In December 2016, the Company entered into a joint venture arrangement (the "Retail Joint Venture") with Crown Acquisitions Inc. ("Crown") to own and operate approximately 88,000 square feet of existing retail space. In November 2017, the Company contributed approximately 74,000 square feet of additional retail space to the Retail Joint Venture, the majority of which is currently under construction at Wynn Las Vegas. The Company expects to open the additional retail space in the fourth quarter of 2018. For more information on the Retail Joint Venture, see Note 12, "Retail Joint Venture."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Development Projects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is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Company expects to open Encore Boston Harbor in mid-2019.</w:t>
      </w:r>
    </w:p>
    <w:p>
      <w:pPr>
        <w:spacing w:after="0" w:line="181" w:lineRule="exact"/>
        <w:rPr>
          <w:sz w:val="20"/>
          <w:szCs w:val="20"/>
          <w:color w:val="auto"/>
        </w:rPr>
      </w:pPr>
    </w:p>
    <w:p>
      <w:pPr>
        <w:ind w:right="260" w:firstLine="405"/>
        <w:spacing w:after="0" w:line="312" w:lineRule="auto"/>
        <w:rPr>
          <w:sz w:val="20"/>
          <w:szCs w:val="20"/>
          <w:color w:val="auto"/>
        </w:rPr>
      </w:pPr>
      <w:r>
        <w:rPr>
          <w:rFonts w:ascii="Arial" w:cs="Arial" w:eastAsia="Arial" w:hAnsi="Arial"/>
          <w:sz w:val="16"/>
          <w:szCs w:val="16"/>
          <w:color w:val="auto"/>
        </w:rPr>
        <w:t>The Company is currently constructing approximately 430,000 square feet of additional meeting and convention space at Wynn Las Vegas and has begun design and site preparation for the reconfiguration of the Wynn Las Vegas golf course, which the Company closed in the fourth quarter of 2017. The Company expects to reopen the golf course in the fourth quarter of 2019 and open the additional meeting and convention space in the first quarter of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60" w:firstLine="432"/>
        <w:spacing w:after="0" w:line="273" w:lineRule="auto"/>
        <w:rPr>
          <w:sz w:val="20"/>
          <w:szCs w:val="20"/>
          <w:color w:val="auto"/>
        </w:rPr>
      </w:pPr>
      <w:r>
        <w:rPr>
          <w:rFonts w:ascii="Arial" w:cs="Arial" w:eastAsia="Arial" w:hAnsi="Arial"/>
          <w:sz w:val="17"/>
          <w:szCs w:val="17"/>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all adjustments (which, except as otherwise described in Note 2 below, include only normal recurring adjustments) necessary for a fair presentation of the results for the interim periods have been made. The results for the three and nine months ended September 30, 2018 are not</w:t>
      </w:r>
    </w:p>
    <w:p>
      <w:pPr>
        <w:spacing w:after="0" w:line="36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2017.</w:t>
      </w:r>
    </w:p>
    <w:p>
      <w:pPr>
        <w:spacing w:after="0" w:line="12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2 -</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right="60" w:firstLine="432"/>
        <w:spacing w:after="0" w:line="276" w:lineRule="auto"/>
        <w:rPr>
          <w:sz w:val="20"/>
          <w:szCs w:val="20"/>
          <w:color w:val="auto"/>
        </w:rPr>
      </w:pPr>
      <w:r>
        <w:rPr>
          <w:rFonts w:ascii="Arial" w:cs="Arial" w:eastAsia="Arial" w:hAnsi="Arial"/>
          <w:sz w:val="17"/>
          <w:szCs w:val="17"/>
          <w:color w:val="auto"/>
        </w:rPr>
        <w:t>The accompanying condensed consolidated financial statements include the accounts of the Company, its majority-owned subsidiaries and entities the Company identifies as a variable interest entity ("VIE") for which the Company is determined to be the primary beneficiary. For information on the Company's VIEs, see Note 12, "Retail Joint Venture." All intercompany accounts and transactions have been eliminated. Certain prior period amounts have been reclassified to be consistent with current year presentation. Such reclassifications relate to the adoption of new accounting guidance as further described below in "Recently Adopted Accounting Standards" and had no effect on the previously reported net income.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w:t>
      </w:r>
    </w:p>
    <w:p>
      <w:pPr>
        <w:spacing w:after="0" w:line="225" w:lineRule="exact"/>
        <w:rPr>
          <w:sz w:val="20"/>
          <w:szCs w:val="20"/>
          <w:color w:val="auto"/>
        </w:rPr>
      </w:pPr>
    </w:p>
    <w:p>
      <w:pPr>
        <w:ind w:right="900" w:firstLine="432"/>
        <w:spacing w:after="0" w:line="308" w:lineRule="auto"/>
        <w:rPr>
          <w:sz w:val="20"/>
          <w:szCs w:val="20"/>
          <w:color w:val="auto"/>
        </w:rPr>
      </w:pPr>
      <w:r>
        <w:rPr>
          <w:rFonts w:ascii="Arial" w:cs="Arial" w:eastAsia="Arial" w:hAnsi="Arial"/>
          <w:sz w:val="17"/>
          <w:szCs w:val="17"/>
          <w:color w:val="auto"/>
        </w:rPr>
        <w:t>Cash and cash equivalents consist of highly liquid investments with original maturities of three months or less and include both U.S. dollar-denominated and foreign-currency denominated securities. Cash equivalents are carried at cost, which approximates fair value.</w:t>
      </w:r>
    </w:p>
    <w:p>
      <w:pPr>
        <w:spacing w:after="0" w:line="14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79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2017</w:t>
            </w:r>
          </w:p>
        </w:tc>
      </w:tr>
      <w:tr>
        <w:trPr>
          <w:trHeight w:val="25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7940" w:type="dxa"/>
            <w:vAlign w:val="bottom"/>
          </w:tcPr>
          <w:p>
            <w:pPr>
              <w:ind w:left="18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1,521,691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2,354,244</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427,562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450,230</w:t>
            </w:r>
          </w:p>
        </w:tc>
      </w:tr>
      <w:tr>
        <w:trPr>
          <w:trHeight w:val="237"/>
        </w:trPr>
        <w:tc>
          <w:tcPr>
            <w:tcW w:w="79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1,949,253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2,804,474</w:t>
            </w:r>
          </w:p>
        </w:tc>
      </w:tr>
      <w:tr>
        <w:trPr>
          <w:trHeight w:val="27"/>
        </w:trPr>
        <w:tc>
          <w:tcPr>
            <w:tcW w:w="7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1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3,747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2,160</w:t>
            </w:r>
          </w:p>
        </w:tc>
      </w:tr>
      <w:tr>
        <w:trPr>
          <w:trHeight w:val="237"/>
        </w:trPr>
        <w:tc>
          <w:tcPr>
            <w:tcW w:w="7940" w:type="dxa"/>
            <w:vAlign w:val="bottom"/>
          </w:tcPr>
          <w:p>
            <w:pPr>
              <w:ind w:left="4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1,953,000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2,806,634</w:t>
            </w:r>
          </w:p>
        </w:tc>
      </w:tr>
      <w:tr>
        <w:trPr>
          <w:trHeight w:val="27"/>
        </w:trPr>
        <w:tc>
          <w:tcPr>
            <w:tcW w:w="7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7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an obligation and cash held in a trust in accordance with WML's share award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225"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Investment securities consist of domestic and foreign short-term and long-term investments in corporate bonds reported at fair value, with unrealized gains and losses, net of tax, reported in other comprehensive income (loss). Short-term investments have a maturity date of less than one year and long-term investments are those with a maturity date greater than one year. The Company limits the amount of exposure to any one issuer with the objective of minimizing the potential risk of principal loss. Management determines the appropriate classification of its securities at the time of purchase and reevaluates such designation as of each balance sheet date. Adjustments are made for amortization of premiums and accretion of discounts to maturity computed under the effective interest method. Such amortization is included in interest income together with realized gains and losses and the stated interest on such securities.</w:t>
      </w:r>
    </w:p>
    <w:p>
      <w:pPr>
        <w:spacing w:after="0" w:line="18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The Company obtains pricing information in determining the fair value of its available-for-sale securities from independent pricing vendors. Based on management's inquiries, the pricing vendors use various pricing models consistent with what other market participants would use. The assumptions and inputs used by the pricing vendors are derived from market observable sources including: reported trades, broker/dealer quotes, issuer spreads, benchmark curves, bids, offers and other market-related data. The Company has not made adjustments to such prices. Each quarter, the Company validates the fair value pricing methodology to determine if the fair value is consistent with applicable accounting guidance and to confirm that the securities are classified properly in the fair value hierarchy. The Company compares the pricing received from its vendors to independent sources for the same or similar securities.</w:t>
      </w:r>
    </w:p>
    <w:p>
      <w:pPr>
        <w:spacing w:after="0" w:line="35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40" w:firstLine="432"/>
        <w:spacing w:after="0" w:line="30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September 30, 2018 and December 31, 2017, approximately 84.3% and 81.7%,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5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An estimated allowance for doubtful accounts is maintained to reduce the Company's receivables to their carrying amount, which approximates fair value. The allowance estimate reflects specific review of customer accounts and outstanding gaming promoter accounts as well as management's experience with historical and current collection trends and current economic and business conditions. Accounts are written off when management deems them to be uncollectible. Recoveries of accounts previously written off are recorded when received.</w:t>
      </w:r>
    </w:p>
    <w:p>
      <w:pPr>
        <w:spacing w:after="0" w:line="18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173,664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22,487</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55,782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58,577</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263,057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254,728</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(30,600)</w:t>
            </w:r>
          </w:p>
        </w:tc>
      </w:tr>
      <w:tr>
        <w:trPr>
          <w:trHeight w:val="237"/>
        </w:trPr>
        <w:tc>
          <w:tcPr>
            <w:tcW w:w="834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232,672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224,128</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uses derivative financial instruments to manage interest rate exposure. The fair value of derivative financial instruments is recognized as an asset or liability at each balance sheet date, with changes in fair value recorded in earnings as the Company's derivative financial instruments do not qualify for hedge accounting.</w:t>
      </w:r>
    </w:p>
    <w:p>
      <w:pPr>
        <w:spacing w:after="0" w:line="181" w:lineRule="exact"/>
        <w:rPr>
          <w:sz w:val="20"/>
          <w:szCs w:val="20"/>
          <w:color w:val="auto"/>
        </w:rPr>
      </w:pPr>
    </w:p>
    <w:p>
      <w:pPr>
        <w:ind w:right="60" w:firstLine="405"/>
        <w:spacing w:after="0" w:line="288" w:lineRule="auto"/>
        <w:rPr>
          <w:sz w:val="20"/>
          <w:szCs w:val="20"/>
          <w:color w:val="auto"/>
        </w:rPr>
      </w:pPr>
      <w:r>
        <w:rPr>
          <w:rFonts w:ascii="Arial" w:cs="Arial" w:eastAsia="Arial" w:hAnsi="Arial"/>
          <w:sz w:val="16"/>
          <w:szCs w:val="16"/>
          <w:color w:val="auto"/>
        </w:rPr>
        <w:t>In accordance with the terms of the Retail Term Loan Agreement (as defined in Note 6, "Long-Term Debt"), the Retail Borrowers (as defined in Note 6, "Long-Term Debt") entered into a five-year interest rate collar with a notional value of $615 million for a cash payment of $3.9 million in July 2018. The interest rate collar establishes a range whereby the Retail Borrowers will pay the counterparty if one-month LIBOR falls below the established floor rate</w:t>
      </w:r>
    </w:p>
    <w:p>
      <w:pPr>
        <w:ind w:right="60"/>
        <w:spacing w:after="0" w:line="270" w:lineRule="auto"/>
        <w:rPr>
          <w:sz w:val="20"/>
          <w:szCs w:val="20"/>
          <w:color w:val="auto"/>
        </w:rPr>
      </w:pPr>
      <w:r>
        <w:rPr>
          <w:rFonts w:ascii="Arial" w:cs="Arial" w:eastAsia="Arial" w:hAnsi="Arial"/>
          <w:sz w:val="17"/>
          <w:szCs w:val="17"/>
          <w:color w:val="auto"/>
        </w:rPr>
        <w:t>of 1.00%, and the counterparty will pay the Retail Borrowers if one-month LIBOR exceeds the ceiling rate of 3.75%. The interest rate collar settles monthly commencing in August 2019 through the termination date in August 2024. No payments or receipts are exchanged on interest rate collar contracts unless interest rates rise above or fall below the pre-determined ceiling or floor rate, respectively. The Company measures the fair value of the interest rate collar at each balance sheet date based on a Black-Scholes option pricing model, which incorporates observable market inputs such as market volatility and interest rates, with changes in fair value recorded in earnings. As of September 30, 2018, the fair value of the interest rate collar was $3.8 million and was recorded in other assets in the accompanying Condensed Consolidated Balance Sheet.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Note</w:t>
      </w:r>
    </w:p>
    <w:p>
      <w:pPr>
        <w:spacing w:after="0" w:line="22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On February 18, 2012, pursuant to its articles of incorporation, the Company redeemed and canceled all Aruze USA, Inc.’s ("Aruze") 24,549,222 shares of Wynn Resorts’ common stock. In connection with the redemption of the shares, the Company issued a promissory note (the "Redemption Note") with a principal amount of $1.94 billion, a maturity date of February 18, 2022 and an interest rate of 2% per annum, payable annually in arrears on each anniversary of the date of the Redemption Note. The Redemption Note was recorded at fair value in accordance with applicable accounting guidance. The Company repaid the principal amount in full on March 30, 2018. As of December 31, 2017, the fair value of the Redemption Note was $1.88 billion.</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In determining this fair value, the Company estimated the Redemption Note's present value using discounted cash flows with a probability weighted expected return for redemption assumptions and a discount rate, which included time value and non-performance risk adjustments commensurate with the risk of the Redemption Note.</w:t>
      </w:r>
    </w:p>
    <w:p>
      <w:pPr>
        <w:spacing w:after="0" w:line="181" w:lineRule="exact"/>
        <w:rPr>
          <w:sz w:val="20"/>
          <w:szCs w:val="20"/>
          <w:color w:val="auto"/>
        </w:rPr>
      </w:pPr>
    </w:p>
    <w:p>
      <w:pPr>
        <w:ind w:right="100" w:firstLine="405"/>
        <w:spacing w:after="0" w:line="255" w:lineRule="auto"/>
        <w:rPr>
          <w:sz w:val="20"/>
          <w:szCs w:val="20"/>
          <w:color w:val="auto"/>
        </w:rPr>
      </w:pPr>
      <w:r>
        <w:rPr>
          <w:rFonts w:ascii="Arial" w:cs="Arial" w:eastAsia="Arial" w:hAnsi="Arial"/>
          <w:sz w:val="18"/>
          <w:szCs w:val="18"/>
          <w:color w:val="auto"/>
        </w:rPr>
        <w:t>Considerations for the redemption assumptions included the stated maturity of the Redemption Note, uncertainty of the related cash flows, as well as potential effects of the following: uncertainties surrounding the potential outcome and timing of litigation with Aruze, Universal Entertainment Corporation and Mr. Kazuo Okada (collectively, the "Okada Parties") (see Note 13, "Commitments and Contingencies"); the outcome of ongoing investigations of Aruze by the U.S. Attorney's Office, the U.S. Department of Justice and the Nevada Gaming Control Board; and other potential legal and regulatory actions. In addition, in the furtherance of various future business objectives, the Company considered its ability, at its sole option, to prepay the Redemption Note at any time in accordance with its terms without penalty. Accordingly, the Company reasonably determined that the estimated life of the Redemption Note could be less than its contractual life.</w:t>
      </w:r>
    </w:p>
    <w:p>
      <w:pPr>
        <w:spacing w:after="0" w:line="189"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determining the appropriate discount rate to be used to calculate the estimated present value, the Company considered the Redemption Note's subordinated position and credit risk relative to all other debt in the Company's capital structure and credit ratings associated with the Company's traded debt. Observable inputs for the risk free rate were based on Federal Reserve rates for U.S. Treasury securities and the credit risk spread was based on a yield curve index of similarly rated debt.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 Company’s revenue contracts with customers consist of casino wagers and sales of rooms, food and beverage, entertainment, retail and other goods and services.</w:t>
      </w:r>
    </w:p>
    <w:p>
      <w:pPr>
        <w:spacing w:after="0" w:line="89"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Gross casino revenues are measured by the aggregate net difference between gaming wins and losses. The Company applies a practical expedient by accounting for its casino wagering transactions on a portfolio basis versus an individual basis as all wagers have similar characteristics. Commissions rebated to customers either directly or indirectly through games promoters and cash discounts and other cash incentives earned by customers are recorded as a reduction of casino revenues. In addition to the wager, casino transactions typically include performance obligations related to complimentary goods or services provided to incentivize future gaming or in exchange for points earned under the Company’s loyalty programs.</w:t>
      </w:r>
    </w:p>
    <w:p>
      <w:pPr>
        <w:spacing w:after="0" w:line="77"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For casino transactions that include complimentary goods or services provided by the Company to incentivize future gaming, the Company allocates the standalone selling price of each good or service to the appropriate revenue type based on the good or service provided. Complimentary goods or services that are provided under the Company’s control and discretion and supplied by third parties are recorded as an operating expense.</w:t>
      </w:r>
    </w:p>
    <w:p>
      <w:pPr>
        <w:spacing w:after="0" w:line="84" w:lineRule="exact"/>
        <w:rPr>
          <w:sz w:val="20"/>
          <w:szCs w:val="20"/>
          <w:color w:val="auto"/>
        </w:rPr>
      </w:pPr>
    </w:p>
    <w:p>
      <w:pPr>
        <w:ind w:right="20" w:firstLine="405"/>
        <w:spacing w:after="0" w:line="291" w:lineRule="auto"/>
        <w:rPr>
          <w:sz w:val="20"/>
          <w:szCs w:val="20"/>
          <w:color w:val="auto"/>
        </w:rPr>
      </w:pPr>
      <w:r>
        <w:rPr>
          <w:rFonts w:ascii="Arial" w:cs="Arial" w:eastAsia="Arial" w:hAnsi="Arial"/>
          <w:sz w:val="16"/>
          <w:szCs w:val="16"/>
          <w:color w:val="auto"/>
        </w:rPr>
        <w:t>The Company offers loyalty programs at both its Macau Operations and its Las Vegas Operations. Under the program at its Macau Operations, customers earn points based on their level of table games and slots play, which can be redeemed for free play, gifts and complimentary goods or services provided by the Company. Under the program at its Las Vegas Operations, customers earn points based on their level of slots play, which can be redeemed for free play. For casino transactions that include points earned under the Company’s loyalty programs, the Company defers a portion of the revenue by recording the estimated standalone selling price of the earned points that are expected to be redeemed as a liability. Upon redemption of the points for Company-owned goods or services, the standalone selling price of each good or service is allocated to the appropriate revenue type based on the good or service provided. Upon the redemption of the points with third parties, the redemption amount is deducted from the liability and paid directly to the third party.</w:t>
      </w:r>
    </w:p>
    <w:p>
      <w:pPr>
        <w:spacing w:after="0" w:line="86"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After allocating amounts to the complimentary goods or services provided and to the points earned under the Company’s loyalty programs, the residual amount is recorded as casino revenue when the wager is settled.</w:t>
      </w:r>
    </w:p>
    <w:p>
      <w:pPr>
        <w:spacing w:after="0" w:line="89" w:lineRule="exact"/>
        <w:rPr>
          <w:sz w:val="20"/>
          <w:szCs w:val="20"/>
          <w:color w:val="auto"/>
        </w:rPr>
      </w:pPr>
    </w:p>
    <w:p>
      <w:pPr>
        <w:ind w:right="120" w:firstLine="405"/>
        <w:spacing w:after="0" w:line="293" w:lineRule="auto"/>
        <w:rPr>
          <w:sz w:val="20"/>
          <w:szCs w:val="20"/>
          <w:color w:val="auto"/>
        </w:rPr>
      </w:pPr>
      <w:r>
        <w:rPr>
          <w:rFonts w:ascii="Arial" w:cs="Arial" w:eastAsia="Arial" w:hAnsi="Arial"/>
          <w:sz w:val="16"/>
          <w:szCs w:val="16"/>
          <w:color w:val="auto"/>
        </w:rPr>
        <w:t>The transaction price for rooms, food and beverage, entertainment, retail and other transactions is the net amount collected from the customer for such goods and services and is recorded as revenue when the goods are provided, services are performed or events are held. Sales tax and other applicable taxes collected by the Company are excluded from revenues. Advance deposits on rooms and advance ticket sales are performance obligations that are recorded as customer deposits until services are provided to the customer. Revenues from contracts with multiple goods or services are allocated to each good or service based on its relative standalone selling price. Entertainment, retail and other revenue also includes lease revenue, which is recognized on a time proportion basis over the lease term. Contingent lease revenue is recognized when the right to receive such revenue is established according to the lease agreements.</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which taxes are recorded as casino expenses in the accompanying Condensed Consolidated Statements of Income. These taxes totaled $638.4 million and $544.7 million for the three months ended September 30, 2018 and 2017, respectively, and $1.81 billion and $1.56 billion for the nine months ended September 30, 2018 and 2017,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and Accumulated Other Comprehensive Loss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Comprehensive income includes net income and all other non-stockholder changes in equity, or other comprehensive income (loss). Components of the Company's comprehensive income are reported in the accompanying Condensed Consolidated Statements of Stockholders' Equity and Condensed Consolidated Statements of Comprehensive Income.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presents the changes by component, net of tax and noncontrolling interests, in accumulated other comprehensive loss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9"/>
              </w:rPr>
              <w:t>Foreign</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Unrealized</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loss on</w:t>
            </w: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7"/>
              </w:rPr>
              <w:t>other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currency</w:t>
            </w: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3"/>
              </w:rPr>
              <w:t>Redemption Note</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0" w:type="dxa"/>
            <w:vAlign w:val="bottom"/>
          </w:tcPr>
          <w:p>
            <w:pPr>
              <w:spacing w:after="0"/>
              <w:rPr>
                <w:sz w:val="1"/>
                <w:szCs w:val="1"/>
                <w:color w:val="auto"/>
              </w:rPr>
            </w:pPr>
          </w:p>
        </w:tc>
      </w:tr>
      <w:tr>
        <w:trPr>
          <w:trHeight w:val="192"/>
        </w:trPr>
        <w:tc>
          <w:tcPr>
            <w:tcW w:w="6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2"/>
              </w:rPr>
              <w:t>translation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8"/>
              </w:rPr>
              <w:t>securities</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78"/>
              </w:rPr>
              <w:t>loss</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Cumulative credit risk adjustment </w:t>
            </w:r>
            <w:r>
              <w:rPr>
                <w:rFonts w:ascii="Arial" w:cs="Arial" w:eastAsia="Arial" w:hAnsi="Arial"/>
                <w:sz w:val="14"/>
                <w:szCs w:val="14"/>
                <w:color w:val="auto"/>
              </w:rPr>
              <w:t>(1)</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net unrealized gain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4,650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 xml:space="preserve">Amounts reclassified to net income </w:t>
            </w:r>
            <w:r>
              <w:rPr>
                <w:rFonts w:ascii="Arial" w:cs="Arial" w:eastAsia="Arial" w:hAnsi="Arial"/>
                <w:sz w:val="14"/>
                <w:szCs w:val="14"/>
                <w:color w:val="auto"/>
              </w:rPr>
              <w:t>(2)</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2,802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4,323</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8,973</w:t>
            </w:r>
          </w:p>
        </w:tc>
        <w:tc>
          <w:tcPr>
            <w:tcW w:w="0" w:type="dxa"/>
            <w:vAlign w:val="bottom"/>
          </w:tcPr>
          <w:p>
            <w:pPr>
              <w:spacing w:after="0"/>
              <w:rPr>
                <w:sz w:val="1"/>
                <w:szCs w:val="1"/>
                <w:color w:val="auto"/>
              </w:rPr>
            </w:pP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September 30, 2018</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(2,083)</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right="60" w:hanging="252"/>
        <w:spacing w:after="0" w:line="269" w:lineRule="auto"/>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On January 1, 2018, the Company adopted Accounting Standards Update ("ASU") No. 2016-01, </w:t>
      </w:r>
      <w:r>
        <w:rPr>
          <w:rFonts w:ascii="Arial" w:cs="Arial" w:eastAsia="Arial" w:hAnsi="Arial"/>
          <w:sz w:val="13"/>
          <w:szCs w:val="13"/>
          <w:i w:val="1"/>
          <w:iCs w:val="1"/>
          <w:color w:val="auto"/>
        </w:rPr>
        <w:t>Financial Instruments</w:t>
      </w:r>
      <w:r>
        <w:rPr>
          <w:rFonts w:ascii="Arial" w:cs="Arial" w:eastAsia="Arial" w:hAnsi="Arial"/>
          <w:sz w:val="13"/>
          <w:szCs w:val="13"/>
          <w:color w:val="auto"/>
        </w:rPr>
        <w:t>. The adjustment to the beginning balance represents the cumulative effect of the change in instrument-specific credit risk on the Redemption Note. See "Recently Adopted Accounting Standards—Financial Instruments" below for additional information.</w:t>
      </w:r>
    </w:p>
    <w:p>
      <w:pPr>
        <w:spacing w:after="0" w:line="1" w:lineRule="exact"/>
        <w:rPr>
          <w:rFonts w:ascii="Arial" w:cs="Arial" w:eastAsia="Arial" w:hAnsi="Arial"/>
          <w:sz w:val="13"/>
          <w:szCs w:val="13"/>
          <w:color w:val="auto"/>
        </w:rPr>
      </w:pPr>
    </w:p>
    <w:p>
      <w:pPr>
        <w:ind w:left="260" w:right="380" w:hanging="252"/>
        <w:spacing w:after="0" w:line="255" w:lineRule="auto"/>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amounts reclassified to net income include $1.8 million for other-than-temporary impairment losses and $1.0 million in realized losses, both related to investment securities, and a $1.5 million realized gain related to the repayment of the Redemption Note.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The Company measures certain of its financial assets and liabilities at fair value on a recurring basis pursuant to accounting standards for fair value measurements. Fair value is the price that would be received to sell an asset or paid to transfer a liability in an orderly transaction between market participants at the measurement date. These accounting standards establish a three-tier fair value hierarchy, which prioritizes the inputs used to measure fair value. These tiers include:</w:t>
      </w:r>
    </w:p>
    <w:p>
      <w:pPr>
        <w:spacing w:after="0" w:line="18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Observable inputs such as quoted prices in active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Inputs other than quoted prices in active markets that are either directly or indirectly observable.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little or no market data exists, therefore requiring an entity to develop its own assumptions.</w:t>
      </w:r>
    </w:p>
    <w:p>
      <w:pPr>
        <w:spacing w:after="0" w:line="200" w:lineRule="exact"/>
        <w:rPr>
          <w:sz w:val="20"/>
          <w:szCs w:val="20"/>
          <w:color w:val="auto"/>
        </w:rPr>
      </w:pPr>
    </w:p>
    <w:p>
      <w:pPr>
        <w:spacing w:after="0" w:line="2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b w:val="1"/>
                <w:bCs w:val="1"/>
                <w:color w:val="auto"/>
              </w:rPr>
              <w:t>427,562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427,562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3,747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b w:val="1"/>
                <w:bCs w:val="1"/>
                <w:color w:val="auto"/>
              </w:rPr>
              <w:t>3,845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3,845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3100" w:type="dxa"/>
            <w:vAlign w:val="bottom"/>
            <w:tcBorders>
              <w:bottom w:val="single" w:sz="8" w:color="auto"/>
            </w:tcBorders>
            <w:gridSpan w:val="6"/>
          </w:tcPr>
          <w:p>
            <w:pPr>
              <w:jc w:val="center"/>
              <w:ind w:left="882"/>
              <w:spacing w:after="0"/>
              <w:rPr>
                <w:sz w:val="20"/>
                <w:szCs w:val="20"/>
                <w:color w:val="auto"/>
              </w:rPr>
            </w:pPr>
            <w:r>
              <w:rPr>
                <w:rFonts w:ascii="Arial" w:cs="Arial" w:eastAsia="Arial" w:hAnsi="Arial"/>
                <w:sz w:val="14"/>
                <w:szCs w:val="14"/>
                <w:b w:val="1"/>
                <w:bCs w:val="1"/>
                <w:color w:val="auto"/>
                <w:w w:val="93"/>
              </w:rPr>
              <w:t>Fair Value Measurements Using:</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3"/>
              </w:rPr>
              <w:t>Quoted</w:t>
            </w:r>
          </w:p>
        </w:tc>
        <w:tc>
          <w:tcPr>
            <w:tcW w:w="2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Market</w:t>
            </w:r>
          </w:p>
        </w:tc>
        <w:tc>
          <w:tcPr>
            <w:tcW w:w="260" w:type="dxa"/>
            <w:vAlign w:val="bottom"/>
          </w:tcPr>
          <w:p>
            <w:pPr>
              <w:spacing w:after="0"/>
              <w:rPr>
                <w:sz w:val="12"/>
                <w:szCs w:val="12"/>
                <w:color w:val="auto"/>
              </w:rPr>
            </w:pPr>
          </w:p>
        </w:tc>
        <w:tc>
          <w:tcPr>
            <w:tcW w:w="156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6"/>
              </w:rPr>
              <w:t>Other</w:t>
            </w: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9"/>
              </w:rPr>
              <w:t>Prices in</w:t>
            </w:r>
          </w:p>
        </w:tc>
        <w:tc>
          <w:tcPr>
            <w:tcW w:w="26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240" w:type="dxa"/>
            <w:vAlign w:val="bottom"/>
            <w:vMerge w:val="restart"/>
          </w:tcPr>
          <w:p>
            <w:pPr>
              <w:jc w:val="center"/>
              <w:ind w:right="158"/>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Active</w:t>
            </w:r>
          </w:p>
        </w:tc>
        <w:tc>
          <w:tcPr>
            <w:tcW w:w="260" w:type="dxa"/>
            <w:vAlign w:val="bottom"/>
          </w:tcPr>
          <w:p>
            <w:pPr>
              <w:spacing w:after="0"/>
              <w:rPr>
                <w:sz w:val="12"/>
                <w:szCs w:val="12"/>
                <w:color w:val="auto"/>
              </w:rPr>
            </w:pPr>
          </w:p>
        </w:tc>
        <w:tc>
          <w:tcPr>
            <w:tcW w:w="156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8"/>
              </w:rPr>
              <w:t>Markets</w:t>
            </w:r>
          </w:p>
        </w:tc>
        <w:tc>
          <w:tcPr>
            <w:tcW w:w="260" w:type="dxa"/>
            <w:vAlign w:val="bottom"/>
          </w:tcPr>
          <w:p>
            <w:pPr>
              <w:spacing w:after="0"/>
              <w:rPr>
                <w:sz w:val="12"/>
                <w:szCs w:val="12"/>
                <w:color w:val="auto"/>
              </w:rPr>
            </w:pPr>
          </w:p>
        </w:tc>
        <w:tc>
          <w:tcPr>
            <w:tcW w:w="156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5"/>
              </w:rPr>
              <w:t>Inputs</w:t>
            </w:r>
          </w:p>
        </w:tc>
        <w:tc>
          <w:tcPr>
            <w:tcW w:w="124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1)</w:t>
            </w:r>
          </w:p>
        </w:tc>
        <w:tc>
          <w:tcPr>
            <w:tcW w:w="260" w:type="dxa"/>
            <w:vAlign w:val="bottom"/>
          </w:tcPr>
          <w:p>
            <w:pPr>
              <w:spacing w:after="0"/>
              <w:rPr>
                <w:sz w:val="16"/>
                <w:szCs w:val="16"/>
                <w:color w:val="auto"/>
              </w:rPr>
            </w:pPr>
          </w:p>
        </w:tc>
        <w:tc>
          <w:tcPr>
            <w:tcW w:w="15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tcPr>
          <w:p>
            <w:pPr>
              <w:jc w:val="center"/>
              <w:ind w:right="17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b w:val="1"/>
                <w:bCs w:val="1"/>
                <w:color w:val="auto"/>
              </w:rPr>
              <w:t>450,230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42"/>
              <w:spacing w:after="0"/>
              <w:rPr>
                <w:sz w:val="20"/>
                <w:szCs w:val="20"/>
                <w:color w:val="auto"/>
              </w:rPr>
            </w:pPr>
            <w:r>
              <w:rPr>
                <w:rFonts w:ascii="Arial" w:cs="Arial" w:eastAsia="Arial" w:hAnsi="Arial"/>
                <w:sz w:val="18"/>
                <w:szCs w:val="18"/>
                <w:color w:val="auto"/>
              </w:rPr>
              <w:t>11,200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439,030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Available-for-sale securities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327,455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Pr>
          <w:p>
            <w:pPr>
              <w:jc w:val="right"/>
              <w:ind w:right="37"/>
              <w:spacing w:after="0"/>
              <w:rPr>
                <w:sz w:val="20"/>
                <w:szCs w:val="20"/>
                <w:color w:val="auto"/>
              </w:rPr>
            </w:pPr>
            <w:r>
              <w:rPr>
                <w:rFonts w:ascii="Arial" w:cs="Arial" w:eastAsia="Arial" w:hAnsi="Arial"/>
                <w:sz w:val="18"/>
                <w:szCs w:val="18"/>
                <w:b w:val="1"/>
                <w:bCs w:val="1"/>
                <w:color w:val="auto"/>
              </w:rPr>
              <w:t>2,160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40"/>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5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Redemption Note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1,879,058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1,879,058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 Standard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 xml:space="preserve">In May 2014, the Financial Accounting Standards Board ("FASB") issued ASU No. 2014-09, </w:t>
      </w:r>
      <w:r>
        <w:rPr>
          <w:rFonts w:ascii="Arial" w:cs="Arial" w:eastAsia="Arial" w:hAnsi="Arial"/>
          <w:sz w:val="17"/>
          <w:szCs w:val="17"/>
          <w:i w:val="1"/>
          <w:iCs w:val="1"/>
          <w:color w:val="auto"/>
        </w:rPr>
        <w:t>Revenue from Contracts with Customers (Topic</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606)</w:t>
      </w:r>
      <w:r>
        <w:rPr>
          <w:rFonts w:ascii="Arial" w:cs="Arial" w:eastAsia="Arial" w:hAnsi="Arial"/>
          <w:sz w:val="18"/>
          <w:szCs w:val="18"/>
          <w:color w:val="auto"/>
        </w:rPr>
        <w:t>, which amends the existing revenue recognition guidance and creates a new topic for Revenue from Contracts with Customers. The guidance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an entity should recognize revenue to depict the transfer of promised goods or services to customers in an amount that reflects the consideration to which the entity expects to be entitled in exchange for those goods and services. This guidance also substantially revises required interim and annual disclosures. The Company adopted the guidance on January 1, 2018, which resulted in the following significant impacts on its Condensed Consolidated Financial Statements:</w:t>
      </w:r>
    </w:p>
    <w:p>
      <w:pPr>
        <w:spacing w:after="0" w:line="110" w:lineRule="exact"/>
        <w:rPr>
          <w:sz w:val="20"/>
          <w:szCs w:val="20"/>
          <w:color w:val="auto"/>
        </w:rPr>
      </w:pPr>
    </w:p>
    <w:p>
      <w:pPr>
        <w:ind w:left="680" w:right="420" w:hanging="321"/>
        <w:spacing w:after="0" w:line="258"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promotional allowances line item was eliminated from the Condensed Consolidated Statements of Income with the majority of the amount being netted against casino revenues.</w:t>
      </w:r>
    </w:p>
    <w:p>
      <w:pPr>
        <w:spacing w:after="0" w:line="1" w:lineRule="exact"/>
        <w:rPr>
          <w:rFonts w:ascii="Arial" w:cs="Arial" w:eastAsia="Arial" w:hAnsi="Arial"/>
          <w:sz w:val="18"/>
          <w:szCs w:val="18"/>
          <w:color w:val="auto"/>
        </w:rPr>
      </w:pPr>
    </w:p>
    <w:p>
      <w:pPr>
        <w:ind w:left="680" w:right="120" w:hanging="321"/>
        <w:spacing w:after="0" w:line="250" w:lineRule="auto"/>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estimated cost of providing complimentary goods or services will no longer be allocated primarily to casino expenses from other operating departments as the new guidance requires revenues and expenses associated with providing complimentary goods or services to be classified based on the goods or services provided.</w:t>
      </w:r>
    </w:p>
    <w:p>
      <w:pPr>
        <w:spacing w:after="0" w:line="1" w:lineRule="exact"/>
        <w:rPr>
          <w:rFonts w:ascii="Arial" w:cs="Arial" w:eastAsia="Arial" w:hAnsi="Arial"/>
          <w:sz w:val="18"/>
          <w:szCs w:val="18"/>
          <w:color w:val="auto"/>
        </w:rPr>
      </w:pPr>
    </w:p>
    <w:p>
      <w:pPr>
        <w:ind w:left="680" w:hanging="321"/>
        <w:spacing w:after="0"/>
        <w:tabs>
          <w:tab w:leader="none" w:pos="6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portion of junket commissions previously recorded as a casino expense is now recorded as a reduction of casino revenue.</w:t>
      </w:r>
    </w:p>
    <w:p>
      <w:pPr>
        <w:spacing w:after="0" w:line="9" w:lineRule="exact"/>
        <w:rPr>
          <w:rFonts w:ascii="Arial" w:cs="Arial" w:eastAsia="Arial" w:hAnsi="Arial"/>
          <w:sz w:val="18"/>
          <w:szCs w:val="18"/>
          <w:color w:val="auto"/>
        </w:rPr>
      </w:pPr>
    </w:p>
    <w:p>
      <w:pPr>
        <w:ind w:left="680" w:right="220" w:hanging="321"/>
        <w:spacing w:after="0" w:line="295" w:lineRule="auto"/>
        <w:tabs>
          <w:tab w:leader="none" w:pos="680" w:val="left"/>
        </w:tabs>
        <w:numPr>
          <w:ilvl w:val="0"/>
          <w:numId w:val="6"/>
        </w:numPr>
        <w:rPr>
          <w:rFonts w:ascii="Arial" w:cs="Arial" w:eastAsia="Arial" w:hAnsi="Arial"/>
          <w:sz w:val="19"/>
          <w:szCs w:val="19"/>
          <w:color w:val="auto"/>
        </w:rPr>
      </w:pPr>
      <w:r>
        <w:rPr>
          <w:rFonts w:ascii="Arial" w:cs="Arial" w:eastAsia="Arial" w:hAnsi="Arial"/>
          <w:sz w:val="17"/>
          <w:szCs w:val="17"/>
          <w:color w:val="auto"/>
        </w:rPr>
        <w:t>Mandatory service charges on food and beverage are now recorded on a gross basis with the amount received from the customer recorded as food and beverage revenue and the corresponding amount paid to employees recorded as food and beverage expense.</w:t>
      </w:r>
    </w:p>
    <w:p>
      <w:pPr>
        <w:spacing w:after="0" w:line="152"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Certain prior period amounts have been adjusted to reflect the full retrospective adoption of the guidance. There was no impact on the Company’s financial condition, operating income or net income.</w:t>
      </w:r>
    </w:p>
    <w:p>
      <w:pPr>
        <w:spacing w:after="0" w:line="200" w:lineRule="exact"/>
        <w:rPr>
          <w:sz w:val="20"/>
          <w:szCs w:val="20"/>
          <w:color w:val="auto"/>
        </w:rPr>
      </w:pPr>
    </w:p>
    <w:p>
      <w:pPr>
        <w:spacing w:after="0" w:line="37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22" w:right="25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The table below provides a reconciliation of amounts previously reported and the resulting impacts from the adoption of the new revenue recognition guidance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10"/>
          </w:tcPr>
          <w:p>
            <w:pPr>
              <w:jc w:val="center"/>
              <w:ind w:left="1315"/>
              <w:spacing w:after="0"/>
              <w:rPr>
                <w:sz w:val="20"/>
                <w:szCs w:val="20"/>
                <w:color w:val="auto"/>
              </w:rPr>
            </w:pPr>
            <w:r>
              <w:rPr>
                <w:rFonts w:ascii="Arial" w:cs="Arial" w:eastAsia="Arial" w:hAnsi="Arial"/>
                <w:sz w:val="14"/>
                <w:szCs w:val="14"/>
                <w:b w:val="1"/>
                <w:bCs w:val="1"/>
                <w:color w:val="auto"/>
                <w:w w:val="92"/>
              </w:rPr>
              <w:t>Three Months Ended September 30, 2017</w:t>
            </w:r>
          </w:p>
        </w:tc>
        <w:tc>
          <w:tcPr>
            <w:tcW w:w="1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Previously Reported</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Adoption of ASC 606</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Adjusted</w:t>
            </w: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1,728,064</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(176,717)</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1,551,347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(115,733)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115,733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1,612,331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(60,984)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1,551,347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1,355,004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(60,984)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1,294,020</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257,327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257,327</w:t>
            </w:r>
          </w:p>
        </w:tc>
        <w:tc>
          <w:tcPr>
            <w:tcW w:w="20" w:type="dxa"/>
            <w:vAlign w:val="bottom"/>
            <w:tcBorders>
              <w:bottom w:val="single" w:sz="8" w:color="auto"/>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602"/>
        </w:trPr>
        <w:tc>
          <w:tcPr>
            <w:tcW w:w="4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10"/>
          </w:tcPr>
          <w:p>
            <w:pPr>
              <w:jc w:val="center"/>
              <w:ind w:left="1295"/>
              <w:spacing w:after="0"/>
              <w:rPr>
                <w:sz w:val="20"/>
                <w:szCs w:val="20"/>
                <w:color w:val="auto"/>
              </w:rPr>
            </w:pPr>
            <w:r>
              <w:rPr>
                <w:rFonts w:ascii="Arial" w:cs="Arial" w:eastAsia="Arial" w:hAnsi="Arial"/>
                <w:sz w:val="14"/>
                <w:szCs w:val="14"/>
                <w:b w:val="1"/>
                <w:bCs w:val="1"/>
                <w:color w:val="auto"/>
                <w:w w:val="93"/>
              </w:rPr>
              <w:t>Nine Months Ended September 30, 2017</w:t>
            </w:r>
          </w:p>
        </w:tc>
        <w:tc>
          <w:tcPr>
            <w:tcW w:w="15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53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As Previously Reported</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9"/>
              </w:rPr>
              <w:t>Adoption of ASC 606</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As Adjusted</w:t>
            </w: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4,954,060</w:t>
            </w:r>
          </w:p>
        </w:tc>
        <w:tc>
          <w:tcPr>
            <w:tcW w:w="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(506,064)</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4,447,996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Promotional allowances</w:t>
            </w:r>
          </w:p>
        </w:tc>
        <w:tc>
          <w:tcPr>
            <w:tcW w:w="18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(336,788)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336,788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4,617,272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(169,276)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4,447,996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53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3,863,126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(169,276)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Arial" w:cs="Arial" w:eastAsia="Arial" w:hAnsi="Arial"/>
                <w:sz w:val="18"/>
                <w:szCs w:val="18"/>
                <w:color w:val="auto"/>
              </w:rPr>
              <w:t>3,693,850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5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76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754,146</w:t>
            </w:r>
          </w:p>
        </w:tc>
        <w:tc>
          <w:tcPr>
            <w:tcW w:w="20" w:type="dxa"/>
            <w:vAlign w:val="bottom"/>
            <w:shd w:val="clear" w:color="auto" w:fill="CCEEFF"/>
          </w:tcPr>
          <w:p>
            <w:pPr>
              <w:spacing w:after="0"/>
              <w:rPr>
                <w:sz w:val="22"/>
                <w:szCs w:val="22"/>
                <w:color w:val="auto"/>
              </w:rPr>
            </w:pPr>
          </w:p>
        </w:tc>
        <w:tc>
          <w:tcPr>
            <w:tcW w:w="3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54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754,146</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 - Overall (Subtopic 824-10):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Assets and Financial Liabilities</w:t>
      </w:r>
      <w:r>
        <w:rPr>
          <w:rFonts w:ascii="Arial" w:cs="Arial" w:eastAsia="Arial" w:hAnsi="Arial"/>
          <w:sz w:val="16"/>
          <w:szCs w:val="16"/>
          <w:color w:val="auto"/>
        </w:rPr>
        <w:t>, which requires equity investments to be measured at fair value with changes in fair value recognized through 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those accounted for under the equity method of accounting or those that result in consolidation of the investee). The update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This update eliminates the requirement to disclose the methods and significant assumptions used to estimate the fair value that is required to be disclosed for financial instruments measured at amortized cost on the balance sheet for public business entities. The Company adopted this guidance on January 1, 2018, which resulted in a $9.2 million cumulative unrealized loss, net of tax, being recorded to accumulated other comprehensive loss with a corresponding increase to retained earnings. The adjustment represents the portion of the cumulative change in the Redemption Note fair value resulting from the change in the instrument-specific credit risk previously included in other income (expense) on the Condensed Consolidated Statements of Income.</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Cash</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 Restricted Cash (Topic 230)</w:t>
      </w:r>
      <w:r>
        <w:rPr>
          <w:rFonts w:ascii="Arial" w:cs="Arial" w:eastAsia="Arial" w:hAnsi="Arial"/>
          <w:sz w:val="16"/>
          <w:szCs w:val="16"/>
          <w:color w:val="auto"/>
        </w:rPr>
        <w:t>, which amends the existing guidance relating to the disclosure of restricted cash and restricted cash equivalents on the statement of cash flows. The ASU requires that amounts generally described as restricted cash or restricted cash equivalents should be included with cash and cash equivalents when reconciling the beginning-of-period and end-of-period total amounts shown on the statement of cash flows. The Company adopted this guidance on January 1, 2018 on a retrospective basis and the updated disclosures are reflected for the periods presented in the Condensed Consolidated Statements of Cash Flows. For the nine months ended September 30, 2017, the change in restricted cash of $190.1 million was previously reported within net cash used in financing activities.</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Issued But Not Yet Adopted</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20" w:firstLine="405"/>
        <w:spacing w:after="0" w:line="289"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and subsequent amendments to the initial guidance: ASU No. 2017-13, ASU No. 2018-10, and ASU No. 2018-11 (collectively, "Topic 842"). Topic 842 amends the existing guidance relating to the definition of a lease, recognition of lease assets and lease liabilities on the balance sheet and the disclosure of key information about leasing activities. Under the new guidance, lessees will be required to recognize a right-of-use asset and lease liability on the balance sheet, measured on a discounted basis. Operating leases are currently not recognized on the balance sheet. Lessor accounting will remain largely unchanged, other than certain targeted improvements intended to align lessor accounting with the lessee accounting model and with the updated revenue recognition guidance. Entities are required to adopt Topic 842 using a modified retrospective transition method at one of the following application dates: (1) the later of the beginning of the earliest period presented in the financial statements and the lease commencement date or (2) on the effective date. The Company will adopt Topic 842 on January 1, 2019 using the effective date transition approach, which will result in a balance sheet presentation that is not comparable to the prior period in the first year of adoption.</w:t>
      </w:r>
    </w:p>
    <w:p>
      <w:pPr>
        <w:spacing w:after="0" w:line="167" w:lineRule="exact"/>
        <w:rPr>
          <w:sz w:val="20"/>
          <w:szCs w:val="20"/>
          <w:color w:val="auto"/>
        </w:rPr>
      </w:pPr>
    </w:p>
    <w:p>
      <w:pPr>
        <w:ind w:right="120" w:firstLine="405"/>
        <w:spacing w:after="0" w:line="291" w:lineRule="auto"/>
        <w:rPr>
          <w:sz w:val="20"/>
          <w:szCs w:val="20"/>
          <w:color w:val="auto"/>
        </w:rPr>
      </w:pPr>
      <w:r>
        <w:rPr>
          <w:rFonts w:ascii="Arial" w:cs="Arial" w:eastAsia="Arial" w:hAnsi="Arial"/>
          <w:sz w:val="16"/>
          <w:szCs w:val="16"/>
          <w:color w:val="auto"/>
        </w:rPr>
        <w:t>Topic 842 provides for transition relief by permitting the election of certain practical expedients. The Company is electing the reassessment package of practical expedients, which permits the Company not to reassess whether (1) any expired or existing contracts as of the adoption date are or contain a lease,</w:t>
      </w:r>
    </w:p>
    <w:p>
      <w:pPr>
        <w:ind w:firstLine="8"/>
        <w:spacing w:after="0" w:line="261"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lease classification remains appropriate for any expired or existing leases as of the adoption date and (3) previously capitalized costs continue to qualify as initial direct costs on expired or existing leases as of the adoption date.</w:t>
      </w:r>
    </w:p>
    <w:p>
      <w:pPr>
        <w:spacing w:after="0" w:line="184"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While the Company is currently assessing the quantitative impact the guidance will have on its Consolidated Financial Statements and related disclosures, the Company expects the most significant changes will be related to the recognition of right-of-use assets and lease liabilities for operating leases on the Company's Consolidated Balance Sheet, with no material impact to net income or cash flows.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Cloud Computing Arrangement Implementation Costs</w:t>
      </w:r>
    </w:p>
    <w:p>
      <w:pPr>
        <w:spacing w:after="0" w:line="225"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 xml:space="preserve">In August 2018, the FASB issued ASU No. 2018-15, </w:t>
      </w:r>
      <w:r>
        <w:rPr>
          <w:rFonts w:ascii="Arial" w:cs="Arial" w:eastAsia="Arial" w:hAnsi="Arial"/>
          <w:sz w:val="16"/>
          <w:szCs w:val="16"/>
          <w:i w:val="1"/>
          <w:iCs w:val="1"/>
          <w:color w:val="auto"/>
        </w:rPr>
        <w:t>Customer's Accounting for Implementation Costs Incurred in a Cloud Computing Arrangement</w:t>
      </w:r>
      <w:r>
        <w:rPr>
          <w:rFonts w:ascii="Arial" w:cs="Arial" w:eastAsia="Arial" w:hAnsi="Arial"/>
          <w:sz w:val="16"/>
          <w:szCs w:val="16"/>
          <w:color w:val="auto"/>
        </w:rPr>
        <w:t xml:space="preserve"> </w:t>
      </w:r>
      <w:r>
        <w:rPr>
          <w:rFonts w:ascii="Arial" w:cs="Arial" w:eastAsia="Arial" w:hAnsi="Arial"/>
          <w:sz w:val="16"/>
          <w:szCs w:val="16"/>
          <w:i w:val="1"/>
          <w:iCs w:val="1"/>
          <w:color w:val="auto"/>
        </w:rPr>
        <w:t>That Is a Service Contract</w:t>
      </w:r>
      <w:r>
        <w:rPr>
          <w:rFonts w:ascii="Arial" w:cs="Arial" w:eastAsia="Arial" w:hAnsi="Arial"/>
          <w:sz w:val="16"/>
          <w:szCs w:val="16"/>
          <w:color w:val="auto"/>
        </w:rPr>
        <w:t>. The ASU is intended to eliminate potential diversity in practice in accounting for costs incurred to implement cloud computing</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arrangements that are service contracts by requiring customers in such arrangements to follow internal-use software guidance with respect to such costs, with any resulting deferred implementation costs recognized over the term of the contract in the same income statement line item as the fees associated with the hosting element of the arrangement. The ASU will be effective for the Company on January 1, 2020, with early adoption permitted. The Company is currently assessing the impact the guidance will have on its Consolidated Financial Statements and related disclosures.</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3 -</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Basic earnings per share ("EPS") is computed by dividing net income attributable to Wynn Resorts, Limited by the weighted average number of common shares outstanding during the period. Diluted EPS is computed by dividing net income attributable to Wynn Resorts, Limited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4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b w:val="1"/>
                <w:bCs w:val="1"/>
                <w:color w:val="auto"/>
              </w:rPr>
              <w:t>156,115</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b w:val="1"/>
                <w:bCs w:val="1"/>
                <w:color w:val="auto"/>
              </w:rPr>
              <w:t>79,767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b w:val="1"/>
                <w:bCs w:val="1"/>
                <w:color w:val="auto"/>
              </w:rPr>
              <w:t>107,564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b w:val="1"/>
                <w:bCs w:val="1"/>
                <w:color w:val="auto"/>
              </w:rPr>
              <w:t>255,499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108,064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102,173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101,960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Potential dilutive effect of stock options and restricted stock</w:t>
            </w:r>
          </w:p>
        </w:tc>
        <w:tc>
          <w:tcPr>
            <w:tcW w:w="1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469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93"/>
              </w:rPr>
              <w:t>Weighted average common and common equivalent shares outstanding</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108,533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102,794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106,721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102,460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Net income attributable to Wynn Resorts, Limited per common share, basic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80"/>
              <w:spacing w:after="0"/>
              <w:rPr>
                <w:sz w:val="20"/>
                <w:szCs w:val="20"/>
                <w:color w:val="auto"/>
              </w:rPr>
            </w:pPr>
            <w:r>
              <w:rPr>
                <w:rFonts w:ascii="Arial" w:cs="Arial" w:eastAsia="Arial" w:hAnsi="Arial"/>
                <w:sz w:val="18"/>
                <w:szCs w:val="18"/>
                <w:color w:val="auto"/>
                <w:w w:val="94"/>
              </w:rPr>
              <w:t>Net income attributable to Wynn Resorts, Limited per common share, 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0.78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67"/>
        </w:trPr>
        <w:tc>
          <w:tcPr>
            <w:tcW w:w="606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6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60" w:type="dxa"/>
            <w:vAlign w:val="bottom"/>
          </w:tcPr>
          <w:p>
            <w:pPr>
              <w:ind w:left="280"/>
              <w:spacing w:after="0"/>
              <w:rPr>
                <w:sz w:val="20"/>
                <w:szCs w:val="20"/>
                <w:color w:val="auto"/>
              </w:rPr>
            </w:pPr>
            <w:r>
              <w:rPr>
                <w:rFonts w:ascii="Arial" w:cs="Arial" w:eastAsia="Arial" w:hAnsi="Arial"/>
                <w:sz w:val="18"/>
                <w:szCs w:val="18"/>
                <w:color w:val="auto"/>
                <w:w w:val="95"/>
              </w:rPr>
              <w:t>Anti-dilutive stock options and restricted stock excluded from the calculation</w:t>
            </w:r>
          </w:p>
        </w:tc>
        <w:tc>
          <w:tcPr>
            <w:tcW w:w="160" w:type="dxa"/>
            <w:vAlign w:val="bottom"/>
          </w:tcPr>
          <w:p>
            <w:pPr>
              <w:spacing w:after="0"/>
              <w:rPr>
                <w:sz w:val="19"/>
                <w:szCs w:val="19"/>
                <w:color w:val="auto"/>
              </w:rPr>
            </w:pPr>
          </w:p>
        </w:tc>
        <w:tc>
          <w:tcPr>
            <w:tcW w:w="1100" w:type="dxa"/>
            <w:vAlign w:val="bottom"/>
            <w:vMerge w:val="restart"/>
          </w:tcPr>
          <w:p>
            <w:pPr>
              <w:jc w:val="right"/>
              <w:ind w:right="14"/>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vMerge w:val="restart"/>
          </w:tcPr>
          <w:p>
            <w:pPr>
              <w:jc w:val="right"/>
              <w:ind w:right="34"/>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of diluted net income per share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Note 4 -</w:t>
      </w:r>
      <w:r>
        <w:rPr>
          <w:sz w:val="20"/>
          <w:szCs w:val="20"/>
          <w:color w:val="auto"/>
        </w:rPr>
        <w:tab/>
      </w:r>
      <w:r>
        <w:rPr>
          <w:rFonts w:ascii="Arial" w:cs="Arial" w:eastAsia="Arial" w:hAnsi="Arial"/>
          <w:sz w:val="15"/>
          <w:szCs w:val="15"/>
          <w:b w:val="1"/>
          <w:bCs w:val="1"/>
          <w:color w:val="auto"/>
        </w:rPr>
        <w:t>Investment Securities</w:t>
      </w:r>
    </w:p>
    <w:p>
      <w:pPr>
        <w:spacing w:after="0" w:line="229"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As of September 30, 2018, the Company had no investment securities. During the three and nine months ended September 30, 2018, the Company sold its investment securities for net proceeds of $131.8 million and $325.4 million, respectively.</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2017, investment securities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As of December 31, 2017</w:t>
            </w:r>
          </w:p>
        </w:tc>
        <w:tc>
          <w:tcPr>
            <w:tcW w:w="12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w w:val="98"/>
              </w:rPr>
              <w:t>Amortized cost</w:t>
            </w:r>
          </w:p>
        </w:tc>
        <w:tc>
          <w:tcPr>
            <w:tcW w:w="100" w:type="dxa"/>
            <w:vAlign w:val="bottom"/>
            <w:vMerge w:val="restart"/>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Gross unrealized gains</w:t>
            </w:r>
          </w:p>
        </w:tc>
        <w:tc>
          <w:tcPr>
            <w:tcW w:w="100" w:type="dxa"/>
            <w:vAlign w:val="bottom"/>
            <w:vMerge w:val="restart"/>
          </w:tcPr>
          <w:p>
            <w:pPr>
              <w:spacing w:after="0"/>
              <w:rPr>
                <w:sz w:val="14"/>
                <w:szCs w:val="14"/>
                <w:color w:val="auto"/>
              </w:rPr>
            </w:pP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Gross unrealized losses</w:t>
            </w:r>
          </w:p>
        </w:tc>
        <w:tc>
          <w:tcPr>
            <w:tcW w:w="100" w:type="dxa"/>
            <w:vAlign w:val="bottom"/>
            <w:vMerge w:val="restart"/>
          </w:tcPr>
          <w:p>
            <w:pPr>
              <w:spacing w:after="0"/>
              <w:rPr>
                <w:sz w:val="14"/>
                <w:szCs w:val="14"/>
                <w:color w:val="auto"/>
              </w:rPr>
            </w:pPr>
          </w:p>
        </w:tc>
        <w:tc>
          <w:tcPr>
            <w:tcW w:w="16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Fair value (net carrying</w:t>
            </w:r>
          </w:p>
        </w:tc>
        <w:tc>
          <w:tcPr>
            <w:tcW w:w="0" w:type="dxa"/>
            <w:vAlign w:val="bottom"/>
          </w:tcPr>
          <w:p>
            <w:pPr>
              <w:spacing w:after="0"/>
              <w:rPr>
                <w:sz w:val="1"/>
                <w:szCs w:val="1"/>
                <w:color w:val="auto"/>
              </w:rPr>
            </w:pPr>
          </w:p>
        </w:tc>
      </w:tr>
      <w:tr>
        <w:trPr>
          <w:trHeight w:val="192"/>
        </w:trPr>
        <w:tc>
          <w:tcPr>
            <w:tcW w:w="4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9"/>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75"/>
        </w:trPr>
        <w:tc>
          <w:tcPr>
            <w:tcW w:w="5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Domestic and foreign corporate bonds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328,747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327,455</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05"/>
        <w:spacing w:after="0" w:line="312" w:lineRule="auto"/>
        <w:rPr>
          <w:sz w:val="20"/>
          <w:szCs w:val="20"/>
          <w:color w:val="auto"/>
        </w:rPr>
      </w:pPr>
      <w:r>
        <w:rPr>
          <w:rFonts w:ascii="Arial" w:cs="Arial" w:eastAsia="Arial" w:hAnsi="Arial"/>
          <w:sz w:val="16"/>
          <w:szCs w:val="16"/>
          <w:color w:val="auto"/>
        </w:rPr>
        <w:t>The Company assesses for indicators of other-than-temporary impairment on a quarterly basis. The Company determines whether (i) it does not have the intent to sell any of these investments, and (ii) it will not likely be required to sell these investments prior to the recovery of the amortized cost. During the nine months ended September 30, 2018, the Company determined it had an other-than-temporary impairment and recorded a loss of $1.8 million.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5 -</w:t>
      </w:r>
      <w:r>
        <w:rPr>
          <w:sz w:val="20"/>
          <w:szCs w:val="20"/>
          <w:color w:val="auto"/>
        </w:rPr>
        <w:tab/>
      </w:r>
      <w:r>
        <w:rPr>
          <w:rFonts w:ascii="Arial" w:cs="Arial" w:eastAsia="Arial" w:hAnsi="Arial"/>
          <w:sz w:val="16"/>
          <w:szCs w:val="16"/>
          <w:b w:val="1"/>
          <w:bCs w:val="1"/>
          <w:color w:val="auto"/>
        </w:rPr>
        <w:t>Property and Equipment,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6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2017</w:t>
            </w: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7,634,499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7,582,611</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Land and improvements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1,126,522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853,738</w:t>
            </w:r>
          </w:p>
        </w:tc>
      </w:tr>
      <w:tr>
        <w:trPr>
          <w:trHeight w:val="27"/>
        </w:trPr>
        <w:tc>
          <w:tcPr>
            <w:tcW w:w="8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2,254,734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2,211,974</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Leasehold interests in land</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314,053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314,068</w:t>
            </w:r>
          </w:p>
        </w:tc>
      </w:tr>
      <w:tr>
        <w:trPr>
          <w:trHeight w:val="27"/>
        </w:trPr>
        <w:tc>
          <w:tcPr>
            <w:tcW w:w="8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134,267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158,840</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1,741,942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1,016,207</w:t>
            </w:r>
          </w:p>
        </w:tc>
      </w:tr>
      <w:tr>
        <w:trPr>
          <w:trHeight w:val="27"/>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8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13,206,017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12,137,438</w:t>
            </w:r>
          </w:p>
        </w:tc>
      </w:tr>
      <w:tr>
        <w:trPr>
          <w:trHeight w:val="243"/>
        </w:trPr>
        <w:tc>
          <w:tcPr>
            <w:tcW w:w="850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(3,984,989)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(3,638,682)</w:t>
            </w:r>
          </w:p>
        </w:tc>
      </w:tr>
      <w:tr>
        <w:trPr>
          <w:trHeight w:val="27"/>
        </w:trPr>
        <w:tc>
          <w:tcPr>
            <w:tcW w:w="8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85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9,221,028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8,498,756</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As of September 30, 2018 and December 31, 2017, construction in progress consisted primarily of costs capitalized, including interest, for the construction of Encore Boston Harbor.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Land Acquisition</w:t>
      </w:r>
    </w:p>
    <w:p>
      <w:pPr>
        <w:spacing w:after="0" w:line="225" w:lineRule="exact"/>
        <w:rPr>
          <w:sz w:val="20"/>
          <w:szCs w:val="20"/>
          <w:color w:val="auto"/>
        </w:rPr>
      </w:pPr>
    </w:p>
    <w:p>
      <w:pPr>
        <w:ind w:right="240" w:firstLine="405"/>
        <w:spacing w:after="0" w:line="286" w:lineRule="auto"/>
        <w:rPr>
          <w:sz w:val="20"/>
          <w:szCs w:val="20"/>
          <w:color w:val="auto"/>
        </w:rPr>
      </w:pPr>
      <w:r>
        <w:rPr>
          <w:rFonts w:ascii="Arial" w:cs="Arial" w:eastAsia="Arial" w:hAnsi="Arial"/>
          <w:sz w:val="17"/>
          <w:szCs w:val="17"/>
          <w:color w:val="auto"/>
        </w:rPr>
        <w:t>During the first quarter of 2018, the Company acquired approximately 38 acres of land on the Las Vegas Strip directly across from Wynn Las Vegas for $336.2 million, approximately 16 acres of which are subject to a ground lease that expires in 2097. The ground lease has annual payments of $3.8 million until 2023 and total payments of $370.7 million thereafter. The Company expects to use this land for future development.</w:t>
      </w:r>
    </w:p>
    <w:p>
      <w:pPr>
        <w:spacing w:after="0" w:line="166"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In accordance with asset acquisition accounting standards, the Company allocated the purchase price to the identifiable assets acquired based on the relative fair value of each component. As a result, the Company recorded $89.1 million of the purchase price as a definite-lived intangible asset, which represents the favorable terms of the assumed ground lease relative to the market. The Company will amortize this amount to rent expense on a straight-line basis over the remaining term of the ground lease.</w:t>
      </w:r>
    </w:p>
    <w:p>
      <w:pPr>
        <w:spacing w:after="0" w:line="200" w:lineRule="exact"/>
        <w:rPr>
          <w:sz w:val="20"/>
          <w:szCs w:val="20"/>
          <w:color w:val="auto"/>
        </w:rPr>
      </w:pPr>
    </w:p>
    <w:p>
      <w:pPr>
        <w:spacing w:after="0" w:line="39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20"/>
          </w:cols>
          <w:pgMar w:left="240" w:top="122" w:right="339" w:bottom="1440" w:gutter="0" w:footer="0" w:header="0"/>
        </w:sectPr>
      </w:pPr>
    </w:p>
    <w:bookmarkStart w:id="18" w:name="page19"/>
    <w:bookmarkEnd w:id="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6 -</w:t>
      </w:r>
      <w:r>
        <w:rPr>
          <w:sz w:val="20"/>
          <w:szCs w:val="20"/>
          <w:color w:val="auto"/>
        </w:rPr>
        <w:tab/>
      </w:r>
      <w:r>
        <w:rPr>
          <w:rFonts w:ascii="Arial" w:cs="Arial" w:eastAsia="Arial" w:hAnsi="Arial"/>
          <w:sz w:val="16"/>
          <w:szCs w:val="16"/>
          <w:b w:val="1"/>
          <w:bCs w:val="1"/>
          <w:color w:val="auto"/>
        </w:rPr>
        <w:t>Long-Term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140" w:type="dxa"/>
            <w:vAlign w:val="bottom"/>
            <w:tcBorders>
              <w:bottom w:val="single" w:sz="8" w:color="CCEEFF"/>
            </w:tcBorders>
          </w:tcPr>
          <w:p>
            <w:pPr>
              <w:spacing w:after="0"/>
              <w:rPr>
                <w:sz w:val="16"/>
                <w:szCs w:val="16"/>
                <w:color w:val="auto"/>
              </w:rPr>
            </w:pPr>
          </w:p>
        </w:tc>
        <w:tc>
          <w:tcPr>
            <w:tcW w:w="82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Macau Related: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Wynn Macau Credit Facilities: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Term Loan Facility, due 2021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2,298,749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2,298,798</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Revolving Credit Facility, due 2020</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624,393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7/8% Senior Notes, due 2024</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2027</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8340" w:type="dxa"/>
            <w:vAlign w:val="bottom"/>
            <w:gridSpan w:val="2"/>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i w:val="1"/>
                <w:iCs w:val="1"/>
                <w:color w:val="auto"/>
              </w:rPr>
              <w:t>U.S. and Corporate Related:</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Wynn America Credit Facilities: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8200" w:type="dxa"/>
            <w:vAlign w:val="bottom"/>
          </w:tcPr>
          <w:p>
            <w:pPr>
              <w:ind w:left="40"/>
              <w:spacing w:after="0"/>
              <w:rPr>
                <w:sz w:val="20"/>
                <w:szCs w:val="20"/>
                <w:color w:val="auto"/>
              </w:rPr>
            </w:pPr>
            <w:r>
              <w:rPr>
                <w:rFonts w:ascii="Arial" w:cs="Arial" w:eastAsia="Arial" w:hAnsi="Arial"/>
                <w:sz w:val="18"/>
                <w:szCs w:val="18"/>
                <w:color w:val="auto"/>
              </w:rPr>
              <w:t>Senior Term Loan Facility, due 2021</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996,520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2023</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Pr>
          <w:p>
            <w:pPr>
              <w:ind w:left="40"/>
              <w:spacing w:after="0"/>
              <w:rPr>
                <w:sz w:val="20"/>
                <w:szCs w:val="20"/>
                <w:color w:val="auto"/>
              </w:rPr>
            </w:pPr>
            <w:r>
              <w:rPr>
                <w:rFonts w:ascii="Arial" w:cs="Arial" w:eastAsia="Arial" w:hAnsi="Arial"/>
                <w:sz w:val="18"/>
                <w:szCs w:val="18"/>
                <w:color w:val="auto"/>
              </w:rPr>
              <w:t>1/2% Senior Notes, due 2025</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1,780,000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1/4% Senior Notes, due 2027</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Retail Term Loan, due 2025</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615,000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Redemption Price Promissory Note, due 2022</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1,936,443</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82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9,044,662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9,785,241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(112,492)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(99,231)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Less: Redemption Note fair value adjustment</w:t>
            </w:r>
          </w:p>
        </w:tc>
        <w:tc>
          <w:tcPr>
            <w:tcW w:w="200" w:type="dxa"/>
            <w:vAlign w:val="bottom"/>
          </w:tcPr>
          <w:p>
            <w:pPr>
              <w:spacing w:after="0"/>
              <w:rPr>
                <w:sz w:val="21"/>
                <w:szCs w:val="21"/>
                <w:color w:val="auto"/>
              </w:rPr>
            </w:pPr>
          </w:p>
        </w:tc>
        <w:tc>
          <w:tcPr>
            <w:tcW w:w="14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(57,384)</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8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8,932,170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9,628,626</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(62,690)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Total long-term debt, net of current portion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8,695,335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9,565,936</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Macau Related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 Credit Facilities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credit facilities include a $2.30 billion equivalent fully funded senior secured term loan facility (the "Wynn Macau Senior Term Loan Facility") and a $750 million equivalent senior secured revolving credit facility (the "Wynn Macau Senior Revolving Credit Facility," collectively, the "Wynn Macau Credit Facilities"). The borrower is Wynn Resorts (Macau) S.A. ("Wynn Macau SA "), an indirect wholly owned subsidiary of WML. As of September 30, 2018 and December 31, 2017, the weighted average interest rate was 3.99% and 3.16%, respectively. As of September 30, 2018, the Company had $123.9 million of available borrowing capacity under the Wynn Macau Senior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Finance Revolving Credit Facility</w:t>
      </w:r>
    </w:p>
    <w:p>
      <w:pPr>
        <w:spacing w:after="0" w:line="185"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The Company's credit facilities include a HK$3.87 billion (approximately $495.1 million) cash-collateralized revolving credit facility ("WML Finance Credit Facility") under which WML Finance I, Limited, an indirect wholly owned subsidiary of WML, is the borrower. The WML Finance Credit Facility bore interest initially at 1.50% per annum, such rate calculated as the interest rate paid by the lender as the deposit bank for the cash collateral deposited and pledged with the lender plus a margin of 0.40%. On July 18, 2018, the WML Finance Credit Facility matured with no outstanding borrowings.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and Corporate Related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Bridge Facility</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28, 2018, the Company entered into a credit agreement to provide for an $800 million 364-day term loan (the "Bridge Facility"). The Company subsequently repaid all amounts borrowed under the Bridge Facility using net proceeds from the issuance of its common stock. See Note 7, "Stockholders' Equity" for additional information on the Company's issuance of common stock. The Bridge Facility bore interest at either LIBOR plus 2.75% per annum or base rate plus 1.75% per annum.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Price Promissory Note</w:t>
      </w:r>
    </w:p>
    <w:p>
      <w:pPr>
        <w:spacing w:after="0" w:line="22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30, 2018, the Company used the net proceeds from the Bridge Facility, along with cash on hand and borrowings under its WA Senior Revolving Credit Facility (defined below) to repay the Redemption Note principal amount of $1.94 billion pursuant to the Settlement Agreement and Mutual Release ("Settlement Agreement"). See Note 13, "Commitments and Contingencies—Litigation—Redemption Action and Counterclaim" for additional information on the Settlement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 Letter</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September 19, 2018, the Company entered into a commitment letter (as subsequently amended and restated to add additional lenders, the “Commitment Letter”) to provide for a 364-day term loan facility to the Company in an aggregate principal amount of up to $750 million, which remained fully available as of September 30, 2018.</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24, 2018, the Company agreed to terminate $500 million of the lenders’ commitments under the Commitment Letter, in anticipation of entering into the new Credit Agreement discussed below. Accordingly, the lenders' remaining commitments under the Commitment Letter are $250 million and expire on December 19, 2018, with an option to extend to April 5, 2019, subject to certain conditions.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Resorts Term Loan</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October 30, 2018, the Company and certain subsidiaries of the Company entered into a credit agreement (the "Credit Agreement") to provide for a $500 million six-year term loan facility (the “Term Loan”). The Term Loan matures on October 30, 2024 and bears interest at a rate of LIBOR plus 2.25% per year.</w:t>
      </w:r>
    </w:p>
    <w:p>
      <w:pPr>
        <w:spacing w:after="0" w:line="18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The Company intends to use the net proceeds of the Term Loan for general corporate purposes, including, without limitation, repurchases of the Company’s common stock, investments in subsidiaries and/or capital expenditures. Wynn Group Asia, Inc. and Wynn Resorts Holdings, LLC, each a direct, wholly owned subsidiary of the Company (collectively, the “Guarantors”), guarantee the obligations of the Company under the Credit Agreement. The Company will pledge all of the equity interests in the Guarantors to the extent permitted by applicable law. The Credit Agreement contains customary representations and warranties, events of default and negative and affirmative covenants, including, among other things, limitations on: incurrence of indebtedness; liens securing indebtedness; mergers and sales of assets; restricted payments; and transactions with affiliates.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America Credit Facilities</w:t>
      </w:r>
    </w:p>
    <w:p>
      <w:pPr>
        <w:spacing w:after="0" w:line="225" w:lineRule="exact"/>
        <w:rPr>
          <w:sz w:val="20"/>
          <w:szCs w:val="20"/>
          <w:color w:val="auto"/>
        </w:rPr>
      </w:pPr>
    </w:p>
    <w:p>
      <w:pPr>
        <w:jc w:val="both"/>
        <w:ind w:firstLine="405"/>
        <w:spacing w:after="0" w:line="276" w:lineRule="auto"/>
        <w:rPr>
          <w:sz w:val="20"/>
          <w:szCs w:val="20"/>
          <w:color w:val="auto"/>
        </w:rPr>
      </w:pPr>
      <w:r>
        <w:rPr>
          <w:rFonts w:ascii="Arial" w:cs="Arial" w:eastAsia="Arial" w:hAnsi="Arial"/>
          <w:sz w:val="17"/>
          <w:szCs w:val="17"/>
          <w:color w:val="auto"/>
        </w:rPr>
        <w:t>The Company's credit facilities include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The borrower is Wynn America, LLC, an indirect wholly owned subsidiary of the Company. In the second quarter of 2018, the Company began making quarterly repayments of $1.7 million under the WA Senior Term Loan Facility I. As of September 30, 2018 and December 31, 2017, the interest rate was 4.00% and 3.32%, respectively. As of September 30, 2018, the</w:t>
      </w:r>
    </w:p>
    <w:p>
      <w:pPr>
        <w:spacing w:after="0" w:line="3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Company had available borrowing capacity of $357.3 million, net of $17.7 million in outstanding letters of credit, under the WA Senior Revolving Credit Facility.</w:t>
      </w:r>
    </w:p>
    <w:p>
      <w:pPr>
        <w:spacing w:after="0" w:line="17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the second quarter of 2017, the Company amended the Wynn America Credit Facilities to, among other things, extend the maturity of portions of the credit facilities. In connection with the amendment, the Company recorded a loss on extinguishment of debt of $1.5 million.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Las Vegas Senior Notes</w:t>
      </w:r>
    </w:p>
    <w:p>
      <w:pPr>
        <w:spacing w:after="0" w:line="225"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During the first quarter of 2018, Wynn Resorts purchased $20 million principal amount of the 5 1/2% Senior Notes due 2025 (the "2025 Notes") and $20 million principal amount of the 5 1/4% Senior Notes due 2027 (the "2027 Notes") through open market purchases. As of September 30, 2018, Wynn Resorts holds this debt and has not contributed it to its wholly owned subsidiary, Wynn Las Vegas, LLC.</w:t>
      </w:r>
    </w:p>
    <w:p>
      <w:pPr>
        <w:spacing w:after="0" w:line="181"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On March 20, 2018, Wynn Las Vegas, LLC and Wynn Las Vegas Capital Corp. (the "Issuers"), wholly owned subsidiaries of the Company, executed a second supplemental indenture (the "Supplemental Indenture") to the Indenture dated May 22, 2013, as supplemented by that certain Supplemental Indenture dated as of February 18, 2015 (the "Indenture"), relating to the Issuers’ 4 1/4% Senior Notes due 2023 (the "2023 Notes"). The Supplemental Indenture amended the Indenture by conforming the definition of "Change of Control" relating to ownership of equity interests in the Company in the Indenture to the terms of the indentures governing the Issuers’ other outstanding notes. As part of executing the Supplemental Indenture, the Issuers paid $25 million to consenting holders of the 2023 Notes. The Company accounted for this transaction as a modification and recorded the $25 million as debt issuance costs on the Condensed Consolidated Balance Sheet.</w:t>
      </w:r>
    </w:p>
    <w:p>
      <w:pPr>
        <w:spacing w:after="0" w:line="18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In the second quarter of 2017, the Issuers issued the 2027 Notes and executed a cash tender offer and subsequent redemption for the 5 3/8% First Mortgage Notes due 2022 (the "2022 Notes"). In connection with these transactions, the Company recorded a loss on extinguishment of debt of $20.8 million.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Term Loan</w:t>
      </w:r>
    </w:p>
    <w:p>
      <w:pPr>
        <w:spacing w:after="0" w:line="225"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color w:val="auto"/>
        </w:rPr>
        <w:t>On July 25, 2018, Wynn/CA Plaza Property Owner, LLC and Wynn/CA Property Owner, LLC (collectively, the "Retail Borrowers"), subsidiaries of the Retail Joint Venture, entered into a term loan agreement (the "Retail Term Loan Agreement").</w:t>
      </w:r>
    </w:p>
    <w:p>
      <w:pPr>
        <w:spacing w:after="0" w:line="170"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The Retail Term Loan Agreement provides a term loan facility to the Retail Borrowers of $615 million (the "Retail Term Loan"). The Retail Term Loan is secured by substantially all of the assets of the Retail Borrowers. The Retail Term Loan matures on July 24, 2025 and bears interest at a rate of LIBOR plus 1.70% per annum. As of September 30, 2018, the interest rate was 3.96%. In accordance with the Retail Term Loan Agreement, the Retail Borrowers entered into an interest rate collar agreement with a LIBOR floor of 1.00% and a ceiling of 3.75%. See Note 2, “Summary of Significant Accounting Policies”, for additional information on the interest rate collar. The Retail Borrowers distributed approximately $589 million of the net proceeds of the Retail Term Loan to their members on a proportionate basis to each member’s ownership percentage.</w:t>
      </w:r>
    </w:p>
    <w:p>
      <w:pPr>
        <w:spacing w:after="0" w:line="178" w:lineRule="exact"/>
        <w:rPr>
          <w:sz w:val="20"/>
          <w:szCs w:val="20"/>
          <w:color w:val="auto"/>
        </w:rPr>
      </w:pPr>
    </w:p>
    <w:p>
      <w:pPr>
        <w:jc w:val="both"/>
        <w:ind w:right="360" w:firstLine="405"/>
        <w:spacing w:after="0" w:line="264" w:lineRule="auto"/>
        <w:rPr>
          <w:sz w:val="20"/>
          <w:szCs w:val="20"/>
          <w:color w:val="auto"/>
        </w:rPr>
      </w:pPr>
      <w:r>
        <w:rPr>
          <w:rFonts w:ascii="Arial" w:cs="Arial" w:eastAsia="Arial" w:hAnsi="Arial"/>
          <w:sz w:val="18"/>
          <w:szCs w:val="18"/>
          <w:color w:val="auto"/>
        </w:rPr>
        <w:t>The Retail Borrowers may prepay the Retail Term Loan, in whole but not in part, with a premium of 1.70% of the principal amount prorated for the number of days between the prepayment date and July 25, 2019. Any time subsequent to July 25, 2019, the Retail Borrowers may prepay the Retail Term Loan, in whole or in part, with no premium above the principal amount.</w:t>
      </w:r>
    </w:p>
    <w:p>
      <w:pPr>
        <w:spacing w:after="0" w:line="181" w:lineRule="exact"/>
        <w:rPr>
          <w:sz w:val="20"/>
          <w:szCs w:val="20"/>
          <w:color w:val="auto"/>
        </w:rPr>
      </w:pPr>
    </w:p>
    <w:p>
      <w:pPr>
        <w:jc w:val="both"/>
        <w:ind w:right="120" w:firstLine="405"/>
        <w:spacing w:after="0" w:line="293" w:lineRule="auto"/>
        <w:rPr>
          <w:sz w:val="20"/>
          <w:szCs w:val="20"/>
          <w:color w:val="auto"/>
        </w:rPr>
      </w:pPr>
      <w:r>
        <w:rPr>
          <w:rFonts w:ascii="Arial" w:cs="Arial" w:eastAsia="Arial" w:hAnsi="Arial"/>
          <w:sz w:val="16"/>
          <w:szCs w:val="16"/>
          <w:color w:val="auto"/>
        </w:rPr>
        <w:t>The Retail Term Loan Agreement contains customary representations and warranties, events of default and affirmative and negative covenants for debt facilities of this type, including, among other things, limitations on leasing matters, incurrence of indebtedness, distributions and transactions with affiliates. The Retail Term Loan Agreement also provides for customary sweeps of the Retail Borrowers' excess cash in the event of a default or in the event the Retail Borrowers fail to maintain certain financial ratios as defined in the Retail Term Loan Agreement. In addition, the Company will indemnify the lenders under the Retail Term Loan and be liable, in each case, for certain customary environmental and non-recourse carve out matters pursuant to a hazardous materials indemnity agreement and a recourse indemnity agreement, each entered into concurrently with the execution of the Retail Term Loan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Management believes that as of September 30, 2018, the Company was in compliance with all debt covenants.</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20" w:right="256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40" w:firstLine="432"/>
        <w:spacing w:after="0" w:line="302" w:lineRule="auto"/>
        <w:rPr>
          <w:sz w:val="20"/>
          <w:szCs w:val="20"/>
          <w:color w:val="auto"/>
        </w:rPr>
      </w:pPr>
      <w:r>
        <w:rPr>
          <w:rFonts w:ascii="Arial" w:cs="Arial" w:eastAsia="Arial" w:hAnsi="Arial"/>
          <w:sz w:val="16"/>
          <w:szCs w:val="16"/>
          <w:color w:val="auto"/>
        </w:rPr>
        <w:t>The estimated fair value of the Company's long-term debt as of September 30, 2018 and December 31, 2017 was $8.80 billion and $7.95 billion, respectively, compared to its carrying value of $9.04 billion and $7.85 billion. The estimated fair value as of December 31, 2017 excludes the Redemption Note. See Note 2, "Summary of Significant Accounting Policies" for discussion of the estimated fair value of the Redemption Note. The estimated fair value of the Company's long-term debt is based on recent trades, if available, and indicative pricing from market information (Level 2 inputs).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w:t>
      </w:r>
    </w:p>
    <w:p>
      <w:pPr>
        <w:spacing w:after="0" w:line="225" w:lineRule="exact"/>
        <w:rPr>
          <w:sz w:val="20"/>
          <w:szCs w:val="20"/>
          <w:color w:val="auto"/>
        </w:rPr>
      </w:pPr>
    </w:p>
    <w:p>
      <w:pPr>
        <w:ind w:right="140" w:firstLine="405"/>
        <w:spacing w:after="0" w:line="279" w:lineRule="auto"/>
        <w:rPr>
          <w:sz w:val="20"/>
          <w:szCs w:val="20"/>
          <w:color w:val="auto"/>
        </w:rPr>
      </w:pPr>
      <w:r>
        <w:rPr>
          <w:rFonts w:ascii="Arial" w:cs="Arial" w:eastAsia="Arial" w:hAnsi="Arial"/>
          <w:sz w:val="17"/>
          <w:szCs w:val="17"/>
          <w:color w:val="auto"/>
        </w:rPr>
        <w:t>On April 3, 2018, the Company completed a registered public offering (the "Equity Offering") of 5,300,000 newly issued shares of its common stock, par value $0.01 per share, at a price of $175 per share for proceeds of $915.2 million, net of $11.7 million in underwriting discounts and $0.6 million in offering expenses. The Company used the net proceeds from the Equity Offering to repay all amounts borrowed under the Bridge Facility, together with all interest accrued thereon, and used the remaining net proceeds to repay certain other indebtedness of the Company in April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February 27, 2018, the Company paid a cash dividend of $0.50 per share and recorded $51.4 million as a reduction of retained earnings.</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On May 29, 2018, the Company paid a cash dividend of $0.75 per share and recorded $81.3 million as a reduction of retained earnings.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On August 28, 2018, the Company paid a cash dividend of $0.75 per share and recorded $81.4 million as a reduction of retained earnings.</w:t>
      </w:r>
    </w:p>
    <w:p>
      <w:pPr>
        <w:spacing w:after="0" w:line="237"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On November 7, 2018, the Company announced a cash dividend of $0.75 per share, payable on November 30, 2018, to stockholders of record as of November 21,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25" w:lineRule="exact"/>
        <w:rPr>
          <w:sz w:val="20"/>
          <w:szCs w:val="20"/>
          <w:color w:val="auto"/>
        </w:rPr>
      </w:pPr>
    </w:p>
    <w:p>
      <w:pPr>
        <w:ind w:right="220" w:firstLine="405"/>
        <w:spacing w:after="0" w:line="308" w:lineRule="auto"/>
        <w:rPr>
          <w:sz w:val="20"/>
          <w:szCs w:val="20"/>
          <w:color w:val="auto"/>
        </w:rPr>
      </w:pPr>
      <w:r>
        <w:rPr>
          <w:rFonts w:ascii="Arial" w:cs="Arial" w:eastAsia="Arial" w:hAnsi="Arial"/>
          <w:sz w:val="17"/>
          <w:szCs w:val="17"/>
          <w:color w:val="auto"/>
        </w:rPr>
        <w:t>On April 25, 2018, WML paid a cash dividend of HK$0.75 per share for a total of $497.1 million. The Company's share of this dividend was $358.8 million with a reduction of $138.3 million to noncontrolling interests in the accompanying Condensed Consolidated Balance Sheet.</w:t>
      </w:r>
    </w:p>
    <w:p>
      <w:pPr>
        <w:spacing w:after="0" w:line="14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On August 17, 2018, WML announced a cash dividend of HK$0.75 per share, consisting of an interim dividend of HK$0.32 per share for the six months ended June 30, 2018 and a special dividend of HK$0.43 per share, for a total of $496.6 million, payable on October 5, 2018 to stockholders of record as of September 24, 2018. The Company's share of this dividend will be approximately $358.3 million, and the Company recorded a reduction to noncontrolling interests of $138.3 million in the accompanying Condensed Consolidated Balance Sheet.</w:t>
      </w:r>
    </w:p>
    <w:p>
      <w:pPr>
        <w:spacing w:after="0" w:line="187" w:lineRule="exact"/>
        <w:rPr>
          <w:sz w:val="20"/>
          <w:szCs w:val="20"/>
          <w:color w:val="auto"/>
        </w:rPr>
      </w:pPr>
    </w:p>
    <w:p>
      <w:pPr>
        <w:ind w:right="60" w:firstLine="405"/>
        <w:spacing w:after="0" w:line="312" w:lineRule="auto"/>
        <w:rPr>
          <w:sz w:val="20"/>
          <w:szCs w:val="20"/>
          <w:color w:val="auto"/>
        </w:rPr>
      </w:pPr>
      <w:r>
        <w:rPr>
          <w:rFonts w:ascii="Arial" w:cs="Arial" w:eastAsia="Arial" w:hAnsi="Arial"/>
          <w:sz w:val="16"/>
          <w:szCs w:val="16"/>
          <w:color w:val="auto"/>
        </w:rPr>
        <w:t>During the nine months ended September 30, 2018, the Retail Joint Venture made aggregate distributions of $301.1 million to its non-controlling interest holder in connection with the distribution of the net proceeds of the Retail Term Loan and distributions made in the normal course of business. For more information on the Retail Term Loan and on the Retail Joint Venture, see Note 6, "Long-Term Debt," and Note 12, "Retail Joint Venture," respectively.</w:t>
      </w: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121" w:right="31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300" w:right="258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4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Company operates integrated resorts in Macau and Las Vegas and generates revenues at its properties by providing the following types of services and products: gaming, rooms, food and beverage and entertainment, retail and other. Revenues disaggregated by type of revenue and geographic location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Three months ended September 30, 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w w:val="97"/>
              </w:rPr>
              <w:t>Macau Operations</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1"/>
              </w:rPr>
              <w:t>Las Vegas Operations</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1,129,143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92,886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1,222,029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72,387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110,657</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183,044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45,312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148,562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193,874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63,350</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46,775</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110,125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1,310,192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398,880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1,709,072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4"/>
                <w:szCs w:val="14"/>
                <w:b w:val="1"/>
                <w:bCs w:val="1"/>
                <w:color w:val="auto"/>
              </w:rPr>
              <w:t>Three months ended September 30, 2017</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4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945,891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129,686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1,075,577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52,789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117,582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170,371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39,834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160,217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200,051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48,564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ind w:right="11"/>
              <w:spacing w:after="0"/>
              <w:rPr>
                <w:sz w:val="20"/>
                <w:szCs w:val="20"/>
                <w:color w:val="auto"/>
              </w:rPr>
            </w:pPr>
            <w:r>
              <w:rPr>
                <w:rFonts w:ascii="Arial" w:cs="Arial" w:eastAsia="Arial" w:hAnsi="Arial"/>
                <w:sz w:val="18"/>
                <w:szCs w:val="18"/>
                <w:color w:val="auto"/>
              </w:rPr>
              <w:t>56,784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105,348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1,087,078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464,269</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1,551,347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5"/>
        </w:trPr>
        <w:tc>
          <w:tcPr>
            <w:tcW w:w="558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3,234,931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329,264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3,564,195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209,036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350,369</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559,405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135,712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445,251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580,963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178,470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147,041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325,511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3,758,149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1,271,925</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5,030,074</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4"/>
                <w:szCs w:val="14"/>
                <w:b w:val="1"/>
                <w:bCs w:val="1"/>
                <w:color w:val="auto"/>
              </w:rPr>
              <w:t>Nine months ended September 30, 2017</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580" w:type="dxa"/>
            <w:vAlign w:val="bottom"/>
            <w:tcBorders>
              <w:bottom w:val="single" w:sz="8" w:color="auto"/>
            </w:tcBorders>
            <w:gridSpan w:val="2"/>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2,712,289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354,856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3,067,145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157,183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346,952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504,135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116,144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452,734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568,878</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141,367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166,471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307,838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3,126,983</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1,321,013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4,447,996</w:t>
            </w:r>
          </w:p>
        </w:tc>
        <w:tc>
          <w:tcPr>
            <w:tcW w:w="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(1) Includes lease revenue accounted for under lease accounting guidance. See Note 2, "Summary of Significant Accounting Policies—Revenue Recognition" for lease revenue accounting policy.</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Contract Liabilities</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200" w:lineRule="exact"/>
        <w:rPr>
          <w:sz w:val="20"/>
          <w:szCs w:val="20"/>
          <w:color w:val="auto"/>
        </w:rPr>
      </w:pPr>
    </w:p>
    <w:p>
      <w:pPr>
        <w:spacing w:after="0" w:line="29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60"/>
          </w:cols>
          <w:pgMar w:left="240" w:top="121" w:right="29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September 30, 2018</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December 31, 2017</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Increase (decrease)</w:t>
            </w:r>
          </w:p>
        </w:tc>
        <w:tc>
          <w:tcPr>
            <w:tcW w:w="13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9"/>
              </w:rPr>
              <w:t>September 30, 2017</w:t>
            </w:r>
          </w:p>
        </w:tc>
        <w:tc>
          <w:tcPr>
            <w:tcW w:w="13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14"/>
                <w:szCs w:val="14"/>
                <w:color w:val="auto"/>
              </w:rPr>
            </w:pPr>
          </w:p>
        </w:tc>
        <w:tc>
          <w:tcPr>
            <w:tcW w:w="860" w:type="dxa"/>
            <w:vAlign w:val="bottom"/>
          </w:tcPr>
          <w:p>
            <w:pPr>
              <w:jc w:val="right"/>
              <w:ind w:right="17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jc w:val="right"/>
              <w:ind w:right="115"/>
              <w:spacing w:after="0"/>
              <w:rPr>
                <w:sz w:val="20"/>
                <w:szCs w:val="20"/>
                <w:color w:val="auto"/>
              </w:rPr>
            </w:pPr>
            <w:r>
              <w:rPr>
                <w:rFonts w:ascii="Arial" w:cs="Arial" w:eastAsia="Arial" w:hAnsi="Arial"/>
                <w:sz w:val="14"/>
                <w:szCs w:val="14"/>
                <w:b w:val="1"/>
                <w:bCs w:val="1"/>
                <w:color w:val="auto"/>
                <w:w w:val="91"/>
              </w:rPr>
              <w:t>(decrease)</w:t>
            </w:r>
          </w:p>
        </w:tc>
        <w:tc>
          <w:tcPr>
            <w:tcW w:w="0" w:type="dxa"/>
            <w:vAlign w:val="bottom"/>
          </w:tcPr>
          <w:p>
            <w:pPr>
              <w:spacing w:after="0"/>
              <w:rPr>
                <w:sz w:val="1"/>
                <w:szCs w:val="1"/>
                <w:color w:val="auto"/>
              </w:rPr>
            </w:pPr>
          </w:p>
        </w:tc>
      </w:tr>
      <w:tr>
        <w:trPr>
          <w:trHeight w:val="215"/>
        </w:trPr>
        <w:tc>
          <w:tcPr>
            <w:tcW w:w="35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outstanding chips and front money</w:t>
            </w: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deposits </w:t>
            </w:r>
            <w:r>
              <w:rPr>
                <w:rFonts w:ascii="Arial" w:cs="Arial" w:eastAsia="Arial" w:hAnsi="Arial"/>
                <w:sz w:val="14"/>
                <w:szCs w:val="14"/>
                <w:color w:val="auto"/>
              </w:rPr>
              <w:t>(1)</w:t>
            </w: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785,988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991,957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(205,969)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824,863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546,487</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278,376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45,196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52,253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50,462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45,696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4,766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18,756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18,421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14,210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6,268</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863,584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1,075,396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(211,812)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900,799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612,158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288,641</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260" w:right="100" w:hanging="252"/>
        <w:spacing w:after="0" w:line="358" w:lineRule="auto"/>
        <w:tabs>
          <w:tab w:leader="none" w:pos="2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Casino outstanding chips represent amounts owed to junkets and customers for chips in their possession, and casino front money deposits represent funds deposited by customers before gaming play occurs. These amounts are included in customer deposits on the Condensed Consolidated Balance Sheets and may be recognized as revenue or will be redeemed for cash in the future.</w:t>
      </w:r>
    </w:p>
    <w:p>
      <w:pPr>
        <w:spacing w:after="0" w:line="74" w:lineRule="exact"/>
        <w:rPr>
          <w:rFonts w:ascii="Arial" w:cs="Arial" w:eastAsia="Arial" w:hAnsi="Arial"/>
          <w:sz w:val="12"/>
          <w:szCs w:val="12"/>
          <w:color w:val="auto"/>
        </w:rPr>
      </w:pPr>
    </w:p>
    <w:p>
      <w:pPr>
        <w:ind w:left="260" w:right="80" w:hanging="252"/>
        <w:spacing w:after="0" w:line="286" w:lineRule="auto"/>
        <w:tabs>
          <w:tab w:leader="none" w:pos="220" w:val="left"/>
        </w:tabs>
        <w:numPr>
          <w:ilvl w:val="0"/>
          <w:numId w:val="8"/>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spacing w:after="0" w:line="113" w:lineRule="exact"/>
        <w:rPr>
          <w:rFonts w:ascii="Arial" w:cs="Arial" w:eastAsia="Arial" w:hAnsi="Arial"/>
          <w:sz w:val="13"/>
          <w:szCs w:val="13"/>
          <w:color w:val="auto"/>
        </w:rPr>
      </w:pPr>
    </w:p>
    <w:p>
      <w:pPr>
        <w:ind w:left="260" w:right="260" w:hanging="252"/>
        <w:spacing w:after="0" w:line="273"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spacing w:after="0" w:line="119" w:lineRule="exact"/>
        <w:rPr>
          <w:rFonts w:ascii="Arial" w:cs="Arial" w:eastAsia="Arial" w:hAnsi="Arial"/>
          <w:sz w:val="14"/>
          <w:szCs w:val="14"/>
          <w:color w:val="auto"/>
        </w:rPr>
      </w:pPr>
    </w:p>
    <w:p>
      <w:pPr>
        <w:ind w:left="260" w:right="180" w:hanging="252"/>
        <w:spacing w:after="0" w:line="273" w:lineRule="auto"/>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Stock-Based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60" w:type="dxa"/>
            <w:vAlign w:val="bottom"/>
            <w:gridSpan w:val="4"/>
          </w:tcPr>
          <w:p>
            <w:pPr>
              <w:jc w:val="right"/>
              <w:ind w:right="72"/>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57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4,432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4,921</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Rooms</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479</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106</w:t>
            </w:r>
          </w:p>
        </w:tc>
      </w:tr>
      <w:tr>
        <w:trPr>
          <w:trHeight w:val="27"/>
        </w:trPr>
        <w:tc>
          <w:tcPr>
            <w:tcW w:w="5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9,914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22,726</w:t>
            </w:r>
          </w:p>
        </w:tc>
      </w:tr>
      <w:tr>
        <w:trPr>
          <w:trHeight w:val="243"/>
        </w:trPr>
        <w:tc>
          <w:tcPr>
            <w:tcW w:w="5740" w:type="dxa"/>
            <w:vAlign w:val="bottom"/>
          </w:tcPr>
          <w:p>
            <w:pPr>
              <w:ind w:left="40"/>
              <w:spacing w:after="0"/>
              <w:rPr>
                <w:sz w:val="20"/>
                <w:szCs w:val="20"/>
                <w:color w:val="auto"/>
              </w:rPr>
            </w:pPr>
            <w:r>
              <w:rPr>
                <w:rFonts w:ascii="Arial" w:cs="Arial" w:eastAsia="Arial" w:hAnsi="Arial"/>
                <w:sz w:val="18"/>
                <w:szCs w:val="18"/>
                <w:color w:val="auto"/>
              </w:rPr>
              <w:t>Pre-opening</w:t>
            </w:r>
          </w:p>
        </w:tc>
        <w:tc>
          <w:tcPr>
            <w:tcW w:w="14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5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11,832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28,762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29,290</w:t>
            </w:r>
          </w:p>
        </w:tc>
      </w:tr>
      <w:tr>
        <w:trPr>
          <w:trHeight w:val="243"/>
        </w:trPr>
        <w:tc>
          <w:tcPr>
            <w:tcW w:w="5740" w:type="dxa"/>
            <w:vAlign w:val="bottom"/>
          </w:tcPr>
          <w:p>
            <w:pPr>
              <w:ind w:left="380"/>
              <w:spacing w:after="0"/>
              <w:rPr>
                <w:sz w:val="20"/>
                <w:szCs w:val="20"/>
                <w:color w:val="auto"/>
              </w:rPr>
            </w:pPr>
            <w:r>
              <w:rPr>
                <w:rFonts w:ascii="Arial" w:cs="Arial" w:eastAsia="Arial" w:hAnsi="Arial"/>
                <w:sz w:val="18"/>
                <w:szCs w:val="18"/>
                <w:color w:val="auto"/>
              </w:rPr>
              <w:t>Total stock-based compensation capitalized</w:t>
            </w:r>
          </w:p>
        </w:tc>
        <w:tc>
          <w:tcPr>
            <w:tcW w:w="14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56</w:t>
            </w:r>
          </w:p>
        </w:tc>
      </w:tr>
      <w:tr>
        <w:trPr>
          <w:trHeight w:val="27"/>
        </w:trPr>
        <w:tc>
          <w:tcPr>
            <w:tcW w:w="5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stock-based compensation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11,832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10,527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28,768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29,346</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For the three months ended September 30, 2018, the Company recorded an expense of approximately $5.8 million in connection with the departure of the Company's general counsel and the related accelerated vesting of previously granted share-based awards and a $1.8 million one-time cash payment.</w:t>
      </w:r>
    </w:p>
    <w:p>
      <w:pPr>
        <w:spacing w:after="0" w:line="124"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Certain members of the Company's executive management team receive a portion of their annual incentive bonus in shares of the Company's stock. The number of shares is determined based on the closing stock price on the date the annual incentive bonus is settled. As the number of shares is variable, the Company records a liability for the fixed monetary amount over the service period. The Company recorded stock-based compensation expense associated with these awards of $1.3 million and $4.9 million, for the three months ended September 30, 2018 and 2017, respectively, and $5.5 million and $14.8 million for the nine months ended September 30, 2018 and 2017, respectively. The Company settled the obligation for the 2017 annual incentive bonus by issuing vested shares in December 2017 and January 2018.</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229" w:lineRule="exact"/>
        <w:rPr>
          <w:sz w:val="20"/>
          <w:szCs w:val="20"/>
          <w:color w:val="auto"/>
        </w:rPr>
      </w:pPr>
    </w:p>
    <w:p>
      <w:pPr>
        <w:jc w:val="both"/>
        <w:ind w:right="160" w:firstLine="432"/>
        <w:spacing w:after="0" w:line="302" w:lineRule="auto"/>
        <w:rPr>
          <w:sz w:val="20"/>
          <w:szCs w:val="20"/>
          <w:color w:val="auto"/>
        </w:rPr>
      </w:pPr>
      <w:r>
        <w:rPr>
          <w:rFonts w:ascii="Arial" w:cs="Arial" w:eastAsia="Arial" w:hAnsi="Arial"/>
          <w:sz w:val="16"/>
          <w:szCs w:val="16"/>
          <w:color w:val="auto"/>
        </w:rPr>
        <w:t>For the three months ended September 30, 2018 and 2017, the Company recorded an income tax benefit of $3.9 million and an income tax benefit of $0.5 million, respectively. For the nine months ended September 30, 2018 and 2017, the Company recorded an income tax benefit of $124.6 million and an income tax expense of $5.0 million, respectively. The 2018 income tax benefit primarily related to the settlement of the Redemption Note. The 2017 income tax expense and benefit for these periods primarily related to changes in the domestic valuation allowance for U.S. foreign tax credits ("FTCs").</w:t>
      </w:r>
    </w:p>
    <w:p>
      <w:pPr>
        <w:spacing w:after="0" w:line="154" w:lineRule="exact"/>
        <w:rPr>
          <w:sz w:val="20"/>
          <w:szCs w:val="20"/>
          <w:color w:val="auto"/>
        </w:rPr>
      </w:pPr>
    </w:p>
    <w:p>
      <w:pPr>
        <w:ind w:right="20" w:firstLine="392"/>
        <w:spacing w:after="0" w:line="302" w:lineRule="auto"/>
        <w:rPr>
          <w:sz w:val="20"/>
          <w:szCs w:val="20"/>
          <w:color w:val="auto"/>
        </w:rPr>
      </w:pPr>
      <w:r>
        <w:rPr>
          <w:rFonts w:ascii="Arial" w:cs="Arial" w:eastAsia="Arial" w:hAnsi="Arial"/>
          <w:sz w:val="16"/>
          <w:szCs w:val="16"/>
          <w:color w:val="auto"/>
        </w:rPr>
        <w:t>The Company recorded valuation allowances on certain of its U.S. and foreign deferred tax assets. In assessing the need for a valuation allowance, the Company considered whether it is more likely than not that the deferred tax assets will be realized. The ultimate realization of deferred tax assets is dependent upon the generation of future taxable income. In the assessment of the valuation allowance, appropriate consideration was given to all positive and negative evidence including recent operating profitability, forecast of future earnings and the duration of statutory carryforward periods.</w:t>
      </w:r>
    </w:p>
    <w:p>
      <w:pPr>
        <w:spacing w:after="0" w:line="15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Wynn Macau SA has received a five-year exemption from complementary tax on profits generated by gaming operations through December 31, 2020. For the three months ended September 30, 2018 and 2017, the Company was exempt from the payment of such taxes totaling $26.8 million and $15.0 million, respectively. For the nine months ended September 30, 2018 and 2017, the Company was exempt from the payment of such taxes totaling $73.7 million and $41.6 million, respectively.</w:t>
      </w:r>
    </w:p>
    <w:p>
      <w:pPr>
        <w:spacing w:after="0" w:line="187" w:lineRule="exact"/>
        <w:rPr>
          <w:sz w:val="20"/>
          <w:szCs w:val="20"/>
          <w:color w:val="auto"/>
        </w:rPr>
      </w:pPr>
    </w:p>
    <w:p>
      <w:pPr>
        <w:ind w:right="560" w:firstLine="432"/>
        <w:spacing w:after="0" w:line="342" w:lineRule="auto"/>
        <w:rPr>
          <w:sz w:val="20"/>
          <w:szCs w:val="20"/>
          <w:color w:val="auto"/>
        </w:rPr>
      </w:pPr>
      <w:r>
        <w:rPr>
          <w:rFonts w:ascii="Arial" w:cs="Arial" w:eastAsia="Arial" w:hAnsi="Arial"/>
          <w:sz w:val="16"/>
          <w:szCs w:val="16"/>
          <w:color w:val="auto"/>
        </w:rPr>
        <w:t>Wynn Macau SA also entered into an agreement with the Macau government that provides for an annual payment of 12.8 million Macau patacas (approximately $1.6 million) as complementary tax otherwise due by stockholders of Wynn Macau SA on dividend distributions through 2020.</w:t>
      </w:r>
    </w:p>
    <w:p>
      <w:pPr>
        <w:spacing w:after="0" w:line="124" w:lineRule="exact"/>
        <w:rPr>
          <w:sz w:val="20"/>
          <w:szCs w:val="20"/>
          <w:color w:val="auto"/>
        </w:rPr>
      </w:pPr>
    </w:p>
    <w:p>
      <w:pPr>
        <w:ind w:right="20" w:firstLine="432"/>
        <w:spacing w:after="0" w:line="289" w:lineRule="auto"/>
        <w:rPr>
          <w:sz w:val="20"/>
          <w:szCs w:val="20"/>
          <w:color w:val="auto"/>
        </w:rPr>
      </w:pPr>
      <w:r>
        <w:rPr>
          <w:rFonts w:ascii="Arial" w:cs="Arial" w:eastAsia="Arial" w:hAnsi="Arial"/>
          <w:sz w:val="16"/>
          <w:szCs w:val="16"/>
          <w:color w:val="auto"/>
        </w:rPr>
        <w:t>In December 2017, the U.S. Tax Cuts and Jobs Act ("U.S. tax reform") was enacted. Also in December 2017, the SEC staff issued Staff Accounting Bulletin No. 118, Income Tax Accounting Implications of the Tax Cuts and Jobs Act, which allowed the Company to record provisional amounts during a measurement period not to extend beyond one year from the enactment date. For the year ended December 31, 2017, the Company recorded a provisional net tax benefit of $339.9 million based on the Company's initial analysis of the U.S. tax reform. The Company continues to collect additional information and evaluate regulatory or other guidance that may impact the use of its FTC carryovers, including the treatment of foreign-sourced royalties and the allocation of interest expense and other expenses to foreign source income. The Company may adjust its valuation allowance for FTC carryovers and the provisional net tax benefit over the next three months. Any subsequent adjustment to this amount will be recorded to income tax expense in the period in which the amount is determined, and such adjustments may be significant. During the three and nine months ended September 30, 2018, no adjustments have been made to the provisional net tax benefit recorded for the year ended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225"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February 6, 2018, Stephen A. Wynn, former Chairman of the Board of Directors and Chief Executive Officer ("Mr. Wynn"), resigned as Chairman of the Board of Directors and Chief Executive Officer of Wynn Resorts and on February 15, 2018, Mr. Wynn entered into a separation agreement with the Company specifying the terms of his termination of service with the Company (the "Separation Agreement"). The Separation Agreement terminated Mr. Wynn’s employment agreement with the Company and confirmed that Mr. Wynn is not entitled to any severance payment or other compensation from the Company under his employment agreement.</w:t>
      </w:r>
    </w:p>
    <w:p>
      <w:pPr>
        <w:spacing w:after="0" w:line="188" w:lineRule="exact"/>
        <w:rPr>
          <w:sz w:val="20"/>
          <w:szCs w:val="20"/>
          <w:color w:val="auto"/>
        </w:rPr>
      </w:pPr>
    </w:p>
    <w:p>
      <w:pPr>
        <w:ind w:right="180" w:firstLine="405"/>
        <w:spacing w:after="0" w:line="271" w:lineRule="auto"/>
        <w:rPr>
          <w:sz w:val="20"/>
          <w:szCs w:val="20"/>
          <w:color w:val="auto"/>
        </w:rPr>
      </w:pPr>
      <w:r>
        <w:rPr>
          <w:rFonts w:ascii="Arial" w:cs="Arial" w:eastAsia="Arial" w:hAnsi="Arial"/>
          <w:sz w:val="17"/>
          <w:szCs w:val="17"/>
          <w:color w:val="auto"/>
        </w:rPr>
        <w:t>Under the Separation Agreement, Mr. Wynn agreed not to compete against the Company for a period of two years and to provide reasonable cooperation and assistance to the Company in connection with any private litigation or arbitration and to the Board of Directors of the Company or any committee of the Board of Directors in connection with any investigation by the Company related to his service with the Company. The Separation Agreement provided that (i) Mr. Wynn’s lease of his personal residence at Wynn Las Vegas would terminate not later than June 1, 2018 and until such date Mr. Wynn would continue to pay rent at its fair market value, unless Mr. Wynn elected to terminate the lease before such date, (ii) Mr. Wynn’s current healthcare coverage will terminate on December 31, 2018, and (iii) administrative support for Mr. Wynn would terminate on May 31, 2018. Additionally, in order to conduct sales of Company shares in an orderly fashion, the Company agreed to enter into a registration rights agreement with Mr. Wynn, with Mr. Wynn to reimburse the Company for its reasonable expenses.</w:t>
      </w:r>
    </w:p>
    <w:p>
      <w:pPr>
        <w:spacing w:after="0" w:line="200" w:lineRule="exact"/>
        <w:rPr>
          <w:sz w:val="20"/>
          <w:szCs w:val="20"/>
          <w:color w:val="auto"/>
        </w:rPr>
      </w:pPr>
    </w:p>
    <w:p>
      <w:pPr>
        <w:spacing w:after="0" w:line="3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On March 20, 2018, the Company entered into a registration rights agreement with Mr. Wynn, the Wynn Family Limited Partnership, a Delaware limited partnership (together with Mr. Wynn, the "Selling Stockholder") and each holder from time to time a party thereto (the "Registration Rights Agreement"), pursuant to the Separation Agreement. The Selling Stockholder subsequently sold all of its holdings of the Company's common stock through open market transactions pursuant to Rule 144 under the Securities Act of 1933, as amended, and certain privately negotiated transactions. Pursuant to the Registration Rights Agreement, without the Company's prior written consent, the Selling Stockholder was not permitted to sell more than an aggregate of 4,043,903 shares of Common Stock in any quarter. The Company provided written consent permitting the Selling Stockholder to undertake the registered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Cooperation Agreement</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August 3, 2018, the Company entered into a Cooperation Agreement (the "Cooperation Agreement") with Elaine P. Wynn regarding the composition of the Company’s Board of Directors and certain other matters, including, among other things, the appointment of Mr. Philip G. Satre to the Company's Board of Directors, standstill restrictions, releases, non-disparagement and reimbursement of expenses. The term of the Cooperation Agreement expires on the day after the conclusion of the 2020 annual meeting of the Company’s stockholders, unless earlier terminated pursuant to the circumstances described in the Cooperation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The Company periodically provides services to certain executive officers and directors of the Company, including the personal use of employees, construction work and other personal services, for which the officers and directors reimburse the Company. Certain officers and directors have deposits with the Company to prepay any such items, which are replenished on an ongoing basis as needed. As of September 30, 2018, these net deposit balances with the Company were immaterial.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Retail Joint Venture</w:t>
      </w:r>
    </w:p>
    <w:p>
      <w:pPr>
        <w:spacing w:after="0" w:line="22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In December 2016, the Company sold Crown a 49.9% ownership interest in the Retail Joint Venture for $217.0 million in cash and a $75.0 million interest-free note, which was paid in full on January 3, 2018. As of December 31, 2017, the note was recorded at its present value of $75.0 million in prepaid expenses and other on the Condensed Consolidated Balance Sheet. The Company maintains a 50.1% ownership in the Retail Joint Venture and is the managing member. The Company's responsibilities with respect to the Retail Joint Venture include day-to-day business operations, property management services and a role in the leasing decisions of the retail space.</w:t>
      </w:r>
    </w:p>
    <w:p>
      <w:pPr>
        <w:spacing w:after="0" w:line="188"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 assessed its ownership in the Retail Joint Venture based on consolidation accounting guidance with an evaluation being performed to determine if the Retail Joint Venture is a VIE, if the Company has a variable interest in the Retail Joint Venture and if the Company is the primary beneficiary of the Retail Joint Venture. The primary beneficiary is the party who has the power to direct the activities of a VIE that most significantly impact the entity's economic performance and who has an obligation to absorb losses of the entity or a right to receive benefits from the entity that could potentially be significant to the entity.</w:t>
      </w:r>
    </w:p>
    <w:p>
      <w:pPr>
        <w:spacing w:after="0" w:line="188"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The Company concluded that the Retail Joint Venture is a VIE and the Company is the primary beneficiary based on its involvement in the leasing activities of the Retail Joint Venture. As a result, the Company consolidates all of the Retail Joint Venture's assets, liabilities and results of operations. The Company will evaluate its primary beneficiary designation on an ongoing basis and will assess the appropriateness of the Retail Joint Venture's VIE status when changes occur.</w:t>
      </w:r>
    </w:p>
    <w:p>
      <w:pPr>
        <w:spacing w:after="0" w:line="187" w:lineRule="exact"/>
        <w:rPr>
          <w:sz w:val="20"/>
          <w:szCs w:val="20"/>
          <w:color w:val="auto"/>
        </w:rPr>
      </w:pPr>
    </w:p>
    <w:p>
      <w:pPr>
        <w:ind w:right="220" w:firstLine="405"/>
        <w:spacing w:after="0" w:line="286" w:lineRule="auto"/>
        <w:rPr>
          <w:sz w:val="20"/>
          <w:szCs w:val="20"/>
          <w:color w:val="auto"/>
        </w:rPr>
      </w:pPr>
      <w:r>
        <w:rPr>
          <w:rFonts w:ascii="Arial" w:cs="Arial" w:eastAsia="Arial" w:hAnsi="Arial"/>
          <w:sz w:val="17"/>
          <w:szCs w:val="17"/>
          <w:color w:val="auto"/>
        </w:rPr>
        <w:t>As of September 30, 2018 and December 31, 2017, the Retail Joint Venture had total assets of $93.5 million and $59.7 million, respectively, and total liabilities of $618.1 million and $0.9 million, respectively. The Retail Joint Venture's total liabilities as of September 30, 2018 included long-term debt of $610.9 million, net of debt issuance costs, related to the outstanding borrowings under the Retail Term Loan.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Boston Harbor Development</w:t>
      </w:r>
    </w:p>
    <w:p>
      <w:pPr>
        <w:spacing w:after="0" w:line="225"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April 28, 2017, Wynn MA, LLC ("Wynn MA"), an indirect wholly owned subsidiary of the Company, and Suffolk Construction Company, Inc. (the "Construction Manager"), entered into an agreement concerning the construction of Encore</w:t>
      </w:r>
    </w:p>
    <w:p>
      <w:pPr>
        <w:spacing w:after="0" w:line="36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1" w:right="25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Boston Harbor, which, among other things, confirmed the guaranteed maximum price for the construction work undertaken by the Construction Manager. The Construction Manager is obligated to substantially complete the project by June 24, 2019, for a guaranteed maximum price of $1.32 billion. Both the contract time and guaranteed maximum price are subject to further adjustment under certain conditions. The performance of the Construction Manager is backed by a payment and performance bond in the amount of $350.0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and Affiliates</w:t>
      </w:r>
    </w:p>
    <w:p>
      <w:pPr>
        <w:spacing w:after="0" w:line="225" w:lineRule="exact"/>
        <w:rPr>
          <w:sz w:val="20"/>
          <w:szCs w:val="20"/>
          <w:color w:val="auto"/>
        </w:rPr>
      </w:pPr>
    </w:p>
    <w:p>
      <w:pPr>
        <w:jc w:val="both"/>
        <w:ind w:right="200" w:firstLine="392"/>
        <w:spacing w:after="0" w:line="259" w:lineRule="auto"/>
        <w:rPr>
          <w:sz w:val="20"/>
          <w:szCs w:val="20"/>
          <w:color w:val="auto"/>
        </w:rPr>
      </w:pPr>
      <w:r>
        <w:rPr>
          <w:rFonts w:ascii="Arial" w:cs="Arial" w:eastAsia="Arial" w:hAnsi="Arial"/>
          <w:sz w:val="18"/>
          <w:szCs w:val="18"/>
          <w:color w:val="auto"/>
        </w:rPr>
        <w:t>On February 18, 2012, Wynn Resorts' Gaming Compliance Committee received an independent report by Freeh, Sporkin &amp; Sullivan, LLP (the "Freeh Report") detailing a pattern of misconduct by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w:t>
      </w:r>
    </w:p>
    <w:p>
      <w:pPr>
        <w:spacing w:after="0" w:line="187"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were "unsuitable persons" under Article VII of the Company's articles of incorporation. On that same day, Wynn Resorts redeemed and canceled Aruze's 24,549,222 shares of Wynn Resorts' common stock, and, pursuant to its articles of incorporation, Wynn Resorts issued the Redemption Note to Aruze in redemption of the shares.</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The Company sought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March 12, 2012, the Okada Parties filed an answer denying the claims and a counterclaim (as amended, the "Counterclaim") purporting to assert claims against the Company, certain individuals who are or were members of the Company's Board of Directors (other than Mr. Okada) and Wynn Resorts' former General Counsel, Kimmarie Sinatra ("Ms. Sinatra"). The Counterclaim alleged,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Mr.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sought a declaration that the redemption of Aruze's shares was void, an injunction restoring Aruze's share ownership, damages in an unspecified amount and rescission of the Amended and Restated Stockholders Agreement, dated as of January 6, 2010, by and among Aruze, Mr. Wynn, and Elaine P. Wynn (the "Stockholders Agreement").</w:t>
      </w:r>
    </w:p>
    <w:p>
      <w:pPr>
        <w:spacing w:after="0" w:line="92"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On March 8, 2018, the Company entered into the Settlement Agreement by and between the Company, Mr. Wynn, Linda Chen, Russell Goldsmith, Ray R. Irani, Robert J. Miller, John A. Moran, Marc D. Schorr, Alvin V. Shoemaker, D. Boone Wayson, Allan Zeman, and Ms. Sinatra (collectively, the "Wynn Parties"), and Universal Entertainment Corp. and Aruze (collectively with Universal Entertainment Corp., the "Universal Parties"). The Settlement Agreement resolved legal proceedings pending in the Redemption Action as well as other claims. Pursuant to the Settlement Agreement, the Company paid the principal amount of the $1.94 billion Redemption Note on March 30, 2018. On March 30, 2018, the Company also paid an additional $463.6 million with respect to the Universal Parties’ claims related to the allegedly below-market interest rate of the Redemption Note and stipulated to the release to Aruze of $232.4 million in accrued interest held in escrow. The Company recorded the $463.6 million as a litigation settlement expense on the Condensed Consolidated Statements of Income.</w:t>
      </w:r>
    </w:p>
    <w:p>
      <w:pPr>
        <w:spacing w:after="0" w:line="3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Settlement Agreement, the Wynn Parties and the Universal Parties mutually agreed to unconditionally release all claims against each other relating to or arising out of the Redemption Action, as well as any claims which relate to or arise out of any other litigation or claims in any other jurisdiction. As a result, the Universal Parties will not claim that Aruze remains a party to the Stockholders Agreement. The Universal Parties further released any claims against the Wynn Parties and their affiliates in any other jurisdiction, including but not limited to the proceeding pending in Macau against Wynn Resorts (Macau) S.A. and certain related individuals ("Macau Litigation"). As a result of the Settlement Agreement, the parties to the agreement dismissed all litigation between the Universal Parties and the Company and its then-directors and executives with respect to the redemption, including the Redemption Action and the Macau Litigation, but the Settlement Agreement did not release claims against any parties to such litigation who are not parties to the Settlement Agreement, including but not limited to Kazuo Okada and Elaine P. Wynn.</w:t>
      </w:r>
    </w:p>
    <w:p>
      <w:pPr>
        <w:spacing w:after="0" w:line="179" w:lineRule="exact"/>
        <w:rPr>
          <w:sz w:val="20"/>
          <w:szCs w:val="20"/>
          <w:color w:val="auto"/>
        </w:rPr>
      </w:pPr>
    </w:p>
    <w:p>
      <w:pPr>
        <w:ind w:right="600" w:firstLine="392"/>
        <w:spacing w:after="0" w:line="277" w:lineRule="auto"/>
        <w:rPr>
          <w:sz w:val="20"/>
          <w:szCs w:val="20"/>
          <w:color w:val="auto"/>
        </w:rPr>
      </w:pPr>
      <w:r>
        <w:rPr>
          <w:rFonts w:ascii="Arial" w:cs="Arial" w:eastAsia="Arial" w:hAnsi="Arial"/>
          <w:sz w:val="18"/>
          <w:szCs w:val="18"/>
          <w:color w:val="auto"/>
        </w:rPr>
        <w:t>On March 12, 2018, the Company voluntarily dismissed its claim for breach of fiduciary duty against Kazuo Okada, which was the last and only remaining claim between Wynn Resorts, Kazuo Okada, and the Universal Parties in the Redemption Action.</w:t>
      </w:r>
    </w:p>
    <w:p>
      <w:pPr>
        <w:spacing w:after="0" w:line="170" w:lineRule="exact"/>
        <w:rPr>
          <w:sz w:val="20"/>
          <w:szCs w:val="20"/>
          <w:color w:val="auto"/>
        </w:rPr>
      </w:pPr>
    </w:p>
    <w:p>
      <w:pPr>
        <w:ind w:right="140" w:firstLine="432"/>
        <w:spacing w:after="0" w:line="268" w:lineRule="auto"/>
        <w:rPr>
          <w:sz w:val="20"/>
          <w:szCs w:val="20"/>
          <w:color w:val="auto"/>
        </w:rPr>
      </w:pPr>
      <w:r>
        <w:rPr>
          <w:rFonts w:ascii="Arial" w:cs="Arial" w:eastAsia="Arial" w:hAnsi="Arial"/>
          <w:sz w:val="17"/>
          <w:szCs w:val="17"/>
          <w:color w:val="auto"/>
        </w:rPr>
        <w:t>On June 19, 2012, Elaine P. Wynn asserted a cross claim against Mr. Wynn and Aruze seeking a declaration that (1) any and all of Elaine P. Wynn's duties under the Stockholders Agreement should be discharged; (2) the Stockholders Agreement was subject to rescission and is rescinded; (3) the Stockholders Agreement was an unreasonable restraint on alienation in violation of public policy; and/or (4) the restrictions on sale of shares should be construed as inapplicable to Elaine P. Wynn. On March 28, 2016, Elaine P Wynn filed an amended cross claim against Mr. Wynn, as well as Wynn Resorts and Wynn Resorts' former General Counsel (together with Mr. Wynn, the "Wynn Cross Defendants") as cross defendants. The amended cross claim substantially repeated its earlier allegations and further alleged that Mr. Wynn engaged in acts of misconduct that, with the Wynn Cross Defendants, resulted in Mr. Wynn allegedly breaching the Stockholders Agreement and violating alleged duties under the Stockholders Agreement by preventing Elaine P. Wynn from being nominated and elected to serve as one of Wynn Resorts' directors. In addition to continuing to seek the declarations asserted under the original cross claim, the amended cross claim sought an order compelling Mr. Wynn to comply with the Stockholders Agreement by assuring the nomination and election of Elaine P. Wynn to the Board of Directors and sought unspecified monetary damages from Mr. Wynn and the Wynn Cross Defendants. Elaine P. Wynn’s amended cross claim was later dismissed as to Wynn Resorts and Wynn Resorts' former General Counsel. On May 17, 2017, Elaine P. Wynn filed another amended cross claim against the Wynn Cross Defendants, which substantially repeated its earlier allegations and again named Wynn Resorts and Wynn Resorts' former General Counsel as cross defendants.</w:t>
      </w:r>
    </w:p>
    <w:p>
      <w:pPr>
        <w:spacing w:after="0" w:line="188" w:lineRule="exact"/>
        <w:rPr>
          <w:sz w:val="20"/>
          <w:szCs w:val="20"/>
          <w:color w:val="auto"/>
        </w:rPr>
      </w:pPr>
    </w:p>
    <w:p>
      <w:pPr>
        <w:ind w:right="180" w:firstLine="392"/>
        <w:spacing w:after="0" w:line="257" w:lineRule="auto"/>
        <w:rPr>
          <w:sz w:val="20"/>
          <w:szCs w:val="20"/>
          <w:color w:val="auto"/>
        </w:rPr>
      </w:pPr>
      <w:r>
        <w:rPr>
          <w:rFonts w:ascii="Arial" w:cs="Arial" w:eastAsia="Arial" w:hAnsi="Arial"/>
          <w:sz w:val="18"/>
          <w:szCs w:val="18"/>
          <w:color w:val="auto"/>
        </w:rPr>
        <w:t>On March 14, 2018, Mr. Wynn and Elaine P. Wynn entered into a stipulation declaring the Stockholders Agreement invalid and unenforceable, and on April 16, 2018, the Company entered into a Settlement Agreement and Mutual Release by and between the Company, Mr. Wynn, Elaine P. Wynn, and the Company’s former General Counsel, which, among other things, resolved and unconditionally released the parties from all claims and cross claims asserted among the parties in a legal proceeding involving the Stockholders Agreement. Neither the Company nor the Company’s former General Counsel made any payment under the terms of such settlement agreement.</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On July 3, 2015, WML announced that the Okada Parties filed a complaint in the Court of First Instance of Macau ("Macau Court") against Wynn Macau SA and certain individuals who are or were directors of Wynn Macau SA and or WML (collectively, the "Wynn Macau Parties"). The principal allegations in the lawsuit are that the redemption of the Okada Parties' shares in Wynn Resorts was improper and undervalued, that the previously disclosed payment by Wynn Macau SA to an unrelated third party in consideration of relinquishment by that party of certain rights in and to any future development on the land in Cotai where Wynn Palace is located was unlawful and that the previously disclosed donation by Wynn Resorts to the University of Macau Development Foundation was unlawful. The plaintiffs seek dissolution of Wynn Macau SA and compensatory damages. On July 11, 2017, the Macau Court dismissed all claims by the Okada Parties as unfounded, fined the Okada Parties, and ordered the Okada Parties to pay for court costs and the Wynn Macau Parties' attorney's fees. On or about October 16, 2017, the Okada Parties filed formal appeal papers in Macau, which Wynn Macau SA received on November 21, 2017. Wynn Macau SA filed its response on December 21, 2017. In March 2018, pursuant to the Settlement Agreement, the Universal Parties voluntarily withdrew from the Macau Litigation, leaving Mr. Okada as the sole claimant.</w:t>
      </w:r>
    </w:p>
    <w:p>
      <w:pPr>
        <w:spacing w:after="0" w:line="178" w:lineRule="exact"/>
        <w:rPr>
          <w:sz w:val="20"/>
          <w:szCs w:val="20"/>
          <w:color w:val="auto"/>
        </w:rPr>
      </w:pPr>
    </w:p>
    <w:p>
      <w:pPr>
        <w:ind w:firstLine="392"/>
        <w:spacing w:after="0" w:line="264" w:lineRule="auto"/>
        <w:rPr>
          <w:sz w:val="20"/>
          <w:szCs w:val="20"/>
          <w:color w:val="auto"/>
        </w:rPr>
      </w:pPr>
      <w:r>
        <w:rPr>
          <w:rFonts w:ascii="Arial" w:cs="Arial" w:eastAsia="Arial" w:hAnsi="Arial"/>
          <w:sz w:val="18"/>
          <w:szCs w:val="18"/>
          <w:color w:val="auto"/>
        </w:rPr>
        <w:t>The Company believes this action is without merit and will vigorously defend itself against the claims pleaded against it by Mr. Okada. Management has determined that based on proceedings to date, it is currently unable to determine the probability of the outcome of this action or the range of reasonably possible loss, if any.</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62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Litigation Related to Redemption Action</w:t>
      </w:r>
    </w:p>
    <w:p>
      <w:pPr>
        <w:spacing w:after="0" w:line="225" w:lineRule="exact"/>
        <w:rPr>
          <w:sz w:val="20"/>
          <w:szCs w:val="20"/>
          <w:color w:val="auto"/>
        </w:rPr>
      </w:pPr>
    </w:p>
    <w:p>
      <w:pPr>
        <w:ind w:right="40" w:firstLine="432"/>
        <w:spacing w:after="0" w:line="268" w:lineRule="auto"/>
        <w:rPr>
          <w:sz w:val="20"/>
          <w:szCs w:val="20"/>
          <w:color w:val="auto"/>
        </w:rPr>
      </w:pPr>
      <w:r>
        <w:rPr>
          <w:rFonts w:ascii="Arial" w:cs="Arial" w:eastAsia="Arial" w:hAnsi="Arial"/>
          <w:sz w:val="17"/>
          <w:szCs w:val="17"/>
          <w:color w:val="auto"/>
        </w:rPr>
        <w:t>Two state derivative actions were commenced against the Company and all members of its Board of Directors in the Eighth Judicial District Court of Clark County, Nevada. These state court actions brought by the following plaintiffs have been consolidated: (1) IBEW Local 98 Pension Fund and (2) Danny Hinson (collectively, the "Derivative Plaintiffs"). The Derivative Plaintiffs filed a consolidated complaint on July 20, 2012 asserting claims for (1) breach of fiduciary duty; (2) abuse of control; (3) gross mismanagement; and (4) unjust enrichment. The claims are against the Company and all Company directors during the applicable period, including Mr. Okada, as well as the Company's Chief Financial Officer who signed financial disclosures filed with the SEC during the applicable periods. The Derivative Plaintiffs claim that the individual defendants failed to disclose to the Company's stockholders the investigation into, and the dispute with director Okada as well as the alleged potential violations of the FCPA related to, the University of Macau Development Foundation donation. The Derivative Plaintiffs seek unspecified monetary damages (compensatory and punitive), disgorgement, reformation of corporate governance procedures, an order directing the Company to internally investigate the donation, as well as attorney's fees and costs. On June 18, 2014, the court entered a stipulation between the parties that provides for a stay of the action and directs the parties, within 45 days of the conclusion of the Redemption Action, to discuss how the derivative action should proceed and to file a joint report with the court. In May 2018, the parties (except Elaine P. Wynn) filed a joint report given the conclusion of the Redemption Action. On May 14, 2018, the court stayed the case due to plaintiff Danny Hinson’s claim that he intended to send a demand letter to the Company. On May 30, 2018, plaintiff Danny Hinson sent a demand letter to the Company requesting the Board to investigate the University of Macau Development Foundation donation, the removal of Mr. Okada from the Board and the terms of the Redemption Note. The Company is reviewing the letter.</w:t>
      </w:r>
    </w:p>
    <w:p>
      <w:pPr>
        <w:spacing w:after="0" w:line="183"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these actions or the range of reasonably possible loss, if any.</w:t>
      </w:r>
    </w:p>
    <w:p>
      <w:pPr>
        <w:spacing w:after="0" w:line="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25" w:lineRule="exact"/>
        <w:rPr>
          <w:sz w:val="20"/>
          <w:szCs w:val="20"/>
          <w:color w:val="auto"/>
        </w:rPr>
      </w:pPr>
    </w:p>
    <w:p>
      <w:pPr>
        <w:ind w:right="220" w:firstLine="392"/>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On November 7, 2014, the gaming license became effective.</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Suffolk Action:</w:t>
      </w:r>
    </w:p>
    <w:p>
      <w:pPr>
        <w:spacing w:after="0" w:line="225" w:lineRule="exact"/>
        <w:rPr>
          <w:sz w:val="20"/>
          <w:szCs w:val="20"/>
          <w:color w:val="auto"/>
        </w:rPr>
      </w:pPr>
    </w:p>
    <w:p>
      <w:pPr>
        <w:ind w:right="80" w:firstLine="378"/>
        <w:spacing w:after="0" w:line="255" w:lineRule="auto"/>
        <w:rPr>
          <w:sz w:val="20"/>
          <w:szCs w:val="20"/>
          <w:color w:val="auto"/>
        </w:rPr>
      </w:pPr>
      <w:r>
        <w:rPr>
          <w:rFonts w:ascii="Arial" w:cs="Arial" w:eastAsia="Arial" w:hAnsi="Arial"/>
          <w:sz w:val="18"/>
          <w:szCs w:val="18"/>
          <w:color w:val="auto"/>
        </w:rPr>
        <w:t>On September 17, 2018, Sterling Suffolk Racecourse, LLC, owner of the property proposed for location of a casino by an unsuccessful bidder for the Greater Boston (Region) A gaming license filed a complaint in the United States District Court, District of Massachusetts, against Wynn Resorts, Wynn MA, certain current and former officers of Wynn Resorts, FBT Everett Realty, LLC, former owner of the land on which Encore Boston Harbor is located (“FBT”) and Paul Lohnes, a member of FBT. The complaint alleges, among other things, the defendants engaged in conduct in violation of Racketeer Influenced Corrupt Organization Act (“RICO”), conspired to circumvent the application process for the Greater Boston (Region A) gaming license and violated Massachusetts’ law with respect to unfair methods of competition. The plaintiff seeks $1 billion in compensatory damages and treble damages pursuant to applicable law.</w:t>
      </w:r>
    </w:p>
    <w:p>
      <w:pPr>
        <w:spacing w:after="0" w:line="189" w:lineRule="exact"/>
        <w:rPr>
          <w:sz w:val="20"/>
          <w:szCs w:val="20"/>
          <w:color w:val="auto"/>
        </w:rPr>
      </w:pPr>
    </w:p>
    <w:p>
      <w:pPr>
        <w:ind w:right="300" w:firstLine="378"/>
        <w:spacing w:after="0" w:line="342" w:lineRule="auto"/>
        <w:rPr>
          <w:sz w:val="20"/>
          <w:szCs w:val="20"/>
          <w:color w:val="auto"/>
        </w:rPr>
      </w:pPr>
      <w:r>
        <w:rPr>
          <w:rFonts w:ascii="Arial" w:cs="Arial" w:eastAsia="Arial" w:hAnsi="Arial"/>
          <w:sz w:val="16"/>
          <w:szCs w:val="16"/>
          <w:color w:val="auto"/>
        </w:rPr>
        <w:t>The Company will vigorously defend against the claims asserted. This action is in preliminary stages and management has determined that based on proceedings to date, it is currently unable to determine the probability of the outcome of this action or the range of reasonably possible loss, if any.</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Revere Action:</w:t>
      </w:r>
    </w:p>
    <w:p>
      <w:pPr>
        <w:spacing w:after="0" w:line="225" w:lineRule="exact"/>
        <w:rPr>
          <w:sz w:val="20"/>
          <w:szCs w:val="20"/>
          <w:color w:val="auto"/>
        </w:rPr>
      </w:pPr>
    </w:p>
    <w:p>
      <w:pPr>
        <w:ind w:firstLine="378"/>
        <w:spacing w:after="0" w:line="253" w:lineRule="auto"/>
        <w:rPr>
          <w:sz w:val="20"/>
          <w:szCs w:val="20"/>
          <w:color w:val="auto"/>
        </w:rPr>
      </w:pPr>
      <w:r>
        <w:rPr>
          <w:rFonts w:ascii="Arial" w:cs="Arial" w:eastAsia="Arial" w:hAnsi="Arial"/>
          <w:sz w:val="18"/>
          <w:szCs w:val="18"/>
          <w:color w:val="auto"/>
        </w:rPr>
        <w:t>On October 16, 2014, the City of Revere, the host community to the unsuccessful bidder for the same license, and the International Brotherhood of Electrical Workers, Local 103 ("IBEW") filed a complaint against the MGC and each of the five gaming commissioners in Suffolk Superior Court in Boston, Massachusetts (the "Revere Action"). The complaint challenges the MGC's decision and alleges that the MGC failed to follow statutory requirements outlined in the Gaming Act. The complaint (1) seeks to appeal the administrative decision, (2) asserts that certiorari provides a remedy to correct errors in proceedings by an agency such as the MGC, (3) challenges the constitutionality of that section of the gaming law which bars judicial review of the MGC's decision to deny an applicant a gaming license, and (4) alleges violations of the open meeting law requirements. The court allowed Mohegan Sun ("Mohegan"), the other applicant for the Greater Boston (Region A) gaming license, to intervene in the Revere Action, and on February 23, 2015, Mohegan filed its complaint. The Mohegan complaint challenges the license award to Wynn MA, seeks judicial review of the MGC's decision, and seeks to vacate the MGC's license award to Wynn MA.</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20" w:firstLine="378"/>
        <w:spacing w:after="0" w:line="271" w:lineRule="auto"/>
        <w:rPr>
          <w:sz w:val="20"/>
          <w:szCs w:val="20"/>
          <w:color w:val="auto"/>
        </w:rPr>
      </w:pPr>
      <w:r>
        <w:rPr>
          <w:rFonts w:ascii="Arial" w:cs="Arial" w:eastAsia="Arial" w:hAnsi="Arial"/>
          <w:sz w:val="17"/>
          <w:szCs w:val="17"/>
          <w:color w:val="auto"/>
        </w:rPr>
        <w:t>On July 1, 2015, the MGC filed motions to dismiss Mohegan's and the City of Revere's complaints. On December 3, 2015, the court granted the motion to dismiss the claims asserted in the Revere Action. Also on December 3, 2015, the court granted the motion to dismiss three of the four counts asserted by Mohegan but denied the motion as to Mohegan's certiorari claim. The City of Revere and IBEW sought immediate appellate review of the dismissal of their claims and the MGC requested immediate appellate review of the court's denial of the MGC's motion to dismiss Mohegan's certiorari claim. All three petitions for interlocutory review were denied. The parties then appealed to the Massachusetts Supreme Judicial Court ("SJC"). On March 10, 2017, the SJC affirmed the trial court's dismissal of the City of Revere's claims and IBEW's claims. The SJC affirmed the court's dismissal of Mohegan's claims except for the certiorari claim, which the SJC remanded to the Suffolk Superior Court. Mohegan filed a motion for judgment on the pleadings on November 3, 2017, and oral argument is being re-scheduled from its originally scheduled date of April 5, 2018.</w:t>
      </w:r>
    </w:p>
    <w:p>
      <w:pPr>
        <w:spacing w:after="0" w:line="17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SJC reversed the trial court's dismissal of the individual plaintiffs' open meeting law claim and remanded that claim to the Suffolk Superior Court.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parties are currently in the discovery phase.</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Revere Action. The MGC retained private legal representation at its own nontaxpayer-funded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Actions Related to Mr. Wynn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Investigations:</w:t>
      </w:r>
    </w:p>
    <w:p>
      <w:pPr>
        <w:spacing w:after="0" w:line="225"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On January 26, 2018, the Company's Board of Directors formed a Special Committee comprised solely of independent directors to investigate allegations of inappropriate personal conduct by Mr. Wynn in the workplace. On February 12, 2018, the Special Committee amended and restated its charter to provide for a review of various governance issues regarding knowledge of the allegations and a comprehensive review of the Company's internal policies and procedures with the goal of employing best practices to maintain a safe and respectful workplace for all employees. On August 3, 2018, the Board received the final presentation from the Special Committee. The Special Committee provided the presentation to the Company's gaming regulators in Massachusetts and Nevada, which are reviewing these matters, including suitability with respect to the Company and its related licensees, and the Company is cooperating with these regulatory reviews. The gaming regulator in Macau is monitoring and reviewing the situation, and the Company is cooperating. In deference to the ongoing regulatory investigations, the Board and the Company intends to not make any further public statement on the results of the Special Committee presentation until the regulatory investigations are completed.</w:t>
      </w:r>
    </w:p>
    <w:p>
      <w:pPr>
        <w:spacing w:after="0" w:line="182" w:lineRule="exact"/>
        <w:rPr>
          <w:sz w:val="20"/>
          <w:szCs w:val="20"/>
          <w:color w:val="auto"/>
        </w:rPr>
      </w:pPr>
    </w:p>
    <w:p>
      <w:pPr>
        <w:ind w:left="260"/>
        <w:spacing w:after="0"/>
        <w:rPr>
          <w:sz w:val="20"/>
          <w:szCs w:val="20"/>
          <w:color w:val="auto"/>
        </w:rPr>
      </w:pPr>
      <w:r>
        <w:rPr>
          <w:rFonts w:ascii="Arial" w:cs="Arial" w:eastAsia="Arial" w:hAnsi="Arial"/>
          <w:sz w:val="18"/>
          <w:szCs w:val="18"/>
          <w:i w:val="1"/>
          <w:iCs w:val="1"/>
          <w:u w:val="single" w:color="auto"/>
          <w:color w:val="auto"/>
        </w:rPr>
        <w:t>Derivative Litigation: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A number of stockholder derivative actions have been filed purportedly on behalf of the Company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Mr. Wynn in the workplace. On September 19, 2018, the Board established a Special Litigation Committee (the “SLC”) to investigate the allegations in the State Derivative Case (as defined below).</w:t>
      </w:r>
    </w:p>
    <w:p>
      <w:pPr>
        <w:spacing w:after="0" w:line="188" w:lineRule="exact"/>
        <w:rPr>
          <w:sz w:val="20"/>
          <w:szCs w:val="20"/>
          <w:color w:val="auto"/>
        </w:rPr>
      </w:pPr>
    </w:p>
    <w:p>
      <w:pPr>
        <w:jc w:val="both"/>
        <w:ind w:right="80" w:firstLine="378"/>
        <w:spacing w:after="0" w:line="259" w:lineRule="auto"/>
        <w:rPr>
          <w:sz w:val="20"/>
          <w:szCs w:val="20"/>
          <w:color w:val="auto"/>
        </w:rPr>
      </w:pPr>
      <w:r>
        <w:rPr>
          <w:rFonts w:ascii="Arial" w:cs="Arial" w:eastAsia="Arial" w:hAnsi="Arial"/>
          <w:sz w:val="18"/>
          <w:szCs w:val="18"/>
          <w:color w:val="auto"/>
        </w:rPr>
        <w:t xml:space="preserve">The actions filed in the Eighth Judicial District Court of Clark County, Nevada have been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In September 2018, the court denied the Company’s motion to dismiss, and the Company filed a writ petition appealing the denial to the Nevada Supreme Court. In October 2018, the Nevada Supreme Court denied the Company’s writ petition. The SLC has filed a motion to intervene and stay the case.</w:t>
      </w:r>
    </w:p>
    <w:p>
      <w:pPr>
        <w:spacing w:after="0" w:line="187" w:lineRule="exact"/>
        <w:rPr>
          <w:sz w:val="20"/>
          <w:szCs w:val="20"/>
          <w:color w:val="auto"/>
        </w:rPr>
      </w:pPr>
    </w:p>
    <w:p>
      <w:pPr>
        <w:ind w:right="60" w:firstLine="378"/>
        <w:spacing w:after="0" w:line="286" w:lineRule="auto"/>
        <w:rPr>
          <w:sz w:val="20"/>
          <w:szCs w:val="20"/>
          <w:color w:val="auto"/>
        </w:rPr>
      </w:pPr>
      <w:r>
        <w:rPr>
          <w:rFonts w:ascii="Arial" w:cs="Arial" w:eastAsia="Arial" w:hAnsi="Arial"/>
          <w:sz w:val="17"/>
          <w:szCs w:val="17"/>
          <w:color w:val="auto"/>
        </w:rPr>
        <w:t xml:space="preserve">The actions filed in the United States District Court, District of Nevada have been consolidated as </w:t>
      </w:r>
      <w:r>
        <w:rPr>
          <w:rFonts w:ascii="Arial" w:cs="Arial" w:eastAsia="Arial" w:hAnsi="Arial"/>
          <w:sz w:val="17"/>
          <w:szCs w:val="17"/>
          <w:i w:val="1"/>
          <w:iCs w:val="1"/>
          <w:color w:val="auto"/>
        </w:rPr>
        <w:t>In re Wynn Resorts, Ltd. Derivative Litigation</w:t>
      </w:r>
      <w:r>
        <w:rPr>
          <w:rFonts w:ascii="Arial" w:cs="Arial" w:eastAsia="Arial" w:hAnsi="Arial"/>
          <w:sz w:val="17"/>
          <w:szCs w:val="17"/>
          <w:color w:val="auto"/>
        </w:rPr>
        <w:t xml:space="preserve"> (“Federal Derivative Case”), which also claim corporate waste and violation of Section 14(a) of the Exchange Act. In June 2018, the Company filed a motion to dismiss and a motion to stay pending resolution of the Securities Action. The motions are fully-briefed and awaiting a decision from the court.</w:t>
      </w:r>
    </w:p>
    <w:p>
      <w:pPr>
        <w:spacing w:after="0" w:line="166" w:lineRule="exact"/>
        <w:rPr>
          <w:sz w:val="20"/>
          <w:szCs w:val="20"/>
          <w:color w:val="auto"/>
        </w:rPr>
      </w:pPr>
    </w:p>
    <w:p>
      <w:pPr>
        <w:ind w:right="180" w:firstLine="378"/>
        <w:spacing w:after="0" w:line="264"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 Additional demands have been made to the Company that it commence similar actions and additional lawsuits may be filed in the future.</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Securities Action:</w:t>
      </w:r>
    </w:p>
    <w:p>
      <w:pPr>
        <w:spacing w:after="0" w:line="225" w:lineRule="exact"/>
        <w:rPr>
          <w:sz w:val="20"/>
          <w:szCs w:val="20"/>
          <w:color w:val="auto"/>
        </w:rPr>
      </w:pPr>
    </w:p>
    <w:p>
      <w:pPr>
        <w:ind w:right="160" w:firstLine="392"/>
        <w:spacing w:after="0" w:line="297" w:lineRule="auto"/>
        <w:rPr>
          <w:sz w:val="20"/>
          <w:szCs w:val="20"/>
          <w:color w:val="auto"/>
        </w:rPr>
      </w:pPr>
      <w:r>
        <w:rPr>
          <w:rFonts w:ascii="Arial" w:cs="Arial" w:eastAsia="Arial" w:hAnsi="Arial"/>
          <w:sz w:val="16"/>
          <w:szCs w:val="16"/>
          <w:color w:val="auto"/>
        </w:rPr>
        <w:t>On February 20, 2018, a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The parties are awaiting an order from the court appointing a lead plaintiff’s counsel.</w:t>
      </w:r>
    </w:p>
    <w:p>
      <w:pPr>
        <w:spacing w:after="0" w:line="158"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Segment Information</w:t>
      </w:r>
    </w:p>
    <w:p>
      <w:pPr>
        <w:spacing w:after="0" w:line="229"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reviews the results of operations for each of its operating segments.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The Company identifies each resort as a reportable segment considering operations within each resort have similar economic characteristics, type of customers, types of services and products, the regulatory environment of the operations and the Company's organizational and management reporting structure.</w:t>
      </w:r>
    </w:p>
    <w:p>
      <w:pPr>
        <w:spacing w:after="0" w:line="16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The Company also reviews construction and development activities for each of its projects under development, in addition to its reportable segments. The Company separately identifies assets for its Encore Boston Harbor development project. Other Macau primarily represents the Company's Macau holding company.</w:t>
      </w:r>
    </w:p>
    <w:p>
      <w:pPr>
        <w:spacing w:after="0" w:line="200" w:lineRule="exact"/>
        <w:rPr>
          <w:sz w:val="20"/>
          <w:szCs w:val="20"/>
          <w:color w:val="auto"/>
        </w:rPr>
      </w:pP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39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70"/>
        </w:trPr>
        <w:tc>
          <w:tcPr>
            <w:tcW w:w="56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(as adjusted)</w:t>
            </w: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1"/>
              <w:spacing w:after="0"/>
              <w:rPr>
                <w:sz w:val="20"/>
                <w:szCs w:val="20"/>
                <w:color w:val="auto"/>
              </w:rPr>
            </w:pPr>
            <w:r>
              <w:rPr>
                <w:rFonts w:ascii="Arial" w:cs="Arial" w:eastAsia="Arial" w:hAnsi="Arial"/>
                <w:sz w:val="14"/>
                <w:szCs w:val="14"/>
                <w:b w:val="1"/>
                <w:bCs w:val="1"/>
                <w:color w:val="auto"/>
                <w:w w:val="99"/>
              </w:rPr>
              <w:t>(as adjusted)</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Macau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Palace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730,572</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525,029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2,017,004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1,373,742</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Macau</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579,620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562,049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1,741,145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1,753,241</w:t>
            </w:r>
          </w:p>
        </w:tc>
      </w:tr>
      <w:tr>
        <w:trPr>
          <w:trHeight w:val="237"/>
        </w:trPr>
        <w:tc>
          <w:tcPr>
            <w:tcW w:w="562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1,310,192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1,087,078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3,758,149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3,126,983</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Las Vegas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398,880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464,269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1,271,925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1,321,013</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1,709,072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1,551,347</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5,030,074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4,447,996</w:t>
            </w:r>
          </w:p>
        </w:tc>
      </w:tr>
      <w:tr>
        <w:trPr>
          <w:trHeight w:val="67"/>
        </w:trPr>
        <w:tc>
          <w:tcPr>
            <w:tcW w:w="56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226,141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138,228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617,317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337,487</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182,928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183,219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565,677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574,723</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409,069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321,447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1,182,994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912,210</w:t>
            </w:r>
          </w:p>
        </w:tc>
      </w:tr>
      <w:tr>
        <w:trPr>
          <w:trHeight w:val="243"/>
        </w:trPr>
        <w:tc>
          <w:tcPr>
            <w:tcW w:w="5620" w:type="dxa"/>
            <w:vAlign w:val="bottom"/>
          </w:tcPr>
          <w:p>
            <w:pPr>
              <w:ind w:left="220"/>
              <w:spacing w:after="0"/>
              <w:rPr>
                <w:sz w:val="20"/>
                <w:szCs w:val="20"/>
                <w:color w:val="auto"/>
              </w:rPr>
            </w:pPr>
            <w:r>
              <w:rPr>
                <w:rFonts w:ascii="Arial" w:cs="Arial" w:eastAsia="Arial" w:hAnsi="Arial"/>
                <w:sz w:val="18"/>
                <w:szCs w:val="18"/>
                <w:color w:val="auto"/>
              </w:rPr>
              <w:t>Las Vegas Operations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95,298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151,509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362,051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418,296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504,367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472,956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1,545,045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1,330,506</w:t>
            </w:r>
          </w:p>
        </w:tc>
      </w:tr>
      <w:tr>
        <w:trPr>
          <w:trHeight w:val="22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operating expenses</w:t>
            </w: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41"/>
        </w:trPr>
        <w:tc>
          <w:tcPr>
            <w:tcW w:w="5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463,557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Pre-opening</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13,714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6,908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35,255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19,445</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137,458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137,982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411,685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415,488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Property charges and other</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28,293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30,672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38,494</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expenses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31,763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73,643</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11,619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29,290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other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213,384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215,629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1,055,784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576,360</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290,983</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257,327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489,261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754,146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non-operating income and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6,948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21,998</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 net of amounts capitalized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(93,007)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(281,132)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(291,875)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Change in derivatives fair value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(1,056)</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Redemption Note fair value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(69,331)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(69,982)</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(Loss) gain on extinguishment of debt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(43,061)</w:t>
            </w: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(19,840)</w:t>
            </w:r>
          </w:p>
        </w:tc>
      </w:tr>
      <w:tr>
        <w:trPr>
          <w:trHeight w:val="237"/>
        </w:trPr>
        <w:tc>
          <w:tcPr>
            <w:tcW w:w="5620" w:type="dxa"/>
            <w:vAlign w:val="bottom"/>
          </w:tcPr>
          <w:p>
            <w:pPr>
              <w:ind w:left="720"/>
              <w:spacing w:after="0"/>
              <w:rPr>
                <w:sz w:val="20"/>
                <w:szCs w:val="20"/>
                <w:color w:val="auto"/>
              </w:rPr>
            </w:pPr>
            <w:r>
              <w:rPr>
                <w:rFonts w:ascii="Arial" w:cs="Arial" w:eastAsia="Arial" w:hAnsi="Arial"/>
                <w:sz w:val="18"/>
                <w:szCs w:val="18"/>
                <w:b w:val="1"/>
                <w:bCs w:val="1"/>
                <w:color w:val="auto"/>
              </w:rPr>
              <w:t>Total other non-operating income and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(75,095)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(151,815)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(326,318)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(403,816)</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215,888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162,943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350,330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3,884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124,631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(5,040)</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219,772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105,969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287,574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345,290</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(63,657)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(26,202)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(89,791)</w:t>
            </w: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Wynn Resorts, Limited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156,115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79,767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107,564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255,499</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ind w:left="340" w:hanging="332"/>
        <w:spacing w:after="0" w:line="270"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as a way to measure a company's ability</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49" w:lineRule="exact"/>
        <w:rPr>
          <w:sz w:val="20"/>
          <w:szCs w:val="20"/>
          <w:color w:val="auto"/>
        </w:rPr>
      </w:pPr>
    </w:p>
    <w:p>
      <w:pPr>
        <w:jc w:val="both"/>
        <w:ind w:left="340"/>
        <w:spacing w:after="0" w:line="387" w:lineRule="auto"/>
        <w:rPr>
          <w:sz w:val="20"/>
          <w:szCs w:val="20"/>
          <w:color w:val="auto"/>
        </w:rPr>
      </w:pPr>
      <w:r>
        <w:rPr>
          <w:rFonts w:ascii="Arial" w:cs="Arial" w:eastAsia="Arial" w:hAnsi="Arial"/>
          <w:sz w:val="14"/>
          <w:szCs w:val="14"/>
          <w:color w:val="auto"/>
        </w:rPr>
        <w:t>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42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Macau Operations:</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4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3,890,829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4,017,494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1,932,745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1,271,544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Macau</w:t>
            </w:r>
          </w:p>
        </w:tc>
        <w:tc>
          <w:tcPr>
            <w:tcW w:w="4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189,752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174,769</w:t>
            </w:r>
          </w:p>
        </w:tc>
        <w:tc>
          <w:tcPr>
            <w:tcW w:w="0" w:type="dxa"/>
            <w:vAlign w:val="bottom"/>
          </w:tcPr>
          <w:p>
            <w:pPr>
              <w:spacing w:after="0"/>
              <w:rPr>
                <w:sz w:val="1"/>
                <w:szCs w:val="1"/>
                <w:color w:val="auto"/>
              </w:rPr>
            </w:pPr>
          </w:p>
        </w:tc>
      </w:tr>
      <w:tr>
        <w:trPr>
          <w:trHeight w:val="237"/>
        </w:trPr>
        <w:tc>
          <w:tcPr>
            <w:tcW w:w="412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4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6,013,326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5,463,807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4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2,806,381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3,266,390</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Encore Boston Harbor</w:t>
            </w:r>
          </w:p>
        </w:tc>
        <w:tc>
          <w:tcPr>
            <w:tcW w:w="4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1,700,307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1,060,530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4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1,857,477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2,891,012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42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12,377,491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12,681,739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4220" w:type="dxa"/>
            <w:vAlign w:val="bottom"/>
            <w:vMerge w:val="restart"/>
          </w:tcPr>
          <w:p>
            <w:pPr>
              <w:jc w:val="right"/>
              <w:ind w:right="2370"/>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42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412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in conjunction with our condensed consolidated financial statements and related notes included elsewhere in this Form 10-Q and our consolidated financial statements appearing in our annual report on Form 10-K for the year ended December 31, 2017.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are a developer, owner and operator of destination casino resorts (integrated resorts). In the Macau Special Administrative Region of the People's Republic of China ("Macau"), we own approximately 72% of Wynn Macau, Limited ("WML"), which includes the operations of the Wynn Palace and Wynn Macau resorts, which we refer to as our Macau Operations. In Las Vegas, Nevada, we operate and, with the exception of certain retail space, own 100% of Wynn Las Vegas, which we also refer to as our Las Vegas Operations. We are currently constructing Encore Boston Harbor, an integrated casino resort in Everett, Massachusetts.</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Macau Operations</w:t>
      </w:r>
    </w:p>
    <w:p>
      <w:pPr>
        <w:spacing w:after="0" w:line="225"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We operate our Macau Operations under a 20-year casino concession agreement granted by the Macau government in June 2002. We lease from the Macau government approximately 51 acres of land in the Cotai area of Macau where Wynn Palace is located and 16 acres of land in downtown Macau's inner harbor where Wynn Macau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Palace features the following as of October 15, 2018:</w:t>
      </w:r>
    </w:p>
    <w:p>
      <w:pPr>
        <w:spacing w:after="0" w:line="279" w:lineRule="exact"/>
        <w:rPr>
          <w:sz w:val="20"/>
          <w:szCs w:val="20"/>
          <w:color w:val="auto"/>
        </w:rPr>
      </w:pPr>
    </w:p>
    <w:p>
      <w:pPr>
        <w:ind w:left="1300" w:hanging="644"/>
        <w:spacing w:after="0" w:line="277"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424,000 square feet of casino space, offering 24-hour gaming and a full range of games with 323 table games and 1,095 slot machines, private gaming salons and sky casinos;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luxury hotel with a total of 1,706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13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37,000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Recreation and leisure facilities, including a gondola ride, health club, spa, salon and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Public attractions including a performance lake, floral art displays and fine art displays.</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Macau features the following as of October 15, 2018:</w:t>
      </w:r>
    </w:p>
    <w:p>
      <w:pPr>
        <w:spacing w:after="0" w:line="279" w:lineRule="exact"/>
        <w:rPr>
          <w:sz w:val="20"/>
          <w:szCs w:val="20"/>
          <w:color w:val="auto"/>
        </w:rPr>
      </w:pPr>
    </w:p>
    <w:p>
      <w:pPr>
        <w:ind w:left="1300" w:right="14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273,000 square feet of casino space, offering 24-hour gaming and a full range of games with 310 table games and 836 slot machines, private gaming salons, sky casinos and a poker pit;</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luxury hotel towers with a total of 1,008 guest rooms and suites;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12 food and beverage outlets;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59,000 square feet of high-end, brand-name retail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31,000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Recreation and leisure facilities, including two health clubs, spas, a salon and a pool;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rotunda show featuring a Chinese zodiac-inspired ceiling along with gold "prosperity tree" and "dragon of fortune" attractions.</w:t>
      </w:r>
    </w:p>
    <w:p>
      <w:pPr>
        <w:spacing w:after="0" w:line="291"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In response to our evaluation of our Macau Operations and our commitment to creating a unique customer experience, we have made and expect to continue to make enhancements and refinements to these resorts.</w:t>
      </w:r>
    </w:p>
    <w:p>
      <w:pPr>
        <w:spacing w:after="0" w:line="200" w:lineRule="exact"/>
        <w:rPr>
          <w:sz w:val="20"/>
          <w:szCs w:val="20"/>
          <w:color w:val="auto"/>
        </w:rPr>
      </w:pPr>
    </w:p>
    <w:p>
      <w:pPr>
        <w:spacing w:after="0" w:line="3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21" w:right="279" w:bottom="1440" w:gutter="0" w:footer="0" w:header="0"/>
        </w:sectPr>
      </w:pPr>
    </w:p>
    <w:bookmarkStart w:id="34" w:name="page35"/>
    <w:bookmarkEnd w:id="3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Las Vegas Operations</w:t>
      </w:r>
    </w:p>
    <w:p>
      <w:pPr>
        <w:spacing w:after="0" w:line="225"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Wynn Las Vegas is located at the intersection of the Las Vegas Strip and Sands Avenue, and occupies approximately 215 acres of land fronting the Las Vegas Strip. In addition, we own approximately 18 acres across Sands Avenue, a portion of which is improved with an employee parking garage, and approximately five acres adjacent to the golf course land upon which an office building is located.</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features the following as of October 15, 2018:</w:t>
      </w:r>
    </w:p>
    <w:p>
      <w:pPr>
        <w:spacing w:after="0" w:line="387" w:lineRule="exact"/>
        <w:rPr>
          <w:sz w:val="20"/>
          <w:szCs w:val="20"/>
          <w:color w:val="auto"/>
        </w:rPr>
      </w:pPr>
    </w:p>
    <w:p>
      <w:pPr>
        <w:ind w:left="1300" w:right="4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192,000 square feet of casino space, offering 24-hour gaming and a full range of games with 233 table games and 1,814 slot machines, private gaming salons, a sky casino, a poker room, and a race and sports book;</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Two luxury hotel towers with a total of 4,748 guest rooms, suites and villas;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32 food and beverage outlets;</w:t>
      </w:r>
    </w:p>
    <w:p>
      <w:pPr>
        <w:spacing w:after="0" w:line="117"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106,000 square feet of high-end, brand-name retail space (the majority of which is owned and operated under a joint venture of which we own 50.1%);</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Three nightclubs and a beach club;</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Recreation and leisure facilities, including swimming pools, private cabanas, two full service spas and salons, and a wedding chapel; and</w:t>
      </w:r>
    </w:p>
    <w:p>
      <w:pPr>
        <w:spacing w:after="0" w:line="140"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specially designed theater presenting "Le Rêve—The Dream," a water-based theatrical production and a theater presenting entertainment productions and various headliner entertainment acts.</w:t>
      </w:r>
    </w:p>
    <w:p>
      <w:pPr>
        <w:spacing w:after="0" w:line="224"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December 2016, we entered into a joint venture arrangement (the "Retail Joint Venture") with Crown Acquisitions Inc. ("Crown") to own and operate approximately 88,000 square feet of existing retail space. In November 2017, we contributed approximately 74,000 square feet of additional retail space to the Retail Joint Venture, the majority of which is currently under construction at Wynn Las Vegas. We expect to open the additional retail space in the fourth quarter of 2018.</w:t>
      </w:r>
    </w:p>
    <w:p>
      <w:pPr>
        <w:spacing w:after="0" w:line="18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response to our evaluation of our Las Vegas Operations and our commitment to creating a unique customer experience, we have made and expect to continue to make enhancements and refinements to this resort.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Construction and Development Opportunities</w:t>
      </w:r>
    </w:p>
    <w:p>
      <w:pPr>
        <w:spacing w:after="0" w:line="225"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color w:val="auto"/>
        </w:rPr>
        <w:t>We are currently constructing Encore Boston Harbor, an integrated resort in Everett, Massachusetts, adjacent to Boston along the Mystic River. The resort will contain a hotel, a waterfront boardwalk, meeting and convention space, casino space, a spa, retail offerings and food and beverage outlets. The total project budget, including gaming license fees, construction costs, capitalized interest, pre-opening expenses and land costs, is estimated to be approximately $2.6 billion. As of September 30, 2018, we have incurred approximately $1.83 billion in total project costs. We expect to open Encore Boston Harbor in mid-2019.</w:t>
      </w:r>
    </w:p>
    <w:p>
      <w:pPr>
        <w:spacing w:after="0" w:line="188"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are currently constructing approximately 430,000 square feet of additional meeting and convention space at Wynn Las Vegas and have begun design and site preparation for the reconfiguration of the Wynn Las Vegas golf course, which we closed in the fourth quarter of 2017. Based on current designs, we estimate the total project budget to be approximately $415 million. We expect to reopen the golf course in the fourth quarter of 2019 and open the additional meeting and convention space in the first quarter of 2020.</w:t>
      </w:r>
    </w:p>
    <w:p>
      <w:pPr>
        <w:spacing w:after="0" w:line="187"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We have begun a reconfiguration of the current Wynn Club gaming area at Wynn Macau. When completed, the enhanced space will consist of approximately 40 mass market table games, a refurbished high-limit slot area, two new restaurants and approximately 7,000 square feet of retail space, and will provide for improved pedestrian access from the boardwalk. We estimate the total project budget to be approximately $62 million. We expect to complete the high-limit slot area refurbishment in the fourth quarter of 2018. We expect to complete the mass market table game enhancements and open the new restaurants in the third quarter of 2019, and we expect to open the new retail space in the fourth quarter of 2019.</w:t>
      </w:r>
    </w:p>
    <w:p>
      <w:pPr>
        <w:spacing w:after="0" w:line="17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continually seek out new opportunities for additional gaming or related businesses, in the United States, and worldwide.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120" w:firstLine="432"/>
        <w:spacing w:after="0" w:line="308" w:lineRule="auto"/>
        <w:rPr>
          <w:sz w:val="20"/>
          <w:szCs w:val="20"/>
          <w:color w:val="auto"/>
        </w:rPr>
      </w:pPr>
      <w:r>
        <w:rPr>
          <w:rFonts w:ascii="Arial" w:cs="Arial" w:eastAsia="Arial" w:hAnsi="Arial"/>
          <w:sz w:val="17"/>
          <w:szCs w:val="17"/>
          <w:color w:val="auto"/>
        </w:rPr>
        <w:t>Certain key operating measures specific to the gaming industry are included in our discussion of our operational performance for the periods for which a Condensed Consolidated Statement of Income is presented. Below are definitions of these key operating measures discussed:</w:t>
      </w:r>
    </w:p>
    <w:p>
      <w:pPr>
        <w:spacing w:after="0" w:line="147" w:lineRule="exact"/>
        <w:rPr>
          <w:sz w:val="20"/>
          <w:szCs w:val="20"/>
          <w:color w:val="auto"/>
        </w:rPr>
      </w:pPr>
    </w:p>
    <w:p>
      <w:pPr>
        <w:ind w:left="1300" w:right="300" w:hanging="644"/>
        <w:spacing w:after="0" w:line="258"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right="20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ind w:left="1300" w:right="44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w:t>
      </w:r>
    </w:p>
    <w:p>
      <w:pPr>
        <w:spacing w:after="0" w:line="1" w:lineRule="exact"/>
        <w:rPr>
          <w:rFonts w:ascii="Arial" w:cs="Arial" w:eastAsia="Arial" w:hAnsi="Arial"/>
          <w:sz w:val="18"/>
          <w:szCs w:val="18"/>
          <w:color w:val="auto"/>
        </w:rPr>
      </w:pPr>
    </w:p>
    <w:p>
      <w:pPr>
        <w:ind w:left="1300" w:right="80" w:hanging="644"/>
        <w:spacing w:after="0" w:line="281" w:lineRule="auto"/>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2" w:lineRule="exact"/>
        <w:rPr>
          <w:rFonts w:ascii="Arial" w:cs="Arial" w:eastAsia="Arial" w:hAnsi="Arial"/>
          <w:sz w:val="16"/>
          <w:szCs w:val="16"/>
          <w:color w:val="auto"/>
        </w:rPr>
      </w:pPr>
    </w:p>
    <w:p>
      <w:pPr>
        <w:ind w:left="1300" w:right="8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ind w:left="1300" w:right="60" w:hanging="644"/>
        <w:spacing w:after="0" w:line="250"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25"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 In our mass market operations in Macau, customers may purchase cash chips at either the gaming tables or at the casino cage.</w:t>
      </w:r>
    </w:p>
    <w:p>
      <w:pPr>
        <w:spacing w:after="0" w:line="18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54"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In Las Vegas, customers purchase chips at the gaming tables. The cash and net markers used to purchase chips are deposited in the gaming table's drop box. This is the base of measurement that we use for calculating win percentage in Las Vegas. Each type of table game has its own theoretical win percentage. Our expected table games win percentage in Las Vegas is 22% to 26%.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Summary of third quarter 2018 results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results reflect the Company's adoption of the new accounting guidance for revenue recognition ("ASC 606"), effective January 1, 2018. Certain prior period amounts have been adjusted to reflect the full retrospective adoption of ASC 606, with no impact to operating income, net income or Adjusted Property EBITDA.</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consolidated financial results for the periods presented (dollars in thousands, except per share data):</w:t>
      </w:r>
    </w:p>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5"/>
          </w:tcPr>
          <w:p>
            <w:pPr>
              <w:ind w:left="60"/>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660" w:type="dxa"/>
            <w:vAlign w:val="bottom"/>
          </w:tcPr>
          <w:p>
            <w:pPr>
              <w:jc w:val="right"/>
              <w:ind w:right="16"/>
              <w:spacing w:after="0" w:line="139" w:lineRule="exact"/>
              <w:rPr>
                <w:sz w:val="20"/>
                <w:szCs w:val="20"/>
                <w:color w:val="auto"/>
              </w:rPr>
            </w:pPr>
            <w:r>
              <w:rPr>
                <w:rFonts w:ascii="Arial" w:cs="Arial" w:eastAsia="Arial" w:hAnsi="Arial"/>
                <w:sz w:val="14"/>
                <w:szCs w:val="14"/>
                <w:b w:val="1"/>
                <w:bCs w:val="1"/>
                <w:color w:val="auto"/>
              </w:rPr>
              <w:t>Percent</w:t>
            </w: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80" w:type="dxa"/>
            <w:vAlign w:val="bottom"/>
          </w:tcPr>
          <w:p>
            <w:pPr>
              <w:jc w:val="right"/>
              <w:ind w:right="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4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1,709,072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1,551,347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5,030,074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4,447,996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Wynn Resorts, Limited</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156,115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79,767</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107,564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255,499</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3"/>
        </w:trPr>
        <w:tc>
          <w:tcPr>
            <w:tcW w:w="4460" w:type="dxa"/>
            <w:vAlign w:val="bottom"/>
            <w:gridSpan w:val="2"/>
          </w:tcPr>
          <w:p>
            <w:pPr>
              <w:ind w:left="40"/>
              <w:spacing w:after="0"/>
              <w:rPr>
                <w:sz w:val="20"/>
                <w:szCs w:val="20"/>
                <w:color w:val="auto"/>
              </w:rPr>
            </w:pPr>
            <w:r>
              <w:rPr>
                <w:rFonts w:ascii="Arial" w:cs="Arial" w:eastAsia="Arial" w:hAnsi="Arial"/>
                <w:sz w:val="18"/>
                <w:szCs w:val="18"/>
                <w:color w:val="auto"/>
              </w:rPr>
              <w:t>Adjusted Property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6"/>
              <w:spacing w:after="0"/>
              <w:rPr>
                <w:sz w:val="20"/>
                <w:szCs w:val="20"/>
                <w:color w:val="auto"/>
              </w:rPr>
            </w:pPr>
            <w:r>
              <w:rPr>
                <w:rFonts w:ascii="Arial" w:cs="Arial" w:eastAsia="Arial" w:hAnsi="Arial"/>
                <w:sz w:val="18"/>
                <w:szCs w:val="18"/>
                <w:color w:val="auto"/>
              </w:rPr>
              <w:t>504,367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472,956</w:t>
            </w: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1,545,045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1,330,506</w:t>
            </w:r>
          </w:p>
        </w:tc>
        <w:tc>
          <w:tcPr>
            <w:tcW w:w="10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191"/>
        </w:trPr>
        <w:tc>
          <w:tcPr>
            <w:tcW w:w="4460" w:type="dxa"/>
            <w:vAlign w:val="bottom"/>
            <w:gridSpan w:val="2"/>
          </w:tcPr>
          <w:p>
            <w:pPr>
              <w:spacing w:after="0"/>
              <w:rPr>
                <w:sz w:val="20"/>
                <w:szCs w:val="20"/>
                <w:color w:val="auto"/>
              </w:rPr>
            </w:pPr>
            <w:r>
              <w:rPr>
                <w:rFonts w:ascii="Arial" w:cs="Arial" w:eastAsia="Arial" w:hAnsi="Arial"/>
                <w:sz w:val="14"/>
                <w:szCs w:val="14"/>
                <w:color w:val="auto"/>
              </w:rPr>
              <w:t>NM - not meaningful</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income attributable to Wynn Resorts, Limited for the three months ended September 30, 2018, was $156.1 million, or $1.44 per diluted share, compared to $79.8 million, or $0.78 per diluted share, for the same period of 2017. The increase was primarily due to an increase in operating income from Wynn Palace and Wynn Macau, offset by a decrease in our Las Vegas Operations.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Property EBITDA was $504.4 million for the three months ended September 30, 2018, an increase of 6.6%, or $31.4 million, from $473.0 million for the same period of 2017. This was driven by an increase of $87.9 million from Wynn Palace, partially offset by a decrease of $56.2 million from our Las Vegas Operations.</w:t>
      </w:r>
    </w:p>
    <w:p>
      <w:pPr>
        <w:spacing w:after="0" w:line="181"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Net income attributable to Wynn Resorts, Limited for the nine months ended September 30, 2018, was $107.6 million, or $1.01 per diluted share, compared with $255.5 million, or $2.49 per diluted share, for the same period of 2017. The decrease was driven by $463.6 million in litigation settlement expenses and a decrease at our Las Vegas Operations, partially offset by increases in our benefit for income taxes and operating income from Wynn Palace.</w:t>
      </w:r>
    </w:p>
    <w:p>
      <w:pPr>
        <w:spacing w:after="0" w:line="14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Adjusted Property EBITDA was $1.55 billion for the nine months ended September 30, 2018, an increase of 16.1%, or $214.5 million, from $1.33 billion for the same period of 2017. This was driven by an increase of $279.8 million from Wynn Palace, and partially offset by decreases of $9.0 million from Wynn Macau and $56.2 million from our Las Vegas Operations for the comparable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September 30, 2018 compared to the three months ended September 30,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730,572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525,029</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579,620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562,049</w:t>
            </w:r>
          </w:p>
        </w:tc>
        <w:tc>
          <w:tcPr>
            <w:tcW w:w="1580" w:type="dxa"/>
            <w:vAlign w:val="bottom"/>
            <w:gridSpan w:val="2"/>
          </w:tcPr>
          <w:p>
            <w:pPr>
              <w:jc w:val="right"/>
              <w:ind w:right="28"/>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1,310,192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1,087,078</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280" w:type="dxa"/>
            <w:vAlign w:val="bottom"/>
          </w:tcPr>
          <w:p>
            <w:pPr>
              <w:spacing w:after="0"/>
              <w:rPr>
                <w:sz w:val="21"/>
                <w:szCs w:val="21"/>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398,880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464,269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1,709,072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1,551,347</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Operating revenues increased 10.2%, or $157.7 million, to $1.71 billion for the three months ended September 30, 2018, from $1.55 billion for the same period of 2017. Increases of $205.5 million and $17.6 million at Wynn Palace and Wynn Macau were partially offset by a decrease of $65.4 million in our Las Vegas Operations, compared with the same period of 2017.</w:t>
      </w:r>
    </w:p>
    <w:p>
      <w:pPr>
        <w:spacing w:after="0" w:line="181" w:lineRule="exact"/>
        <w:rPr>
          <w:sz w:val="20"/>
          <w:szCs w:val="20"/>
          <w:color w:val="auto"/>
        </w:rPr>
      </w:pPr>
    </w:p>
    <w:p>
      <w:pPr>
        <w:ind w:right="620" w:firstLine="432"/>
        <w:spacing w:after="0" w:line="277" w:lineRule="auto"/>
        <w:rPr>
          <w:sz w:val="20"/>
          <w:szCs w:val="20"/>
          <w:color w:val="auto"/>
        </w:rPr>
      </w:pPr>
      <w:r>
        <w:rPr>
          <w:rFonts w:ascii="Arial" w:cs="Arial" w:eastAsia="Arial" w:hAnsi="Arial"/>
          <w:sz w:val="18"/>
          <w:szCs w:val="18"/>
          <w:color w:val="auto"/>
        </w:rPr>
        <w:t>Non-casino revenues consist of operating revenues from rooms, food and beverage, entertainment, retail and other. The following table presents operating revenues from our casino and non-casino revenues (dollars in thousands):</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1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61"/>
        </w:trPr>
        <w:tc>
          <w:tcPr>
            <w:tcW w:w="674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5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4"/>
          </w:tcPr>
          <w:p>
            <w:pPr>
              <w:jc w:val="right"/>
              <w:ind w:right="334"/>
              <w:spacing w:after="0"/>
              <w:rPr>
                <w:sz w:val="20"/>
                <w:szCs w:val="20"/>
                <w:color w:val="auto"/>
              </w:rPr>
            </w:pPr>
            <w:r>
              <w:rPr>
                <w:rFonts w:ascii="Arial" w:cs="Arial" w:eastAsia="Arial" w:hAnsi="Arial"/>
                <w:sz w:val="14"/>
                <w:szCs w:val="14"/>
                <w:b w:val="1"/>
                <w:bCs w:val="1"/>
                <w:color w:val="auto"/>
                <w:w w:val="99"/>
              </w:rPr>
              <w:t>Three Months Ended September 30,</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Borders>
              <w:bottom w:val="single" w:sz="8" w:color="CCEEFF"/>
            </w:tcBorders>
          </w:tcPr>
          <w:p>
            <w:pPr>
              <w:spacing w:after="0"/>
              <w:rPr>
                <w:sz w:val="16"/>
                <w:szCs w:val="16"/>
                <w:color w:val="auto"/>
              </w:rPr>
            </w:pPr>
          </w:p>
        </w:tc>
        <w:tc>
          <w:tcPr>
            <w:tcW w:w="57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380"/>
              <w:spacing w:after="0"/>
              <w:rPr>
                <w:sz w:val="20"/>
                <w:szCs w:val="20"/>
                <w:color w:val="auto"/>
              </w:rPr>
            </w:pPr>
            <w:r>
              <w:rPr>
                <w:rFonts w:ascii="Arial" w:cs="Arial" w:eastAsia="Arial" w:hAnsi="Arial"/>
                <w:sz w:val="18"/>
                <w:szCs w:val="18"/>
                <w:color w:val="auto"/>
              </w:rPr>
              <w:t>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7"/>
              <w:spacing w:after="0"/>
              <w:rPr>
                <w:sz w:val="20"/>
                <w:szCs w:val="20"/>
                <w:color w:val="auto"/>
              </w:rPr>
            </w:pPr>
            <w:r>
              <w:rPr>
                <w:rFonts w:ascii="Arial" w:cs="Arial" w:eastAsia="Arial" w:hAnsi="Arial"/>
                <w:sz w:val="18"/>
                <w:szCs w:val="18"/>
                <w:color w:val="auto"/>
              </w:rPr>
              <w:t>1,222,029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1,075,577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487,043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475,770</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57"/>
        </w:trPr>
        <w:tc>
          <w:tcPr>
            <w:tcW w:w="1020" w:type="dxa"/>
            <w:vAlign w:val="bottom"/>
          </w:tcPr>
          <w:p>
            <w:pPr>
              <w:spacing w:after="0"/>
              <w:rPr>
                <w:sz w:val="22"/>
                <w:szCs w:val="22"/>
                <w:color w:val="auto"/>
              </w:rPr>
            </w:pPr>
          </w:p>
        </w:tc>
        <w:tc>
          <w:tcPr>
            <w:tcW w:w="57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1,709,072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1,551,347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Casino revenues were 71.5% of total operating revenues for the three months ended September 30, 2018, compared to 69.3% for the same period of 2017, while non-casino revenues were 28.5% of total operating revenues, compared to 30.7% for the same period of 2017.</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Casino revenues increased 13.6%, or $146.5 million, to $1.22 billion for the three months ended September 30, 2018, from $1.08 billion for the same period of 2017. This was primarily due to an increase of $178.5 million from Wynn Palace, partially offset by a decrease of $36.8 million at our Las Vegas Operations. Wynn Palace table drop and VIP turnover increased 37.3% and 13.4%, respectively. The VIP operations at Wynn Palace also benefited from an increase in VIP win as a percentage of turnover to 3.40% from 2.99%. Wynn Macau casino revenues increased $4.7 million, driven by a 10.6% increase in table drop and a 4.4% increase in VIP turnover, mostly offset by a decrease in VIP win as a percentage of turnover to 3.01% from 3.37%. The decrease at our Las Vegas Operations was primarily due to an 18.6% decrease in table drop, a 5.1 percentage point decrease in table games win percentage and a 6.2% decrease in slot machine win.</w:t>
      </w:r>
    </w:p>
    <w:p>
      <w:pPr>
        <w:spacing w:after="0" w:line="18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Prior to the opening of Wynn Palace in August 2016, the Gaming Inspection and Coordination Bureau of Macau authorized 100 new table games for operation at Wynn Palace with 25 additional table games authorized for operation on January 1, 2017, and a further 25 new table games for operation on January 1, 2018, for a total of 150 new table games in the aggregate. In addition, we have shared and will continue to share table games between Wynn Palace and Wynn Macau, subject to the aggregate cap, to optimize our casino operations. As of October 15, 2018, we had a total of 323 table games at Wynn Palace and 310 at Wynn Macau.</w:t>
      </w: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4" w:right="23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6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ind w:left="32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625,586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447,066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178,520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15,525,637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13,694,250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1,831,387</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528,219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409,648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118,571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51,463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42,015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9,448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1,189,895</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866,637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323,258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308,149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194,294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113,855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16,291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10,491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1,056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922,514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817,543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104,971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46,044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41,965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4,079</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506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503,557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498,825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4,732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VIP:</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13,966,931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13,373,060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593,871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420,864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451,136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42,061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51,324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506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3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1,183,667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1,070,119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113,548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250,229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216,439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13,625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3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895,249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864,553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06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34,769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1"/>
              <w:spacing w:after="0"/>
              <w:rPr>
                <w:sz w:val="20"/>
                <w:szCs w:val="20"/>
                <w:color w:val="auto"/>
              </w:rPr>
            </w:pPr>
            <w:r>
              <w:rPr>
                <w:rFonts w:ascii="Arial" w:cs="Arial" w:eastAsia="Arial" w:hAnsi="Arial"/>
                <w:sz w:val="18"/>
                <w:szCs w:val="18"/>
                <w:color w:val="auto"/>
              </w:rPr>
              <w:t>35,522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783"/>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ind w:left="3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360" w:type="dxa"/>
            <w:vAlign w:val="bottom"/>
          </w:tcPr>
          <w:p>
            <w:pPr>
              <w:jc w:val="right"/>
              <w:ind w:right="35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360" w:type="dxa"/>
            <w:vAlign w:val="bottom"/>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92,886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129,686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(36,800)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404,033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496,233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(92,200)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86,709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132,227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4,003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240" w:type="dxa"/>
            <w:vAlign w:val="bottom"/>
          </w:tcPr>
          <w:p>
            <w:pPr>
              <w:spacing w:after="0"/>
              <w:rPr>
                <w:sz w:val="21"/>
                <w:szCs w:val="21"/>
                <w:color w:val="auto"/>
              </w:rPr>
            </w:pP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1,849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810,120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819,462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50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55,937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59,605</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Non-casino revenues increased 2.4%, or $11.3 million, to $487.0 million for the three months ended September 30, 2018, from $475.8 million for the same period of 2017. Increases of $27.0 million and $12.8 million from Wynn Palace and Wynn Macau, respectively, were partially offset by a decrease of $28.6 million in our Las Vegas Operations.</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Room revenues increased 7.4%, or $12.7 million, to $183.0 million for the three months ended September 30, 2018, from $170.4 million during the same period of 2017, primarily driven by higher ADR at our Macau Operations, and partially offset by decreases in ADR and occupancy at our Las Vegas Operations. Increases of $14.8 million and $4.8 million from Wynn Palace and Wynn Macau, respectively, were partially offset by a decrease of $6.9 million in our Las Vegas Operations.</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5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vMerge w:val="restart"/>
          </w:tcPr>
          <w:p>
            <w:pPr>
              <w:jc w:val="right"/>
              <w:ind w:right="5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vMerge w:val="restart"/>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180" w:type="dxa"/>
            <w:vAlign w:val="bottom"/>
          </w:tcPr>
          <w:p>
            <w:pPr>
              <w:jc w:val="right"/>
              <w:ind w:right="13"/>
              <w:spacing w:after="0" w:line="139" w:lineRule="exact"/>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44,296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29,510</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28,091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23,279</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110,657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117,582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43"/>
        </w:trPr>
        <w:tc>
          <w:tcPr>
            <w:tcW w:w="6540" w:type="dxa"/>
            <w:vAlign w:val="bottom"/>
          </w:tcPr>
          <w:p>
            <w:pPr>
              <w:ind w:left="380"/>
              <w:spacing w:after="0"/>
              <w:rPr>
                <w:sz w:val="20"/>
                <w:szCs w:val="20"/>
                <w:color w:val="auto"/>
              </w:rPr>
            </w:pPr>
            <w:r>
              <w:rPr>
                <w:rFonts w:ascii="Arial" w:cs="Arial" w:eastAsia="Arial" w:hAnsi="Arial"/>
                <w:sz w:val="18"/>
                <w:szCs w:val="18"/>
                <w:color w:val="auto"/>
              </w:rPr>
              <w:t>REVPAR</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13"/>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1"/>
        </w:trPr>
        <w:tc>
          <w:tcPr>
            <w:tcW w:w="6540" w:type="dxa"/>
            <w:vAlign w:val="bottom"/>
          </w:tcPr>
          <w:p>
            <w:pPr>
              <w:spacing w:after="0"/>
              <w:rPr>
                <w:sz w:val="20"/>
                <w:szCs w:val="20"/>
                <w:color w:val="auto"/>
              </w:rPr>
            </w:pPr>
            <w:r>
              <w:rPr>
                <w:rFonts w:ascii="Arial" w:cs="Arial" w:eastAsia="Arial" w:hAnsi="Arial"/>
                <w:sz w:val="14"/>
                <w:szCs w:val="14"/>
                <w:color w:val="auto"/>
              </w:rPr>
              <w:t>(1) Except occupancy, which is presented as a percentage point change.</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4"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Food and beverage revenues decreased 3.1%, or $6.2 million, to $193.9 million for the three months ended September 30, 2018, from $200.1 million for the same period of 2017. Food and beverage revenues at our Las Vegas Operations decreased $11.7 million, which was primarily due to a decrease in nightclub revenue. The decrease at our Las Vegas Operations was partially offset by increases of $3.6 million and $1.9 million from Wynn Palace and Wynn Macau, respectively, which were primarily driven by increased covers at our food and beverage outlets.</w:t>
      </w:r>
    </w:p>
    <w:p>
      <w:pPr>
        <w:spacing w:after="0" w:line="17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Entertainment, retail and other revenues increased 4.5%, or $4.8 million, to $110.1 million for the three months ended September 30, 2018, from $105.3 million for the same period of 2017. During the third quarter of 2018, Wynn Palace and Wynn Macau recorded business interruption insurance proceeds of $5.4 million and $5.3 million, respectively, related to the full settlement of claims from Typhoon Hato in 2017. Entertainment, retail and other revenues decreased 17.6%, or $10.0 million, at our Las Vegas Operations, primarily due to a conversion of wholly owned retail outlets to leased retail outlets in December 2017, the closure of the golf course in December 2017, and a decrease in entertainment revenue.</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Operating expenses increased 9.6%, or $124.1 million, to $1.42 billion for the three months ended September 30, 2018, from $1.29 billion for the same period of 2017, primarily due to increased casino expenses at Wynn Palace.</w:t>
      </w:r>
    </w:p>
    <w:p>
      <w:pPr>
        <w:spacing w:after="0" w:line="170"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Casino expenses increased 15.4%, or $104.7 million, to $783.2 million for the three months ended September 30, 2018, from $678.5 million for the same period of 2017, primarily due to increased gaming taxes at Wynn Palace commensurate with the increase in casino revenues.</w:t>
      </w:r>
    </w:p>
    <w:p>
      <w:pPr>
        <w:spacing w:after="0" w:line="14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Room expenses increased 2.6%, or $1.6 million, to $63.0 million for the three months ended September 30, 2018, from $61.4 million for the same period of 2017, primarily related to repairs and maintenance expenses at our Las Vegas Operations.</w:t>
      </w:r>
    </w:p>
    <w:p>
      <w:pPr>
        <w:spacing w:after="0" w:line="17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Food and beverage expenses increased 6.9%, or $10.5 million, to $162.3 million for the three months ended September 30, 2018, from $151.8 million for the same period of 2017, primarily due to increases of $6.5 million and $2.5 million from Wynn Palace and Wynn Macau, respectively, commensurate with increased sales at our restaurants. The increase from our Las Vegas Operations was primarily driven by higher payroll costs.</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Entertainment, retail and other expenses decreased 10.1%, or $5.0 million, to $44.0 million for the three months ended September 30, 2018, from $49.0 million for the same period of 2017. The change was driven by a decrease of $7.0 million at our Las Vegas Operations, primarily due to a conversion of wholly owned retail outlets to leased retail outlets and the closure of the golf course in December 2017.</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General and administrative expenses increased 7.7%, or $13.8 million, to $192.3 million for the three months ended September 30, 2018, from $178.5 million for the same period of 2017, primarily due to increases at Wynn Palace and Wynn Macau of $5.5 million and $5.3 million, respectively. These increases were primarily driven by increased payroll and other general and administrative costs.</w:t>
      </w:r>
    </w:p>
    <w:p>
      <w:pPr>
        <w:spacing w:after="0" w:line="18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Pre-opening expenses were $13.7 million for the three months ended September 30, 2018, compared to $6.9 million for the same period of 2017. During the three months ended September 30, 2018 and 2017, we incurred pre-opening expenses of $13.5 million and $6.5 million, respectively, related to Encore Boston Harbor.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Depreciation and amortization was relatively flat at $137.5 million for the three months ended September 30, 2018 compared to the same period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393"/>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vMerge w:val="restart"/>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46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40" w:type="dxa"/>
            <w:vAlign w:val="bottom"/>
          </w:tcPr>
          <w:p>
            <w:pPr>
              <w:ind w:left="380"/>
              <w:spacing w:after="0"/>
              <w:rPr>
                <w:sz w:val="20"/>
                <w:szCs w:val="20"/>
                <w:color w:val="auto"/>
              </w:rPr>
            </w:pPr>
            <w:r>
              <w:rPr>
                <w:rFonts w:ascii="Arial" w:cs="Arial" w:eastAsia="Arial" w:hAnsi="Arial"/>
                <w:sz w:val="18"/>
                <w:szCs w:val="18"/>
                <w:color w:val="auto"/>
                <w:w w:val="96"/>
              </w:rPr>
              <w:t>Interest expense, including amortization of debt issuance costs and original issue</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380"/>
              <w:spacing w:after="0"/>
              <w:rPr>
                <w:sz w:val="20"/>
                <w:szCs w:val="20"/>
                <w:color w:val="auto"/>
              </w:rPr>
            </w:pPr>
            <w:r>
              <w:rPr>
                <w:rFonts w:ascii="Arial" w:cs="Arial" w:eastAsia="Arial" w:hAnsi="Arial"/>
                <w:sz w:val="18"/>
                <w:szCs w:val="18"/>
                <w:color w:val="auto"/>
              </w:rPr>
              <w:t>discount and premium</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109,176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101,402</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(16,169)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(5,528)</w:t>
            </w:r>
          </w:p>
        </w:tc>
        <w:tc>
          <w:tcPr>
            <w:tcW w:w="15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97"/>
        </w:trPr>
        <w:tc>
          <w:tcPr>
            <w:tcW w:w="664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93,007</w:t>
            </w:r>
          </w:p>
        </w:tc>
        <w:tc>
          <w:tcPr>
            <w:tcW w:w="100" w:type="dxa"/>
            <w:vAlign w:val="bottom"/>
            <w:tcBorders>
              <w:bottom w:val="single" w:sz="8" w:color="CCEEFF"/>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95,874</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11"/>
        </w:trPr>
        <w:tc>
          <w:tcPr>
            <w:tcW w:w="66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5"/>
              <w:spacing w:after="0"/>
              <w:rPr>
                <w:sz w:val="20"/>
                <w:szCs w:val="20"/>
                <w:color w:val="auto"/>
              </w:rPr>
            </w:pPr>
            <w:r>
              <w:rPr>
                <w:rFonts w:ascii="Arial" w:cs="Arial" w:eastAsia="Arial" w:hAnsi="Arial"/>
                <w:sz w:val="18"/>
                <w:szCs w:val="18"/>
                <w:color w:val="auto"/>
              </w:rPr>
              <w:t>8,875,084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9,959,989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6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312" w:lineRule="auto"/>
        <w:rPr>
          <w:sz w:val="20"/>
          <w:szCs w:val="20"/>
          <w:color w:val="auto"/>
        </w:rPr>
      </w:pPr>
      <w:r>
        <w:rPr>
          <w:rFonts w:ascii="Arial" w:cs="Arial" w:eastAsia="Arial" w:hAnsi="Arial"/>
          <w:sz w:val="16"/>
          <w:szCs w:val="16"/>
          <w:color w:val="auto"/>
        </w:rPr>
        <w:t>Interest expense increased $7.8 million for the three months ended September 30, 2018, compared to the same period of 2017, primarily due to an increase in our weighted average interest rate, partially offset by a decrease in our weighted average total debt balance. Capitalized interest increased $10.6 million for the three months ended September 30, 2018, compared to the same period of 2017, due to Encore Boston Harbor construction activities.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During the first quarter of 2018, we repaid the $1.94 billion principal amount of the Redemption Note, and therefore did not record a change in the fair value of the Redemption Note for the three months ended September 30, 2018. For the three months ended September 30, 2017, we recorded a loss of $41.7 million from the change in the fair value of the Redemption Note. For more information on the methodology and assumptions used in determining the fair value of the Redemption Note, see Item 1—"Notes to Condensed Consolidated Financial Statements," Note 2, "Summary of Significant Accounting Policies."</w:t>
      </w:r>
    </w:p>
    <w:p>
      <w:pPr>
        <w:spacing w:after="0" w:line="11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income was $6.9 million for the three months ended September 30, 2018, compared to $8.4 million for the three months ended September 30,</w:t>
      </w:r>
    </w:p>
    <w:p>
      <w:pPr>
        <w:spacing w:after="0" w:line="46"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2017. During 2018 and 2017, our short-term investment strategy has been to preserve capital while retaining sufficient liquidity. The majority of our short-term investment amounts were in time deposits, fixed deposits and money market accounts with a maturity of three months or less. We sold our investment securities during the third quarter of 2018.</w:t>
      </w:r>
    </w:p>
    <w:p>
      <w:pPr>
        <w:spacing w:after="0" w:line="190" w:lineRule="exact"/>
        <w:rPr>
          <w:sz w:val="20"/>
          <w:szCs w:val="20"/>
          <w:color w:val="auto"/>
        </w:rPr>
      </w:pPr>
    </w:p>
    <w:p>
      <w:pPr>
        <w:jc w:val="both"/>
        <w:ind w:right="380" w:firstLine="432"/>
        <w:spacing w:after="0" w:line="286" w:lineRule="auto"/>
        <w:rPr>
          <w:sz w:val="20"/>
          <w:szCs w:val="20"/>
          <w:color w:val="auto"/>
        </w:rPr>
      </w:pPr>
      <w:r>
        <w:rPr>
          <w:rFonts w:ascii="Arial" w:cs="Arial" w:eastAsia="Arial" w:hAnsi="Arial"/>
          <w:sz w:val="17"/>
          <w:szCs w:val="17"/>
          <w:color w:val="auto"/>
        </w:rPr>
        <w:t>We recorded a gain of $11.2 million and a loss of $1.9 million for the three months ended September 30, 2018 and 2017, respectively, from foreign currency remeasurements. The impact of the exchange rate fluctuation of the Macau pataca, in relation to the U.S. dollar, on the remeasurements of U.S. dollar denominated debt and other obligations from our Macau-related entities drove the variability between periods.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We recorded an income tax benefit of $3.9 million and $0.5 million for the three months ended September 30, 2018 and 2017. The 2018 income tax benefit primarily related to an increase in deferred tax assets. The 2017 income tax benefit primarily related to changes in the domestic valuation allowance for U.S. foreign tax credits.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Net income attributable to noncontrolling interests was $63.7 million for the three months ended September 30, 2018, compared to $26.2 million for the same period of 2017. These amounts were primarily related to the noncontrolling interests' share of net income from WML.</w:t>
      </w:r>
    </w:p>
    <w:p>
      <w:pPr>
        <w:spacing w:after="0" w:line="200" w:lineRule="exact"/>
        <w:rPr>
          <w:sz w:val="20"/>
          <w:szCs w:val="20"/>
          <w:color w:val="auto"/>
        </w:rPr>
      </w:pP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nine months ended September 30, 2018 compared to the nine months ended September 30, 2017.</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revenues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operating revenues from our Macau and Las Vegas Operations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2,017,004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1,373,742</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46.8</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1,741,145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1,753,241</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(0.7)</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3,758,149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3,126,983</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Las Vegas Operations</w:t>
            </w:r>
          </w:p>
        </w:tc>
        <w:tc>
          <w:tcPr>
            <w:tcW w:w="30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1,271,925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1,321,013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5,030,074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4,447,996</w:t>
            </w:r>
          </w:p>
        </w:tc>
        <w:tc>
          <w:tcPr>
            <w:tcW w:w="15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13.1</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Operating revenues increased 13.1%, or $582.1 million, to $5.03 billion for the nine months ended September 30, 2018, from $4.45 billion for the same period of 2017. The increase of $643.3 million at Wynn Palace was the primary driver. Operating revenues at Wynn Macau and our Las Vegas Operations decreased $12.1 million and $49.1 million, respectively, compared with the same period of 2017.</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operating revenues from our casino and non-casino revenues (dollars in thousands):</w:t>
      </w:r>
    </w:p>
    <w:p>
      <w:pPr>
        <w:spacing w:after="0" w:line="200" w:lineRule="exact"/>
        <w:rPr>
          <w:sz w:val="20"/>
          <w:szCs w:val="20"/>
          <w:color w:val="auto"/>
        </w:rPr>
      </w:pPr>
    </w:p>
    <w:p>
      <w:pPr>
        <w:spacing w:after="0" w:line="246" w:lineRule="exact"/>
        <w:rPr>
          <w:sz w:val="20"/>
          <w:szCs w:val="20"/>
          <w:color w:val="auto"/>
        </w:rPr>
      </w:pPr>
    </w:p>
    <w:p>
      <w:pPr>
        <w:ind w:left="724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640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3,564,195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3,067,145</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1,465,879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1,380,851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5,030,074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4,447,996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Casino revenues were 70.9% of total operating revenues for the nine months ended September 30, 2018, compared to 69.0% for the same period of 2017, while non-casino revenues were 29.1% of total operating revenues, compared to 31.0% for the same period of 2017.</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Casino revenues increased 16.2%, or $497.1 million, to $3.56 billion for the nine months ended September 30, 2018, from $3.07 billion for the same period of 2017. This was primarily due to an increase of $571.6 million from Wynn Palace, partially offset by decreases of $49.0 million and $25.6 million at Wynn Macau and our Las Vegas Operations, respectively. Wynn Palace table drop and VIP turnover increased 53.3% and 23.7%, respectively. The VIP operations at Wynn Palace also benefited from an increase in VIP win as a percentage of turnover to 3.00% from 2.74%. The decrease at Wynn Macau was primarily driven by a decrease in VIP win as a percentage of turnover to 2.72% from 3.41%, offset by a 16.6% increase in table games win. The decrease at our Las Vegas Operations was primarily due to a 2.2% decrease in table drop and a 1.1 percentage point decrease in table games win percentage.</w:t>
      </w: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for our Macau and Las Vegas Operations (dollars in thousands, except for win per unit per day):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Wynn Palace:</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1,719,072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1,147,429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571,643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44,940,535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36,340,603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8,599,932</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1,348,291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997,031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351,260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43,302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36,290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7,012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3,625,959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2,365,661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1,260,298</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898,876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530,668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368,208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9,507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6,243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1,041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2,921,582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2,132,973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788,609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145,993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110,712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35,281</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5280" w:type="dxa"/>
            <w:vAlign w:val="bottom"/>
          </w:tcPr>
          <w:p>
            <w:pPr>
              <w:ind w:left="180"/>
              <w:spacing w:after="0"/>
              <w:rPr>
                <w:sz w:val="20"/>
                <w:szCs w:val="20"/>
                <w:color w:val="auto"/>
              </w:rPr>
            </w:pPr>
            <w:r>
              <w:rPr>
                <w:rFonts w:ascii="Arial" w:cs="Arial" w:eastAsia="Arial" w:hAnsi="Arial"/>
                <w:sz w:val="18"/>
                <w:szCs w:val="18"/>
                <w:color w:val="auto"/>
              </w:rPr>
              <w:t>Wynn Macau:</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1,515,859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1,564,860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VIP:</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turnover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44,982,849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42,680,904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2,301,945</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VIP 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1,223,219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1,456,139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(232,920)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VIP win as a % of turnover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57,095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(16,891)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Arial" w:cs="Arial" w:eastAsia="Arial" w:hAnsi="Arial"/>
                <w:sz w:val="18"/>
                <w:szCs w:val="18"/>
                <w:color w:val="auto"/>
              </w:rPr>
              <w:t>Mass market:</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3,799,636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3,274,733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524,903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758,748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650,911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107,837</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13,747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11,637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2,861,703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2,589,125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272,578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5280" w:type="dxa"/>
            <w:vAlign w:val="bottom"/>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116,960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1"/>
              <w:spacing w:after="0"/>
              <w:rPr>
                <w:sz w:val="20"/>
                <w:szCs w:val="20"/>
                <w:color w:val="auto"/>
              </w:rPr>
            </w:pPr>
            <w:r>
              <w:rPr>
                <w:rFonts w:ascii="Arial" w:cs="Arial" w:eastAsia="Arial" w:hAnsi="Arial"/>
                <w:sz w:val="18"/>
                <w:szCs w:val="18"/>
                <w:color w:val="auto"/>
              </w:rPr>
              <w:t>113,607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3,353</w:t>
            </w:r>
          </w:p>
        </w:tc>
        <w:tc>
          <w:tcPr>
            <w:tcW w:w="10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2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2"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1"/>
        </w:trPr>
        <w:tc>
          <w:tcPr>
            <w:tcW w:w="5280" w:type="dxa"/>
            <w:vAlign w:val="bottom"/>
            <w:gridSpan w:val="2"/>
          </w:tcPr>
          <w:p>
            <w:pPr>
              <w:spacing w:after="0"/>
              <w:rPr>
                <w:rFonts w:ascii="Arial" w:cs="Arial" w:eastAsia="Arial" w:hAnsi="Arial"/>
                <w:sz w:val="14"/>
                <w:szCs w:val="14"/>
                <w:color w:val="0000EE"/>
              </w:rPr>
            </w:pPr>
            <w:hyperlink w:anchor="page2">
              <w:r>
                <w:rPr>
                  <w:rFonts w:ascii="Arial" w:cs="Arial" w:eastAsia="Arial" w:hAnsi="Arial"/>
                  <w:sz w:val="14"/>
                  <w:szCs w:val="14"/>
                  <w:color w:val="0000EE"/>
                </w:rPr>
                <w:t>Table of Contents</w:t>
              </w:r>
            </w:hyperlink>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49"/>
        </w:trPr>
        <w:tc>
          <w:tcPr>
            <w:tcW w:w="1020" w:type="dxa"/>
            <w:vAlign w:val="bottom"/>
            <w:tcBorders>
              <w:top w:val="single" w:sz="8" w:color="0000EE"/>
            </w:tcBorders>
          </w:tcPr>
          <w:p>
            <w:pPr>
              <w:spacing w:after="0"/>
              <w:rPr>
                <w:sz w:val="24"/>
                <w:szCs w:val="24"/>
                <w:color w:val="auto"/>
              </w:rPr>
            </w:pPr>
          </w:p>
        </w:tc>
        <w:tc>
          <w:tcPr>
            <w:tcW w:w="4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September 30,</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0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vMerge w:val="restart"/>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Increase/(Decrease)</w:t>
            </w:r>
          </w:p>
        </w:tc>
        <w:tc>
          <w:tcPr>
            <w:tcW w:w="146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02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460" w:type="dxa"/>
            <w:vAlign w:val="bottom"/>
          </w:tcPr>
          <w:p>
            <w:pPr>
              <w:jc w:val="right"/>
              <w:ind w:right="4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2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Total casino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329,264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354,856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(25,592)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Average number of table games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drop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1,344,344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1,374,167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(29,823)</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342,129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364,374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Table games win %</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Table games win per unit per day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5,297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5,657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Average number of slot machines</w:t>
            </w:r>
          </w:p>
        </w:tc>
        <w:tc>
          <w:tcPr>
            <w:tcW w:w="28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1,824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1,864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Slot machine handle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2,332,700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2,350,162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(17,462)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280" w:type="dxa"/>
            <w:vAlign w:val="bottom"/>
            <w:gridSpan w:val="2"/>
          </w:tcPr>
          <w:p>
            <w:pPr>
              <w:ind w:left="600"/>
              <w:spacing w:after="0"/>
              <w:rPr>
                <w:sz w:val="20"/>
                <w:szCs w:val="20"/>
                <w:color w:val="auto"/>
              </w:rPr>
            </w:pPr>
            <w:r>
              <w:rPr>
                <w:rFonts w:ascii="Arial" w:cs="Arial" w:eastAsia="Arial" w:hAnsi="Arial"/>
                <w:sz w:val="18"/>
                <w:szCs w:val="18"/>
                <w:color w:val="auto"/>
              </w:rPr>
              <w:t>Slot machine win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3"/>
              <w:spacing w:after="0"/>
              <w:rPr>
                <w:sz w:val="20"/>
                <w:szCs w:val="20"/>
                <w:color w:val="auto"/>
              </w:rPr>
            </w:pPr>
            <w:r>
              <w:rPr>
                <w:rFonts w:ascii="Arial" w:cs="Arial" w:eastAsia="Arial" w:hAnsi="Arial"/>
                <w:sz w:val="18"/>
                <w:szCs w:val="18"/>
                <w:color w:val="auto"/>
              </w:rPr>
              <w:t>154,618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162,340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(7,722)</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10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Slot machine win per unit per day</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319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1020" w:type="dxa"/>
            <w:vAlign w:val="bottom"/>
            <w:shd w:val="clear" w:color="auto" w:fill="CCEEFF"/>
          </w:tcPr>
          <w:p>
            <w:pPr>
              <w:spacing w:after="0"/>
              <w:rPr>
                <w:sz w:val="2"/>
                <w:szCs w:val="2"/>
                <w:color w:val="auto"/>
              </w:rPr>
            </w:pPr>
          </w:p>
        </w:tc>
        <w:tc>
          <w:tcPr>
            <w:tcW w:w="4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Non-casino revenues increased 6.2%, or $85.0 million, to $1.47 billion for the nine months ended September 30, 2018, from $1.38 billion for the same period of 2017, due to increases of $71.6 million and $36.9 million at Wynn Palace and Wynn Macau, respectively, partially offset by a decrease of $23.5 million at our Las Vegas Operations.</w:t>
      </w:r>
    </w:p>
    <w:p>
      <w:pPr>
        <w:spacing w:after="0" w:line="1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Room revenues increased 11.0%, or $55.3 million, to $559.4 million for the nine months ended September 30, 2018, from $504.1 million for the same period of 2017, primarily due to higher ADR at our Macau and Las Vegas Operations.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 for our Macau and Las Vegas Operations:</w:t>
      </w:r>
    </w:p>
    <w:p>
      <w:pPr>
        <w:spacing w:after="0" w:line="200" w:lineRule="exact"/>
        <w:rPr>
          <w:sz w:val="20"/>
          <w:szCs w:val="20"/>
          <w:color w:val="auto"/>
        </w:rPr>
      </w:pPr>
    </w:p>
    <w:p>
      <w:pPr>
        <w:spacing w:after="0" w:line="246"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23495</wp:posOffset>
            </wp:positionV>
            <wp:extent cx="204089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Percent Change (1)</w:t>
            </w: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Macau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Wynn Palace:</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125,461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86,699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44.7</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35.2</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35.7</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Wynn Macau:</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83,575</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70,484</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18.6</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280</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16.7</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b w:val="1"/>
                <w:bCs w:val="1"/>
                <w:color w:val="auto"/>
              </w:rPr>
              <w:t>Las Vegas Operations:</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room revenues (dollars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350,369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346,952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88.5%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6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273</w:t>
            </w:r>
          </w:p>
        </w:tc>
        <w:tc>
          <w:tcPr>
            <w:tcW w:w="12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1.5</w:t>
            </w: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(1) Except occupancy, which is presented as a percentage point change.</w:t>
      </w:r>
    </w:p>
    <w:p>
      <w:pPr>
        <w:spacing w:after="0" w:line="168"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Food and beverage revenues increased 2.1%, or $12.1 million, to $581.0 million for the nine months ended September 30, 2018, from $568.9 million for the same period of 2017, due to increases of $12.4 million and $7.2 million at Wynn Palace and Wynn Macau, primarily as a result of increased covers at our restaurants. Food and beverage revenues at our Las Vegas Operations decreased $7.5 million, primarily due to decreased nightclub revenues.</w:t>
      </w:r>
    </w:p>
    <w:p>
      <w:pPr>
        <w:sectPr>
          <w:pgSz w:w="11900" w:h="16838" w:orient="portrait"/>
          <w:cols w:equalWidth="0" w:num="1">
            <w:col w:w="11420"/>
          </w:cols>
          <w:pgMar w:left="240" w:top="114" w:right="239"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14" w:right="239" w:bottom="1440" w:gutter="0" w:footer="0" w:header="0"/>
          <w:type w:val="continuous"/>
        </w:sectPr>
      </w:pPr>
    </w:p>
    <w:bookmarkStart w:id="45" w:name="page46"/>
    <w:bookmarkEnd w:id="4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Entertainment, retail and other revenues increased 5.7%, or $17.7 million, to $325.5 million for the nine months ended September 30, 2018, from $307.8 million for the same period of 2017. During the third quarter of 2018, Wynn Palace and Wynn Macau recorded business interruption insurance proceeds of $5.4 million and $5.3 million, respectively, related to the full settlement of claims from Typhoon Hato in 2017. An increase in sales at retail outlets at our Macau Operations also contributed to the increased revenues. Entertainment, retail and other revenues at our Las Vegas Operations decreased 11.7%, or $19.4 million compared to the same period of 2017, primarily due to a conversion of wholly owned retail outlets to leased retail outlets in December 2017 and the closure of the golf course in December of 2017.</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Operating expenses increased 22.9%, or $847.0 million, to $4.54 billion for the nine months ended September 30, 2018, from $3.69 billion for the same period of 2017, primarily due to a litigation settlement expense of $463.6 million and higher casino expenses of $297.9 million.</w:t>
      </w:r>
    </w:p>
    <w:p>
      <w:pPr>
        <w:spacing w:after="0" w:line="170"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Casino expenses increased 15.2%, or $297.9 million, to $2.25 billion for the nine months ended September 30, 2018, from $1.96 billion for the same period of 2017, primarily due to increased gaming taxes at Wynn Palace commensurate with the increase in casino revenues.</w:t>
      </w:r>
    </w:p>
    <w:p>
      <w:pPr>
        <w:spacing w:after="0" w:line="170"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Room expenses increased 3.1%, or $5.7 million, to $189.8 million for the nine months ended September 30, 2018, from $184.2 million for the same period of 2017, primarily related to repairs and maintenance expenses and increased payroll costs at our Las Vegas Operations</w:t>
      </w:r>
    </w:p>
    <w:p>
      <w:pPr>
        <w:spacing w:after="0" w:line="170" w:lineRule="exact"/>
        <w:rPr>
          <w:sz w:val="20"/>
          <w:szCs w:val="20"/>
          <w:color w:val="auto"/>
        </w:rPr>
      </w:pPr>
    </w:p>
    <w:p>
      <w:pPr>
        <w:jc w:val="both"/>
        <w:ind w:firstLine="405"/>
        <w:spacing w:after="0" w:line="302" w:lineRule="auto"/>
        <w:rPr>
          <w:sz w:val="20"/>
          <w:szCs w:val="20"/>
          <w:color w:val="auto"/>
        </w:rPr>
      </w:pPr>
      <w:r>
        <w:rPr>
          <w:rFonts w:ascii="Arial" w:cs="Arial" w:eastAsia="Arial" w:hAnsi="Arial"/>
          <w:sz w:val="16"/>
          <w:szCs w:val="16"/>
          <w:color w:val="auto"/>
        </w:rPr>
        <w:t>Food and beverage expenses increased 6.8%, or $30.0 million, to $468.3 million for the nine months ended September 30, 2018, from $438.3 million for the same period of 2017, due to increases of $14.2 million, $10.5 million and $5.3 million from Wynn Palace, our Las Vegas Operations and Wynn Macau, respectively. The increase from our Las Vegas Operations was primarily driven by increased payroll costs and higher costs for entertainment at Wynn Las Vegas nightclubs. The increases at Wynn Palace and Wynn Macau were commensurate with increased sales at our restaurants.</w:t>
      </w:r>
    </w:p>
    <w:p>
      <w:pPr>
        <w:spacing w:after="0" w:line="15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Entertainment, retail and other expenses decreased 3.0%, or $4.3 million, to $138.6 million for the nine months ended September 30, 2018, from $143.0 million for the same period of 2017. The change was driven by a decrease of $14.2 million at our Las Vegas Operations and partially offset by increases of $6.2 million and $3.6 million at Wynn Palace and Wynn Macau. The decrease at our Las Vegas Operations was primarily driven by a conversion of wholly owned retail outlets to leased retail outlets and the closure of the golf course in December of 2017. The increase in costs at Wynn Palace and Wynn Macau was commensurate with the increase in entertainment, retail and other revenues.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General and administrative expenses increased 8.5%, or $42.9 million, to $545.5 million for the nine months ended September 30, 2018, from $502.6 million for the same period of 2017, primarily due to increases of $16.6 million, $7.6 million and $7.2 million at Wynn Palace, Wynn Macau, and at our Las Vegas Operations, respectively. These increases were primarily driven by an increase in corporate expense, primarily as a result of increased legal expenses, and increased payroll costs at our Macau and Las Vegas Operations.</w:t>
      </w:r>
    </w:p>
    <w:p>
      <w:pPr>
        <w:spacing w:after="0" w:line="187"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Litigation settlement expense of $463.6 million was incurred during the nine months ended September 30, 2018 in connection with the repayment of the Redemption Note for claims related to the allegedly below-market interest rate of the Redemption Note. For more information, see Item 1 —"Notes to Condensed Consolidated Financial Statements," Note 13, "Commitments and Contingencies."</w:t>
      </w:r>
    </w:p>
    <w:p>
      <w:pPr>
        <w:spacing w:after="0" w:line="181"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Provision for doubtful accounts was $2.6 million for the nine months ended September 30, 2018, compared to a benefit of $4.6 million for the same period of 2017. The change was primarily due to the impact of historical collection patterns and current collection trends, as well as the specific review of customer accounts, on our estimated allowance for the respective periods.</w:t>
      </w:r>
    </w:p>
    <w:p>
      <w:pPr>
        <w:spacing w:after="0" w:line="18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Pre-opening expenses were $35.3 million for the nine months ended September 30, 2018, compared to $19.4 million for the same period of 2017. During the nine months ended September 30, 2018, we incurred pre-opening expenses of $34.1 million related to Encore Boston Harbor and $1.2 million related to the redevelopment of a portion of the land previously occupied by the Wynn Las Vegas golf course. During the nine months ended September 30, 2017, we incurred pre-opening expenses of $18.5 million related to Encore Boston Harbor and $0.9 million at our Las Vegas Operations.</w:t>
      </w:r>
    </w:p>
    <w:p>
      <w:pPr>
        <w:spacing w:after="0" w:line="200" w:lineRule="exact"/>
        <w:rPr>
          <w:sz w:val="20"/>
          <w:szCs w:val="20"/>
          <w:color w:val="auto"/>
        </w:rPr>
      </w:pP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Depreciation and amortization decreased 0.9%, or $3.8 million, to $411.7 million for the nine months ended September 30, 2018, from $415.5 million for the same period of 2017. The decrease was the result of certain Wynn Macau assets becoming fully depreciated.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 net of amounts capitalized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200" w:lineRule="exact"/>
        <w:rPr>
          <w:sz w:val="20"/>
          <w:szCs w:val="20"/>
          <w:color w:val="auto"/>
        </w:rPr>
      </w:pP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4"/>
        </w:trPr>
        <w:tc>
          <w:tcPr>
            <w:tcW w:w="67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Percent Change</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29"/>
        </w:trPr>
        <w:tc>
          <w:tcPr>
            <w:tcW w:w="6700" w:type="dxa"/>
            <w:vAlign w:val="bottom"/>
          </w:tcPr>
          <w:p>
            <w:pPr>
              <w:ind w:left="360"/>
              <w:spacing w:after="0"/>
              <w:rPr>
                <w:sz w:val="20"/>
                <w:szCs w:val="20"/>
                <w:color w:val="auto"/>
              </w:rPr>
            </w:pPr>
            <w:r>
              <w:rPr>
                <w:rFonts w:ascii="Arial" w:cs="Arial" w:eastAsia="Arial" w:hAnsi="Arial"/>
                <w:sz w:val="18"/>
                <w:szCs w:val="18"/>
                <w:color w:val="auto"/>
                <w:w w:val="97"/>
              </w:rPr>
              <w:t>Interest expense, including amortization of debt issuance costs and original issue</w:t>
            </w: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700" w:type="dxa"/>
            <w:vAlign w:val="bottom"/>
          </w:tcPr>
          <w:p>
            <w:pPr>
              <w:ind w:left="360"/>
              <w:spacing w:after="0"/>
              <w:rPr>
                <w:sz w:val="20"/>
                <w:szCs w:val="20"/>
                <w:color w:val="auto"/>
              </w:rPr>
            </w:pPr>
            <w:r>
              <w:rPr>
                <w:rFonts w:ascii="Arial" w:cs="Arial" w:eastAsia="Arial" w:hAnsi="Arial"/>
                <w:sz w:val="18"/>
                <w:szCs w:val="18"/>
                <w:color w:val="auto"/>
              </w:rPr>
              <w:t>discount and premium</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318,792</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303,509</w:t>
            </w:r>
          </w:p>
        </w:tc>
        <w:tc>
          <w:tcPr>
            <w:tcW w:w="1320" w:type="dxa"/>
            <w:vAlign w:val="bottom"/>
            <w:gridSpan w:val="2"/>
          </w:tcPr>
          <w:p>
            <w:pPr>
              <w:jc w:val="right"/>
              <w:ind w:right="28"/>
              <w:spacing w:after="0"/>
              <w:rPr>
                <w:sz w:val="20"/>
                <w:szCs w:val="20"/>
                <w:color w:val="auto"/>
              </w:rPr>
            </w:pPr>
            <w:r>
              <w:rPr>
                <w:rFonts w:ascii="Arial" w:cs="Arial" w:eastAsia="Arial" w:hAnsi="Arial"/>
                <w:sz w:val="18"/>
                <w:szCs w:val="18"/>
                <w:color w:val="auto"/>
              </w:rPr>
              <w:t>5.0</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Capitalized interest</w:t>
            </w: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(37,660)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(11,634)</w:t>
            </w:r>
          </w:p>
        </w:tc>
        <w:tc>
          <w:tcPr>
            <w:tcW w:w="132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223.7</w:t>
            </w:r>
          </w:p>
        </w:tc>
      </w:tr>
      <w:tr>
        <w:trPr>
          <w:trHeight w:val="297"/>
        </w:trPr>
        <w:tc>
          <w:tcPr>
            <w:tcW w:w="67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281,132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291,875</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(3.7)</w:t>
            </w:r>
          </w:p>
        </w:tc>
      </w:tr>
      <w:tr>
        <w:trPr>
          <w:trHeight w:val="311"/>
        </w:trPr>
        <w:tc>
          <w:tcPr>
            <w:tcW w:w="67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20" w:type="dxa"/>
            <w:vAlign w:val="bottom"/>
          </w:tcPr>
          <w:p>
            <w:pPr>
              <w:spacing w:after="0"/>
              <w:rPr>
                <w:sz w:val="21"/>
                <w:szCs w:val="21"/>
                <w:color w:val="auto"/>
              </w:rPr>
            </w:pPr>
          </w:p>
        </w:tc>
        <w:tc>
          <w:tcPr>
            <w:tcW w:w="1220" w:type="dxa"/>
            <w:vAlign w:val="bottom"/>
          </w:tcPr>
          <w:p>
            <w:pPr>
              <w:jc w:val="right"/>
              <w:ind w:right="115"/>
              <w:spacing w:after="0"/>
              <w:rPr>
                <w:sz w:val="20"/>
                <w:szCs w:val="20"/>
                <w:color w:val="auto"/>
              </w:rPr>
            </w:pPr>
            <w:r>
              <w:rPr>
                <w:rFonts w:ascii="Arial" w:cs="Arial" w:eastAsia="Arial" w:hAnsi="Arial"/>
                <w:sz w:val="18"/>
                <w:szCs w:val="18"/>
                <w:color w:val="auto"/>
              </w:rPr>
              <w:t>9,022,065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ind w:right="113"/>
              <w:spacing w:after="0"/>
              <w:rPr>
                <w:sz w:val="20"/>
                <w:szCs w:val="20"/>
                <w:color w:val="auto"/>
              </w:rPr>
            </w:pPr>
            <w:r>
              <w:rPr>
                <w:rFonts w:ascii="Arial" w:cs="Arial" w:eastAsia="Arial" w:hAnsi="Arial"/>
                <w:sz w:val="18"/>
                <w:szCs w:val="18"/>
                <w:color w:val="auto"/>
              </w:rPr>
              <w:t>10,047,355</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7"/>
        </w:trPr>
        <w:tc>
          <w:tcPr>
            <w:tcW w:w="67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405"/>
        <w:spacing w:after="0" w:line="312" w:lineRule="auto"/>
        <w:rPr>
          <w:sz w:val="20"/>
          <w:szCs w:val="20"/>
          <w:color w:val="auto"/>
        </w:rPr>
      </w:pPr>
      <w:r>
        <w:rPr>
          <w:rFonts w:ascii="Arial" w:cs="Arial" w:eastAsia="Arial" w:hAnsi="Arial"/>
          <w:sz w:val="16"/>
          <w:szCs w:val="16"/>
          <w:color w:val="auto"/>
        </w:rPr>
        <w:t>Interest expense increased $15.3 million for the nine months ended September 30, 2018, compared to the same period of 2017, primarily due to an increase in our weighted average interest rate, partially offset by a decrease in our weighted average total debt balance. Capitalized interest increased $26.0 million for the nine months ended September 30, 2018, compared to the same period of 2017, primarily due to Encore Boston Harbor construction activities.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25"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We incurred losses of $69.3 million and $70.0 million for the nine months ended September 30, 2018 and 2017, respectively, from the change in the fair value of the Redemption Note. For more information on the methodology and assumptions used in determining the fair value of the Redemption Note, see Item 1—"Notes to Condensed Consolidated Financial Statements," Note 2, "Summary of Significant Accounting Policies." During the first quarter of 2018, we repaid the $1.94 billion principal amount of the Redemption Note.</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income was $21.0 million for the nine months ended September 30, 2018, compared to $22.0 million for the nine months ended September 30,</w:t>
      </w:r>
    </w:p>
    <w:p>
      <w:pPr>
        <w:spacing w:after="0" w:line="46" w:lineRule="exact"/>
        <w:rPr>
          <w:sz w:val="20"/>
          <w:szCs w:val="20"/>
          <w:color w:val="auto"/>
        </w:rPr>
      </w:pPr>
    </w:p>
    <w:p>
      <w:pPr>
        <w:jc w:val="both"/>
        <w:ind w:right="240"/>
        <w:spacing w:after="0" w:line="255" w:lineRule="auto"/>
        <w:rPr>
          <w:sz w:val="20"/>
          <w:szCs w:val="20"/>
          <w:color w:val="auto"/>
        </w:rPr>
      </w:pPr>
      <w:r>
        <w:rPr>
          <w:rFonts w:ascii="Arial" w:cs="Arial" w:eastAsia="Arial" w:hAnsi="Arial"/>
          <w:sz w:val="18"/>
          <w:szCs w:val="18"/>
          <w:color w:val="auto"/>
        </w:rPr>
        <w:t>2017. During 2018 and 2017, our short-term investment strategy has been to preserve capital while retaining sufficient liquidity. The majority of our short-term investment amounts were in time deposits, fixed deposits and money market accounts with a maturity of three months or less. We sold our investment securities during the third quarter of 2018.</w:t>
      </w:r>
    </w:p>
    <w:p>
      <w:pPr>
        <w:spacing w:after="0" w:line="190" w:lineRule="exact"/>
        <w:rPr>
          <w:sz w:val="20"/>
          <w:szCs w:val="20"/>
          <w:color w:val="auto"/>
        </w:rPr>
      </w:pPr>
    </w:p>
    <w:p>
      <w:pPr>
        <w:ind w:right="140" w:firstLine="405"/>
        <w:spacing w:after="0" w:line="276" w:lineRule="auto"/>
        <w:rPr>
          <w:sz w:val="20"/>
          <w:szCs w:val="20"/>
          <w:color w:val="auto"/>
        </w:rPr>
      </w:pPr>
      <w:r>
        <w:rPr>
          <w:rFonts w:ascii="Arial" w:cs="Arial" w:eastAsia="Arial" w:hAnsi="Arial"/>
          <w:sz w:val="17"/>
          <w:szCs w:val="17"/>
          <w:color w:val="auto"/>
        </w:rPr>
        <w:t>We recorded a $2.1 million net gain on extinguishment of debt for the nine months ended September 30, 2018 related to the repayment of the Redemption Note, Wynn Resorts' purchase of $40 million of Wynn Las Vegas' 5 1/2% Senior Notes due 2025 and 5 1/4% Senior Notes due 2027 and the execution of the supplemental indenture related to Wynn Las Vegas' 4 1/4% Senior Notes due 2023. We incurred losses on extinguishment of debt of $43.1 million for the nine months ended September 30, 2017 related to the cash tender offer and subsequent redemption of 5 3/8% First Mortgage Notes due 2022, the issuance of the 5 1/4% Senior Notes due 2027, and the amendment of the Wynn America credit facilities.</w:t>
      </w:r>
    </w:p>
    <w:p>
      <w:pPr>
        <w:spacing w:after="0" w:line="173" w:lineRule="exact"/>
        <w:rPr>
          <w:sz w:val="20"/>
          <w:szCs w:val="20"/>
          <w:color w:val="auto"/>
        </w:rPr>
      </w:pPr>
    </w:p>
    <w:p>
      <w:pPr>
        <w:jc w:val="both"/>
        <w:ind w:right="440" w:firstLine="405"/>
        <w:spacing w:after="0" w:line="286" w:lineRule="auto"/>
        <w:rPr>
          <w:sz w:val="20"/>
          <w:szCs w:val="20"/>
          <w:color w:val="auto"/>
        </w:rPr>
      </w:pPr>
      <w:r>
        <w:rPr>
          <w:rFonts w:ascii="Arial" w:cs="Arial" w:eastAsia="Arial" w:hAnsi="Arial"/>
          <w:sz w:val="17"/>
          <w:szCs w:val="17"/>
          <w:color w:val="auto"/>
        </w:rPr>
        <w:t>We recorded a gain of $1.0 million and a loss of $19.8 million for the nine months ended September 30, 2018 and 2017, respectively, from foreign currency remeasurements. The impact of the exchange rate fluctuation of the Macau pataca, in relation to the U.S. dollar, on the remeasurements of U.S. dollar denominated debt and other obligations from our Macau-related entities drove the variability between periods.</w:t>
      </w:r>
    </w:p>
    <w:p>
      <w:pPr>
        <w:spacing w:after="0" w:line="16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We recorded an income tax benefit of $124.6 million for the nine months ended September 30, 2018 compared to an income tax expense of $5.0 million for the same period in 2017. The 2018 income tax benefit primarily related to the settlement</w:t>
      </w:r>
    </w:p>
    <w:p>
      <w:pPr>
        <w:spacing w:after="0" w:line="36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of the Redemption Note. The 2017 income tax expense primarily related to an increase in the domestic valuation allowance for U.S. foreign tax credits.</w:t>
      </w:r>
    </w:p>
    <w:p>
      <w:pPr>
        <w:spacing w:after="0" w:line="23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Net income attributable to noncontrolling interests was $180.0 million for the nine months ended September 30, 2018, compared to $89.8 million for the same period of 2017. These amounts were primarily related to the noncontrolling interests' share of net income from WML.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before interest, income taxes, depreciation and amortization, litigation settlement expense, pre-opening expenses, property charges and other, management and license fees, corporate expenses and other (including intercompany golf course and water rights leases), stock-based compensation, (loss) gain on extinguishment of debt, change in derivatives fair value, change in Redemption Note fair value and other non-operating income and expenses.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segments and to compare the operating performance of our properties with those of our competitors, as well as a basis for determining certain incentive compensation.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9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following table summarizes Adjusted Property EBITDA (in thousands) for our Macau and Las Vegas Operations as reviewed by management and summarized in Item 1—"Notes to Condensed Consolidated Financial Statements," Note 14, "Segment Information." That footnote also presents a reconciliation of Adjusted Property EBITDA to net income attributable to Wynn Resorts, Limited.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20" w:type="dxa"/>
            <w:vAlign w:val="bottom"/>
            <w:gridSpan w:val="4"/>
          </w:tcPr>
          <w:p>
            <w:pPr>
              <w:jc w:val="right"/>
              <w:ind w:right="134"/>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4"/>
        </w:trPr>
        <w:tc>
          <w:tcPr>
            <w:tcW w:w="604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Wynn Palace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226,141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138,228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617,317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337,487</w:t>
            </w: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Wynn Macau</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7"/>
              <w:spacing w:after="0"/>
              <w:rPr>
                <w:sz w:val="20"/>
                <w:szCs w:val="20"/>
                <w:color w:val="auto"/>
              </w:rPr>
            </w:pPr>
            <w:r>
              <w:rPr>
                <w:rFonts w:ascii="Arial" w:cs="Arial" w:eastAsia="Arial" w:hAnsi="Arial"/>
                <w:sz w:val="18"/>
                <w:szCs w:val="18"/>
                <w:color w:val="auto"/>
              </w:rPr>
              <w:t>182,928</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183,219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565,677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574,723</w:t>
            </w:r>
          </w:p>
        </w:tc>
      </w:tr>
      <w:tr>
        <w:trPr>
          <w:trHeight w:val="27"/>
        </w:trPr>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6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95,298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151,509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362,051</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418,296</w:t>
            </w:r>
          </w:p>
        </w:tc>
      </w:tr>
      <w:tr>
        <w:trPr>
          <w:trHeight w:val="27"/>
        </w:trPr>
        <w:tc>
          <w:tcPr>
            <w:tcW w:w="6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at Wynn Palace increased 63.6% and 82.9% for the three and nine months ended September 30, 2018, compared to the same period of 2017, primarily driven by an increase in operating revenues.</w:t>
      </w:r>
    </w:p>
    <w:p>
      <w:pPr>
        <w:spacing w:after="0" w:line="8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Adjusted Property EBITDA at Wynn Macau was relatively flat for the three months ended September 30, 2018, compared to the same period of 2017. Adjusted Property EBITDA at Wynn Macau decreased 1.6% for the nine months ended September 30, 2018, compared to the same period of 2017, primarily driven by a decrease in VIP win as a percentage of turnover, partially offset by an increase in mass market table games win.</w:t>
      </w:r>
    </w:p>
    <w:p>
      <w:pPr>
        <w:spacing w:after="0" w:line="166" w:lineRule="exact"/>
        <w:rPr>
          <w:sz w:val="20"/>
          <w:szCs w:val="20"/>
          <w:color w:val="auto"/>
        </w:rPr>
      </w:pPr>
    </w:p>
    <w:p>
      <w:pPr>
        <w:ind w:right="640" w:firstLine="432"/>
        <w:spacing w:after="0" w:line="277" w:lineRule="auto"/>
        <w:rPr>
          <w:sz w:val="20"/>
          <w:szCs w:val="20"/>
          <w:color w:val="auto"/>
        </w:rPr>
      </w:pPr>
      <w:r>
        <w:rPr>
          <w:rFonts w:ascii="Arial" w:cs="Arial" w:eastAsia="Arial" w:hAnsi="Arial"/>
          <w:sz w:val="18"/>
          <w:szCs w:val="18"/>
          <w:color w:val="auto"/>
        </w:rPr>
        <w:t>Adjusted Property EBITDA at our Las Vegas Operations decreased 37.1% and 13.4% for the three and nine months ended September 30, 2018, compared to the same period of 2017, primarily due to a decline in operating revenues.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the discussion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 Summary</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336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rPr>
              <w:t>Nine Months Ended September 30,</w:t>
            </w:r>
          </w:p>
        </w:tc>
        <w:tc>
          <w:tcPr>
            <w:tcW w:w="860" w:type="dxa"/>
            <w:vAlign w:val="bottom"/>
            <w:tcBorders>
              <w:bottom w:val="single" w:sz="8" w:color="auto"/>
            </w:tcBorders>
          </w:tcPr>
          <w:p>
            <w:pPr>
              <w:spacing w:after="0"/>
              <w:rPr>
                <w:sz w:val="16"/>
                <w:szCs w:val="16"/>
                <w:color w:val="auto"/>
              </w:rPr>
            </w:pPr>
          </w:p>
        </w:tc>
      </w:tr>
      <w:tr>
        <w:trPr>
          <w:trHeight w:val="264"/>
        </w:trPr>
        <w:tc>
          <w:tcPr>
            <w:tcW w:w="72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60" w:type="dxa"/>
            <w:vAlign w:val="bottom"/>
            <w:tcBorders>
              <w:bottom w:val="single" w:sz="8" w:color="auto"/>
            </w:tcBorders>
          </w:tcPr>
          <w:p>
            <w:pPr>
              <w:spacing w:after="0"/>
              <w:rPr>
                <w:sz w:val="22"/>
                <w:szCs w:val="2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497,889</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1,277,505</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3"/>
              </w:rPr>
              <w:t>(928,893)</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(663,159)</w:t>
            </w:r>
          </w:p>
        </w:tc>
      </w:tr>
      <w:tr>
        <w:trPr>
          <w:trHeight w:val="27"/>
        </w:trPr>
        <w:tc>
          <w:tcPr>
            <w:tcW w:w="7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1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(423,720)</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(318,131)</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on cash, cash equivalents and restricted cash</w:t>
            </w:r>
          </w:p>
        </w:tc>
        <w:tc>
          <w:tcPr>
            <w:tcW w:w="11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1,090</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(3,460)</w:t>
            </w:r>
          </w:p>
        </w:tc>
      </w:tr>
      <w:tr>
        <w:trPr>
          <w:trHeight w:val="27"/>
        </w:trPr>
        <w:tc>
          <w:tcPr>
            <w:tcW w:w="7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increase in cash, cash equivalents and restricted cash</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(853,634)</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292,755</w:t>
            </w:r>
          </w:p>
        </w:tc>
      </w:tr>
      <w:tr>
        <w:trPr>
          <w:trHeight w:val="20"/>
        </w:trPr>
        <w:tc>
          <w:tcPr>
            <w:tcW w:w="72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Our operating cash flows primarily consist of the operating income generated by our Macau and Las Vegas Operations (excluding depreciation and amortization and other non-cash charges), interest paid and collected and changes in working capital accounts such as receivables, customer deposits and accounts payable. Our table games play in both Macau and Las Vegas is a mix of cash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revenues are conducted primarily on a cash and credit card basis.</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Net cash provided by operating activities for the nine months ended September 30, 2018 was $497.9 million, compared to $1.28 billion for the same period of 2017. The change was primarily due to the payment of a $463.6 million litigation settlement in 2018, and changes in customer deposits driven by timing differences between the purchase and redemption of gaming chips by promoters in Macau.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Net cash used in investing activities for the nine months ended September 30, 2018 was $928.9 million, compared to $663.2 million for the same period of 2017. During the nine months ended September 30, 2018, we incurred $603.6 million in capital expenditures, net of construction payables and retention, for Encore Boston Harbor and $336.2 million for the acquisition of land on the Las Vegas Strip directly across from Wynn Las Vegas. During the nine months ended September 30, 2017, we incurred capital expenditures, net of construction payables and retention, of $650.3 million primarily for Encore Boston Harbor.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Net cash used in financing activities for the nine months ended September 30, 2018 was $423.7 million, compared to $318.1 million for the same period of 2017. During the nine months ended September 30, 2018, we repaid the Redemption Note principal amount of $1.94 billion using cash on hand and amounts borrowed under the Bridge Facility and the WA Senior Revolving Credit Facility. In April 2018, we repaid all amounts borrowed under the Bridge Facility and the WA Senior Revolving Credit Facility using net proceeds of $915.2 million from a registered public equity offering. In addition, during the nine months ended September 30, 2018, we borrowed $624.4 million under the Macau Senior Revolving Credit Facility, $615.0 million under the Retail Term Loan (as defined below), and we used cash of $350.7 million for the payment of dividends and $301.1 million for distributions to noncontrolling interest holders of the Retail Joint Venture. During the nine months ended September 30, 2017, we used cash of $2.42 billion for the repayment of long-term debt and $270.1 million for the payment of dividends.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July 25, 2018, Wynn/CA Plaza Property Owner, LLC and Wynn/CA Property Owner, LLC (collectively, the "Retail Borrowers"), subsidiaries of the Retail Joint Venture, entered into a term loan agreement (the "Retail Term Loan Agreement") to provide for a term loan facility (the “Retail Term Loan”) of $615 million, a maturity date of July 24, 2025, and an interest rate of LIBOR plus 1.70% per annum. For more information on the Retail Term Loan, see Item 1—"Notes to Condensed Consolidated Financial Statements," Note 6, "Long-Term Debt."</w:t>
      </w:r>
    </w:p>
    <w:p>
      <w:pPr>
        <w:spacing w:after="0" w:line="200" w:lineRule="exact"/>
        <w:rPr>
          <w:sz w:val="20"/>
          <w:szCs w:val="20"/>
          <w:color w:val="auto"/>
        </w:rPr>
      </w:pP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On September 19, 2018, the Company entered into a commitment letter (as subsequently amended and restated to add additional lenders, the “Commitment Letter”) to provide for a 364-day term loan facility to the Company in an aggregate principal amount of up to $750 million, which remained fully available as of September 30, 2018. On October 24, 2018, the Company agreed to terminate $500 million of the lenders’ commitments under the Commitment Letter in anticipation of entering into the new Credit Agreement discussed below.</w:t>
      </w:r>
    </w:p>
    <w:p>
      <w:pPr>
        <w:spacing w:after="0" w:line="18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As of September 30, 2018, we had $1.95 billion of cash and cash equivalents. Cash and cash equivalents include cash on hand, cash in bank and fixed deposits, investments in money market funds and domestic and foreign bank time deposits, all with original maturities of less than 90 days. Of these amounts, WML and its subsidiaries (of which we own approximately 72%) held $1.37 billion in cash and cash equivalents. If our portion of this cash was repatriated to the U.S. on September 30, 2018, it would be subject to minimal U.S. taxes in the year of repatriation. Wynn America, LLC and Wynn Las Vegas, LLC held cash balances of $39.0 million and $141.0 million, respectively. Wynn Resorts, Limited (including its subsidiaries other than WML, Wynn America, LLC and Wynn Las Vegas, LLC), which is not a guarantor of the debt of its subsidiaries other than the Retail Borrowers, held $395.7 million of cash and cash equivalents.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summarizes our outstanding borrowings and available borrowing capacity under our credit facilities and Commitment Letter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2018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Facility Borrowing</w:t>
            </w:r>
          </w:p>
        </w:tc>
        <w:tc>
          <w:tcPr>
            <w:tcW w:w="20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Borrowings</w:t>
            </w: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Letters of Credit</w:t>
            </w:r>
          </w:p>
        </w:tc>
        <w:tc>
          <w:tcPr>
            <w:tcW w:w="13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Facility Availability</w:t>
            </w:r>
          </w:p>
        </w:tc>
        <w:tc>
          <w:tcPr>
            <w:tcW w:w="0" w:type="dxa"/>
            <w:vAlign w:val="bottom"/>
          </w:tcPr>
          <w:p>
            <w:pPr>
              <w:spacing w:after="0"/>
              <w:rPr>
                <w:sz w:val="1"/>
                <w:szCs w:val="1"/>
                <w:color w:val="auto"/>
              </w:rPr>
            </w:pPr>
          </w:p>
        </w:tc>
      </w:tr>
      <w:tr>
        <w:trPr>
          <w:trHeight w:val="192"/>
        </w:trPr>
        <w:tc>
          <w:tcPr>
            <w:tcW w:w="5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Capacity</w:t>
            </w:r>
          </w:p>
        </w:tc>
        <w:tc>
          <w:tcPr>
            <w:tcW w:w="20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Outstanding</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Outstanding</w:t>
            </w: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Macau Related:</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2,298,749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2,298,749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20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748,271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624,393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123,878</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U.S. Related:</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Commitment Letter </w:t>
            </w:r>
            <w:r>
              <w:rPr>
                <w:rFonts w:ascii="Arial" w:cs="Arial" w:eastAsia="Arial" w:hAnsi="Arial"/>
                <w:sz w:val="14"/>
                <w:szCs w:val="14"/>
                <w:color w:val="auto"/>
              </w:rPr>
              <w:t>(2)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 xml:space="preserve">Wynn America Credit Facilities </w:t>
            </w:r>
            <w:r>
              <w:rPr>
                <w:rFonts w:ascii="Arial" w:cs="Arial" w:eastAsia="Arial" w:hAnsi="Arial"/>
                <w:sz w:val="14"/>
                <w:szCs w:val="14"/>
                <w:color w:val="auto"/>
              </w:rPr>
              <w:t>(3)</w:t>
            </w: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Senior Term Loan Facility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996,520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996,520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Senior Revolving Credit Facility</w:t>
            </w:r>
          </w:p>
        </w:tc>
        <w:tc>
          <w:tcPr>
            <w:tcW w:w="26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17,689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357,311</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credit facilities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5,168,540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3,919,662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17,689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1,231,189</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420" w:right="300" w:hanging="412"/>
        <w:spacing w:after="0" w:line="277" w:lineRule="auto"/>
        <w:tabs>
          <w:tab w:leader="none" w:pos="4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Macau related credit facilities include a $2.30 billion equivalent fully funded senior secured term loan facility (the "Wynn Macau Senior Term Loan Facility") and a $750 million equivalent senior secured revolving credit facility (the "Wynn Macau Senior Revolving Credit Facility," and together with the Wynn Macau Senior Term Loan Facility, the "Wynn Macau Credit Facilities"). The borrower is Wynn Macau SA, an indirect wholly owned subsidiary of WML, and borrowings consist of both United States dollar and Hong Kong dollar tranches. Wynn Macau SA has the ability to upsize the Wynn Macau Credit Facilities by an additional $1 billion in equivalent senior secured loans upon its satisfaction of various conditions.</w:t>
      </w:r>
    </w:p>
    <w:p>
      <w:pPr>
        <w:spacing w:after="0" w:line="120" w:lineRule="exact"/>
        <w:rPr>
          <w:rFonts w:ascii="Arial" w:cs="Arial" w:eastAsia="Arial" w:hAnsi="Arial"/>
          <w:sz w:val="13"/>
          <w:szCs w:val="13"/>
          <w:color w:val="auto"/>
        </w:rPr>
      </w:pPr>
    </w:p>
    <w:p>
      <w:pPr>
        <w:ind w:left="420" w:hanging="412"/>
        <w:spacing w:after="0"/>
        <w:tabs>
          <w:tab w:leader="none" w:pos="4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On September 19, 2018, the Company entered into a Commitment Letter to provide for a 364-day term loan facility to the Company in an aggregate principal amount of up to $750 million.</w:t>
      </w:r>
    </w:p>
    <w:p>
      <w:pPr>
        <w:spacing w:after="0" w:line="174" w:lineRule="exact"/>
        <w:rPr>
          <w:rFonts w:ascii="Arial" w:cs="Arial" w:eastAsia="Arial" w:hAnsi="Arial"/>
          <w:sz w:val="13"/>
          <w:szCs w:val="13"/>
          <w:color w:val="auto"/>
        </w:rPr>
      </w:pPr>
    </w:p>
    <w:p>
      <w:pPr>
        <w:ind w:left="420" w:right="140" w:hanging="412"/>
        <w:spacing w:after="0" w:line="252" w:lineRule="auto"/>
        <w:tabs>
          <w:tab w:leader="none" w:pos="4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Wynn America credit facilities consist of an $875 million fully funded senior secured term loan facility (the "WA Senior Term Loan Facility I"), a $125 million fully funded senior term loan facility (the "WA Senior Term Loan Facility II") and a $375 million senior secured revolving credit facility (the "WA Senior Revolving Credit Facility," and collectively, the "Wynn America Credit Facilities"), under which Wynn America, LLC, an indirect wholly owned subsidiary of the Company, is the borrower. In June 2018, the Company began making quarterly repayments of $1.7 million under the WA Senior Term Loan Facility I.</w:t>
      </w:r>
    </w:p>
    <w:p>
      <w:pPr>
        <w:spacing w:after="0" w:line="193"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that our future cash needs will relate primarily to operations, funding of development projects and enhancements to our operating resorts, debt service and retirement and general corporate purposes. We expect to meet our cash needs including our contractual obligations with future anticipated cash flow from operations, availability under our bank credit facilities and commitment letter and our existing cash balances. We intend to primarily fund our current development projects, including Encore Boston Harbor, with the available borrowing capacity under our Wynn America Credit Facilities, cash flows from operations and existing cash balances.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Term Loan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On October 30, 2018, the Company and certain subsidiaries of the Company entered into a credit agreement (the "Credit Agreement") to provide for a $500 million six-year term loan facility (the “Term Loan”). The Term Loan matures on October 30, 2024 and bears interest at a rate of LIBOR plus 2.25% per year. The Company intends to use the net proceeds of the Term Loan for general corporate purposes, including, without limitation, repurchases of the Company’s common stock, investments in subsidiaries and/or capital expenditures. For more information on the Term Loan, see Item 1—"Notes to Condensed Consolidated Financial Statements," Note 6, "Long-Term Debt."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Wynn Resorts, Limited is a holding company and, as a result, our ability to pay dividends is highly dependent on our ability to obtain funds and our subsidiaries' ability to provide funds to us. Wynn America, LLC and Wynn Macau SA debt instruments and the Retail Term Loan contain customary negative covenants and financial covenants, including, but not limited to, covenants that restrict our ability to pay dividends or distributions to any direct or indirect subsidiaries.</w:t>
      </w:r>
    </w:p>
    <w:p>
      <w:pPr>
        <w:spacing w:after="0" w:line="187"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Wynn Las Vegas, LLC intends to fund its operations and capital requirements from cash on hand and operating cash flows. We cannot assure you however, that our Las Vegas Operations will generate sufficient cash flows from operations or the availability of additional indebtedness will be sufficient to enable us to service and repay Wynn Las Vegas, LLC's indebtedness and to fund its other liquidity needs. Similarly, we expect that our Macau Operations will fund Wynn Macau SA and WML's debt service obligations with existing cash, operating cash flows and availability under the Wynn Macau Credit Facilities. However, we cannot assure you that operating cash flows will be sufficient to do so. We may refinance all or a portion of our indebtedness on or before maturity. We cannot assure you that we will be able to refinance any of the indebtedness on acceptable terms or at all.</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13, "Commitments and Contingencies."</w:t>
      </w:r>
    </w:p>
    <w:p>
      <w:pPr>
        <w:spacing w:after="0" w:line="18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Our Board of Directors has authorized an equity repurchase program. Under the equity repurchase program, we may repurchase the Company's outstanding shares from time to time through open market purchases, in privately negotiated transactions, and under plans complying with Rules 10b5-1 and 10b-18 under the Exchange Act. As of September 30, 2018, we had $1.0 billion in repurchase authority under the program.</w:t>
      </w:r>
    </w:p>
    <w:p>
      <w:pPr>
        <w:spacing w:after="0" w:line="166"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18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would require us to obtain additional financing. We may decide to conduct any such development through Wynn Resorts, Limited or through subsidiaries separate from the Las Vegas or Macau-related entities.</w:t>
      </w:r>
    </w:p>
    <w:p>
      <w:pPr>
        <w:spacing w:after="0" w:line="17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interest rate swaps and an interest rate collar. We do not have any retained or contingent interest in assets transferred to an unconsolidated entity. As of September 30, 2018, we had outstanding letters of credit totaling $17.7 million.</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nine months ended September 30, 2018, there have been no material changes to the contractual obligations previously reported in our Annual Report on Form 10-K for the year ended December 31, 2017, other than (i) the borrowing of $623.3 million on the Wynn Macau Senior Revolving Credit Facility, which matures in September 2020, (ii) the repayment of the $1.94 billion Redemption Note, which was to mature in February 2022, (iii) the acquisition of a ground lease that has annual rental payments of $3.8 million until 2023 and total payments of $370.7 million thereafter and (iv) the borrowing of $615 million pursuant to the Retail Term Loan Agreement.</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2017. There have been no significant changes to these policies for the nine months ended September 30,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See related disclosure in Item 1—"Notes to Condensed Consolidated Financial Statements," Note 2, "Summary of Significant Accounting Policies."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make forward-looking statements in this Quarterly Report on Form 10-Q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 — "Risk Factors" of our Annual Report on Form 10-K for the year ended December 31, 2017 and other factors we describe from time to time in our periodic filings with the Securities and Exchange Commission ("SEC"), such as:</w:t>
      </w:r>
    </w:p>
    <w:p>
      <w:pPr>
        <w:spacing w:after="0" w:line="187" w:lineRule="exact"/>
        <w:rPr>
          <w:sz w:val="20"/>
          <w:szCs w:val="20"/>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controversy, regulatory action, litigation and investigations related to Stephen A. Wynn and his separation from the Company;</w:t>
      </w:r>
    </w:p>
    <w:p>
      <w:pPr>
        <w:spacing w:after="0" w:line="23" w:lineRule="exact"/>
        <w:rPr>
          <w:rFonts w:ascii="Arial" w:cs="Arial" w:eastAsia="Arial" w:hAnsi="Arial"/>
          <w:sz w:val="18"/>
          <w:szCs w:val="18"/>
          <w:color w:val="auto"/>
        </w:rPr>
      </w:pPr>
    </w:p>
    <w:p>
      <w:pPr>
        <w:ind w:left="1300" w:right="1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(including the Chinese government's ongoing anti-corruption campaign) and the cost of compliance or failure to comply with applicable laws and regulations;</w:t>
      </w:r>
    </w:p>
    <w:p>
      <w:pPr>
        <w:ind w:left="1300" w:right="2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 (including those related to the former Chairman and CEO of the Company);</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global political and economic conditions, in the U.S. and China, which may impact levels of travel, leisure and consumer spending;</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by citizens of mainland China to Macau;</w:t>
      </w:r>
    </w:p>
    <w:p>
      <w:pPr>
        <w:spacing w:after="0" w:line="9" w:lineRule="exact"/>
        <w:rPr>
          <w:rFonts w:ascii="Arial" w:cs="Arial" w:eastAsia="Arial" w:hAnsi="Arial"/>
          <w:sz w:val="18"/>
          <w:szCs w:val="18"/>
          <w:color w:val="auto"/>
        </w:rPr>
      </w:pPr>
    </w:p>
    <w:p>
      <w:pPr>
        <w:ind w:left="1300" w:right="2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extreme weather patterns or natural disasters, military conflicts and any future security alerts and/or terrorist attacks;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right="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36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right="2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 in Everett, Massachusetts);</w:t>
      </w:r>
    </w:p>
    <w:p>
      <w:pPr>
        <w:spacing w:after="0" w:line="1" w:lineRule="exact"/>
        <w:rPr>
          <w:rFonts w:ascii="Arial" w:cs="Arial" w:eastAsia="Arial" w:hAnsi="Arial"/>
          <w:sz w:val="18"/>
          <w:szCs w:val="18"/>
          <w:color w:val="auto"/>
        </w:rPr>
      </w:pPr>
    </w:p>
    <w:p>
      <w:pPr>
        <w:ind w:left="1300" w:right="280" w:hanging="644"/>
        <w:spacing w:after="0" w:line="265" w:lineRule="auto"/>
        <w:tabs>
          <w:tab w:leader="none" w:pos="13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legalization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stockholder of ours;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11"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56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80" w:firstLine="432"/>
        <w:spacing w:after="0" w:line="302" w:lineRule="auto"/>
        <w:rPr>
          <w:sz w:val="20"/>
          <w:szCs w:val="20"/>
          <w:color w:val="auto"/>
        </w:rPr>
      </w:pPr>
      <w:r>
        <w:rPr>
          <w:rFonts w:ascii="Arial" w:cs="Arial" w:eastAsia="Arial" w:hAnsi="Arial"/>
          <w:sz w:val="16"/>
          <w:szCs w:val="16"/>
          <w:color w:val="auto"/>
        </w:rPr>
        <w:t>In order to mitigate exposure to interest rate fluctuations on the Retail Term Loan, the Company entered into a five-year interest rate collar with a notional value of $615 million. The interest rate collar establishes a range whereby the Company will pay the counterparty if one-month LIBOR falls below the established floor rate of 1.00%, and the counterparty will pay the Company if one-month LIBOR exceeds the ceiling rate of 3.75%. For more information on the interest rate collar, see Item 1—"Notes to Condensed Consolidated Financial Statements," Note 2, "Summary of Significant Accounting Policies."</w:t>
      </w:r>
    </w:p>
    <w:p>
      <w:pPr>
        <w:spacing w:after="0" w:line="154"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As of September 30, 2018, approximately 49.9% of our long-term debt was based on fixed rates. Based on our borrowings as of September 30, 2018, an assumed 100 basis point change in the variable rates would cause our annual interest expense to change by $45.3 million.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25"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The currency delineated in Wynn Macau SA's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7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If the Hong Kong dollar and the Macau pataca are not linked to the U.S. dollar in the future, severe fluctuations in the exchange rate for these currencies may result. We also cannot assure you that the current rate of exchange fixed by the applicable monetary authorities for these currencies will remain at the same level.</w:t>
      </w:r>
    </w:p>
    <w:p>
      <w:pPr>
        <w:spacing w:after="0" w:line="18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in Hong Kong dollars or Macau patacas. For any U.S. dollar-denominated debt or other obligations incurred by our Macau-related entities, fluctuations in the exchange rates of the Macau pataca or the Hong Kong dollar, in relation to the U.S. dollar, could have adverse effects on our results of operations, financial condition and ability to service debt. Based on our balances as of September 30, 2018, an assumed 1% change in the U.S. dollar/Hong Kong dollar exchange rate would cause a foreign currency transaction gain/loss of $28.5 million.</w:t>
      </w: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firstLine="440"/>
        <w:spacing w:after="0" w:line="269" w:lineRule="auto"/>
        <w:tabs>
          <w:tab w:leader="none" w:pos="677"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Disclosure Controls and Procedures</w:t>
      </w:r>
      <w:r>
        <w:rPr>
          <w:rFonts w:ascii="Arial" w:cs="Arial" w:eastAsia="Arial" w:hAnsi="Arial"/>
          <w:sz w:val="17"/>
          <w:szCs w:val="17"/>
          <w:color w:val="auto"/>
        </w:rPr>
        <w:t>. 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the end of such period,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82" w:lineRule="exact"/>
        <w:rPr>
          <w:rFonts w:ascii="Arial" w:cs="Arial" w:eastAsia="Arial" w:hAnsi="Arial"/>
          <w:sz w:val="17"/>
          <w:szCs w:val="17"/>
          <w:color w:val="auto"/>
        </w:rPr>
      </w:pPr>
    </w:p>
    <w:p>
      <w:pPr>
        <w:jc w:val="both"/>
        <w:ind w:right="60" w:firstLine="440"/>
        <w:spacing w:after="0" w:line="264" w:lineRule="auto"/>
        <w:tabs>
          <w:tab w:leader="none" w:pos="687"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Internal Control Over Financial Reporting</w:t>
      </w:r>
      <w:r>
        <w:rPr>
          <w:rFonts w:ascii="Arial" w:cs="Arial" w:eastAsia="Arial" w:hAnsi="Arial"/>
          <w:sz w:val="18"/>
          <w:szCs w:val="18"/>
          <w:color w:val="auto"/>
        </w:rPr>
        <w:t>. There were no changes in our internal control over financial reporting (as such term is defined in Rules</w:t>
      </w:r>
      <w:r>
        <w:rPr>
          <w:rFonts w:ascii="Arial" w:cs="Arial" w:eastAsia="Arial" w:hAnsi="Arial"/>
          <w:sz w:val="18"/>
          <w:szCs w:val="18"/>
          <w:i w:val="1"/>
          <w:iCs w:val="1"/>
          <w:color w:val="auto"/>
        </w:rPr>
        <w:t xml:space="preserve"> </w:t>
      </w:r>
      <w:r>
        <w:rPr>
          <w:rFonts w:ascii="Arial" w:cs="Arial" w:eastAsia="Arial" w:hAnsi="Arial"/>
          <w:sz w:val="18"/>
          <w:szCs w:val="18"/>
          <w:color w:val="auto"/>
        </w:rPr>
        <w:t>13a-15(f) and 15d-15(f) under the Exchange Act) during the quarter to which this report relates that materially affected, or are reasonably likely to materially affect, our internal control over financial reporting.</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122" w:right="27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13, "Commitments and Contingencies" of Part I in this Quarterly Report on Form 10-Q.</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CCAC Information Request</w:t>
      </w:r>
    </w:p>
    <w:p>
      <w:pPr>
        <w:spacing w:after="0" w:line="225"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In July 2014, Wynn Resorts (Macau) S.A. ("Wynn Macau SA"), an indirect subsidiary of Wynn Macau, Limited, was contacted by the Commission Against Corruption of Macau ("CCAC") requesting certain information related to its land in the Cotai area of Macau. Wynn Macau SA cooperated with CCAC's request.</w:t>
      </w:r>
    </w:p>
    <w:p>
      <w:pPr>
        <w:spacing w:after="0" w:line="17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description of our risk factors can be found in Item 1A, Part I of our Annual Report on Form 10-K for the year ended December 31, 2017. There were no material changes to those risk factors during the nine months ended September 30, 2018 other than resolution of certain litigation as discussed in Item 1 —"Notes to Condensed Consolidated Financial Statements," Note 13, "Commitments and Contingencies" of Part I in this Quarterly Report on Form 10-Q.</w:t>
      </w:r>
    </w:p>
    <w:p>
      <w:pPr>
        <w:spacing w:after="0" w:line="22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25"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In August 2018, we purchased 15,460 shares in satisfaction of tax withholding obligations on vested restricted stock at an average price of $149.19 per share, for a total of $2.3 million.</w:t>
      </w:r>
    </w:p>
    <w:p>
      <w:pPr>
        <w:spacing w:after="0" w:line="170"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September 30, 2018 were part of the Company's publicly announced repurchase program. As of September 30, 2018, we had $1.0 billion in repurchase authority under the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22" w:right="25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On November 6, 2018, the Board voted Philip G. Satre to serve as Non-Executive Chairman of the Board to succeed D. Boone Wayson who retired from the Board, effective November 6, 2018. Mr. Satre has served as the Vice Chairman of the Board since August 2018. In connection with the departure of Mr. Wayson, the Board reduced its size to ten directors.</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EXHIBIT INDEX</w:t>
      </w:r>
    </w:p>
    <w:p>
      <w:pPr>
        <w:spacing w:after="0" w:line="356" w:lineRule="exact"/>
        <w:rPr>
          <w:sz w:val="20"/>
          <w:szCs w:val="20"/>
          <w:color w:val="auto"/>
        </w:rPr>
      </w:pPr>
    </w:p>
    <w:p>
      <w:pPr>
        <w:ind w:left="2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360"/>
        <w:spacing w:after="0"/>
        <w:tabs>
          <w:tab w:leader="none" w:pos="10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5829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4" w:lineRule="exact"/>
        <w:rPr>
          <w:sz w:val="20"/>
          <w:szCs w:val="20"/>
          <w:color w:val="auto"/>
        </w:rPr>
      </w:pPr>
    </w:p>
    <w:p>
      <w:pPr>
        <w:ind w:left="1080" w:right="1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50">
        <w:r>
          <w:rPr>
            <w:rFonts w:ascii="Arial" w:cs="Arial" w:eastAsia="Arial" w:hAnsi="Arial"/>
            <w:sz w:val="18"/>
            <w:szCs w:val="18"/>
            <w:u w:val="single" w:color="auto"/>
            <w:color w:val="0000FF"/>
          </w:rPr>
          <w:t>Third Amended and Restated Articles of Incorporation of the Registrant. (Incorporated by reference from the Quarterly Report on Form 10-Q</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filed by the Registrant on May 8, 2015.)</w:t>
        </w:r>
      </w:hyperlink>
    </w:p>
    <w:p>
      <w:pPr>
        <w:spacing w:after="0" w:line="8" w:lineRule="exact"/>
        <w:rPr>
          <w:sz w:val="20"/>
          <w:szCs w:val="20"/>
          <w:color w:val="auto"/>
        </w:rPr>
      </w:pPr>
    </w:p>
    <w:p>
      <w:pPr>
        <w:ind w:left="1080" w:right="400" w:hanging="400"/>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51">
        <w:r>
          <w:rPr>
            <w:rFonts w:ascii="Arial" w:cs="Arial" w:eastAsia="Arial" w:hAnsi="Arial"/>
            <w:sz w:val="18"/>
            <w:szCs w:val="18"/>
            <w:u w:val="single" w:color="auto"/>
            <w:color w:val="0000FF"/>
          </w:rPr>
          <w:t>Eighth Amended and Restated Bylaws of the Registrant. (Incorporated by reference from the Quarterly Report on Form 10-Q filed by the</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Registrant on November 6, 2015.)</w:t>
        </w:r>
      </w:hyperlink>
    </w:p>
    <w:p>
      <w:pPr>
        <w:spacing w:after="0" w:line="8" w:lineRule="exact"/>
        <w:rPr>
          <w:sz w:val="20"/>
          <w:szCs w:val="20"/>
          <w:color w:val="auto"/>
        </w:rPr>
      </w:pPr>
    </w:p>
    <w:p>
      <w:pPr>
        <w:ind w:left="1080" w:right="100" w:hanging="489"/>
        <w:spacing w:after="0" w:line="302" w:lineRule="auto"/>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10.1</w:t>
      </w:r>
      <w:r>
        <w:rPr>
          <w:sz w:val="20"/>
          <w:szCs w:val="20"/>
          <w:color w:val="auto"/>
        </w:rPr>
        <w:tab/>
      </w:r>
      <w:hyperlink r:id="rId52">
        <w:r>
          <w:rPr>
            <w:rFonts w:ascii="Arial" w:cs="Arial" w:eastAsia="Arial" w:hAnsi="Arial"/>
            <w:sz w:val="16"/>
            <w:szCs w:val="16"/>
            <w:u w:val="single" w:color="auto"/>
            <w:color w:val="0000FF"/>
          </w:rPr>
          <w:t>Term Loan Agreement, dated as of July 25, 2018, by and among Wynn/CA Plaza Property Owner, LLC and Wynn/CA Property Owner, LLC,</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as borrowers, United Overseas Bank Limited, New York Agency, as administrative agent and lead arranger, Fifth Third Bank, as joint lead</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arranger, Sumitomo Mitsui Banking Corporation, as joint lead arranger, Credit Agricole Corporate and Investment Bank, as managing agent,</w:t>
        </w:r>
      </w:hyperlink>
      <w:r>
        <w:rPr>
          <w:rFonts w:ascii="Arial" w:cs="Arial" w:eastAsia="Arial" w:hAnsi="Arial"/>
          <w:sz w:val="16"/>
          <w:szCs w:val="16"/>
          <w:u w:val="single" w:color="auto"/>
          <w:color w:val="0000FF"/>
        </w:rPr>
        <w:t xml:space="preserve"> </w:t>
      </w:r>
      <w:hyperlink r:id="rId52">
        <w:r>
          <w:rPr>
            <w:rFonts w:ascii="Arial" w:cs="Arial" w:eastAsia="Arial" w:hAnsi="Arial"/>
            <w:sz w:val="16"/>
            <w:szCs w:val="16"/>
            <w:u w:val="single" w:color="auto"/>
            <w:color w:val="0000FF"/>
          </w:rPr>
          <w:t>and the lenders party thereto. (Incorporated by reference from the Current Report on Form 8-K filed by the Registrant on July 30, 2018.)</w:t>
        </w:r>
      </w:hyperlink>
    </w:p>
    <w:p>
      <w:pPr>
        <w:spacing w:after="0" w:line="208" w:lineRule="exact"/>
        <w:rPr>
          <w:rFonts w:ascii="Arial" w:cs="Arial" w:eastAsia="Arial" w:hAnsi="Arial"/>
          <w:sz w:val="16"/>
          <w:szCs w:val="16"/>
          <w:u w:val="single" w:color="auto"/>
          <w:color w:val="0000FF"/>
        </w:rPr>
      </w:pPr>
    </w:p>
    <w:p>
      <w:pPr>
        <w:ind w:left="1080" w:right="640" w:hanging="48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53">
        <w:r>
          <w:rPr>
            <w:rFonts w:ascii="Arial" w:cs="Arial" w:eastAsia="Arial" w:hAnsi="Arial"/>
            <w:sz w:val="18"/>
            <w:szCs w:val="18"/>
            <w:u w:val="single" w:color="auto"/>
            <w:color w:val="0000FF"/>
          </w:rPr>
          <w:t>Employment Agreement, dated as of August 2, 2018, by and between Wynn Resorts, Limited and Ellen Whittemore. (Incorporated by</w:t>
        </w:r>
      </w:hyperlink>
      <w:r>
        <w:rPr>
          <w:rFonts w:ascii="Arial" w:cs="Arial" w:eastAsia="Arial" w:hAnsi="Arial"/>
          <w:sz w:val="18"/>
          <w:szCs w:val="18"/>
          <w:u w:val="single" w:color="auto"/>
          <w:color w:val="0000FF"/>
        </w:rPr>
        <w:t xml:space="preserve"> </w:t>
      </w:r>
      <w:hyperlink r:id="rId53">
        <w:r>
          <w:rPr>
            <w:rFonts w:ascii="Arial" w:cs="Arial" w:eastAsia="Arial" w:hAnsi="Arial"/>
            <w:sz w:val="18"/>
            <w:szCs w:val="18"/>
            <w:u w:val="single" w:color="auto"/>
            <w:color w:val="0000FF"/>
          </w:rPr>
          <w:t>reference from the Quarterly Report on Form 10-Q filed by the Registrant on August 8, 2018.)</w:t>
        </w:r>
      </w:hyperlink>
    </w:p>
    <w:p>
      <w:pPr>
        <w:spacing w:after="0" w:line="8" w:lineRule="exact"/>
        <w:rPr>
          <w:sz w:val="20"/>
          <w:szCs w:val="20"/>
          <w:color w:val="auto"/>
        </w:rPr>
      </w:pPr>
    </w:p>
    <w:p>
      <w:pPr>
        <w:ind w:left="1080" w:right="660" w:hanging="48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54">
        <w:r>
          <w:rPr>
            <w:rFonts w:ascii="Arial" w:cs="Arial" w:eastAsia="Arial" w:hAnsi="Arial"/>
            <w:sz w:val="18"/>
            <w:szCs w:val="18"/>
            <w:u w:val="single" w:color="auto"/>
            <w:color w:val="0000FF"/>
          </w:rPr>
          <w:t>Agreement, dated as of August 3, 2018, by and between Wynn Resorts, Limited and Kim Sinatra. (Incorporated by reference from the</w:t>
        </w:r>
      </w:hyperlink>
      <w:r>
        <w:rPr>
          <w:rFonts w:ascii="Arial" w:cs="Arial" w:eastAsia="Arial" w:hAnsi="Arial"/>
          <w:sz w:val="18"/>
          <w:szCs w:val="18"/>
          <w:u w:val="single" w:color="auto"/>
          <w:color w:val="0000FF"/>
        </w:rPr>
        <w:t xml:space="preserve"> </w:t>
      </w:r>
      <w:hyperlink r:id="rId54">
        <w:r>
          <w:rPr>
            <w:rFonts w:ascii="Arial" w:cs="Arial" w:eastAsia="Arial" w:hAnsi="Arial"/>
            <w:sz w:val="18"/>
            <w:szCs w:val="18"/>
            <w:u w:val="single" w:color="auto"/>
            <w:color w:val="0000FF"/>
          </w:rPr>
          <w:t>Quarterly Report on Form 10-Q filed by the Registrant on August 8, 2018.)</w:t>
        </w:r>
      </w:hyperlink>
    </w:p>
    <w:p>
      <w:pPr>
        <w:spacing w:after="0" w:line="8" w:lineRule="exact"/>
        <w:rPr>
          <w:sz w:val="20"/>
          <w:szCs w:val="20"/>
          <w:color w:val="auto"/>
        </w:rPr>
      </w:pPr>
    </w:p>
    <w:p>
      <w:pPr>
        <w:ind w:left="1080" w:right="100" w:hanging="489"/>
        <w:spacing w:after="0" w:line="277"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55">
        <w:r>
          <w:rPr>
            <w:rFonts w:ascii="Arial" w:cs="Arial" w:eastAsia="Arial" w:hAnsi="Arial"/>
            <w:sz w:val="18"/>
            <w:szCs w:val="18"/>
            <w:u w:val="single" w:color="auto"/>
            <w:color w:val="0000FF"/>
          </w:rPr>
          <w:t>Cooperation Agreement, dated as of August 3, 2018, by and between Wynn Resorts, Limited and Elaine P. Wynn. (Incorporated by reference</w:t>
        </w:r>
      </w:hyperlink>
      <w:r>
        <w:rPr>
          <w:rFonts w:ascii="Arial" w:cs="Arial" w:eastAsia="Arial" w:hAnsi="Arial"/>
          <w:sz w:val="18"/>
          <w:szCs w:val="18"/>
          <w:u w:val="single" w:color="auto"/>
          <w:color w:val="0000FF"/>
        </w:rPr>
        <w:t xml:space="preserve"> </w:t>
      </w:r>
      <w:hyperlink r:id="rId55">
        <w:r>
          <w:rPr>
            <w:rFonts w:ascii="Arial" w:cs="Arial" w:eastAsia="Arial" w:hAnsi="Arial"/>
            <w:sz w:val="18"/>
            <w:szCs w:val="18"/>
            <w:u w:val="single" w:color="auto"/>
            <w:color w:val="0000FF"/>
          </w:rPr>
          <w:t>from the Current Report on Form 8-K filed by the Registrant on August 6, 2018.)</w:t>
        </w:r>
      </w:hyperlink>
    </w:p>
    <w:p>
      <w:pPr>
        <w:spacing w:after="0" w:line="8" w:lineRule="exact"/>
        <w:rPr>
          <w:sz w:val="20"/>
          <w:szCs w:val="20"/>
          <w:color w:val="auto"/>
        </w:rPr>
      </w:pPr>
    </w:p>
    <w:p>
      <w:pPr>
        <w:ind w:left="1080" w:right="180" w:hanging="580"/>
        <w:spacing w:after="0" w:line="264"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w:anchor="page59">
        <w:r>
          <w:rPr>
            <w:rFonts w:ascii="Arial" w:cs="Arial" w:eastAsia="Arial" w:hAnsi="Arial"/>
            <w:sz w:val="18"/>
            <w:szCs w:val="18"/>
            <w:u w:val="single" w:color="auto"/>
            <w:color w:val="0000FF"/>
          </w:rPr>
          <w:t>Credit Agreement, dated as of October 30, 2018, by and among Wynn Resorts, Limited, as borrower, Wynn Group Asia, Inc. and Wynn</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Resorts Holdings, LLC, as guarantors, Deutsche Bank AG New York Branch, as administrative agent and as collateral agent, and the lenders</w:t>
        </w:r>
      </w:hyperlink>
      <w:r>
        <w:rPr>
          <w:rFonts w:ascii="Arial" w:cs="Arial" w:eastAsia="Arial" w:hAnsi="Arial"/>
          <w:sz w:val="18"/>
          <w:szCs w:val="18"/>
          <w:u w:val="single" w:color="auto"/>
          <w:color w:val="0000FF"/>
        </w:rPr>
        <w:t xml:space="preserve"> </w:t>
      </w:r>
      <w:hyperlink w:anchor="page59">
        <w:r>
          <w:rPr>
            <w:rFonts w:ascii="Arial" w:cs="Arial" w:eastAsia="Arial" w:hAnsi="Arial"/>
            <w:sz w:val="18"/>
            <w:szCs w:val="18"/>
            <w:u w:val="single" w:color="auto"/>
            <w:color w:val="0000FF"/>
          </w:rPr>
          <w:t>party thereto.</w:t>
        </w:r>
      </w:hyperlink>
    </w:p>
    <w:p>
      <w:pPr>
        <w:spacing w:after="0" w:line="235" w:lineRule="exact"/>
        <w:rPr>
          <w:rFonts w:ascii="Arial" w:cs="Arial" w:eastAsia="Arial" w:hAnsi="Arial"/>
          <w:sz w:val="18"/>
          <w:szCs w:val="18"/>
          <w:u w:val="single" w:color="auto"/>
          <w:color w:val="0000FF"/>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*31.1</w:t>
      </w:r>
      <w:r>
        <w:rPr>
          <w:sz w:val="20"/>
          <w:szCs w:val="20"/>
          <w:color w:val="auto"/>
        </w:rPr>
        <w:tab/>
      </w:r>
      <w:hyperlink w:anchor="page135">
        <w:r>
          <w:rPr>
            <w:rFonts w:ascii="Arial" w:cs="Arial" w:eastAsia="Arial" w:hAnsi="Arial"/>
            <w:sz w:val="16"/>
            <w:szCs w:val="16"/>
            <w:u w:val="single" w:color="auto"/>
            <w:color w:val="0000FF"/>
          </w:rPr>
          <w:t>Certification of Chief Executive Officer of Periodic Report Pursuant to Rule 13a – 14(a) and Rule 15d – 14(a).</w:t>
        </w:r>
      </w:hyperlink>
    </w:p>
    <w:p>
      <w:pPr>
        <w:spacing w:after="0" w:line="63" w:lineRule="exact"/>
        <w:rPr>
          <w:rFonts w:ascii="Arial" w:cs="Arial" w:eastAsia="Arial" w:hAnsi="Arial"/>
          <w:sz w:val="18"/>
          <w:szCs w:val="18"/>
          <w:u w:val="single" w:color="auto"/>
          <w:color w:val="0000FF"/>
        </w:rPr>
      </w:pPr>
    </w:p>
    <w:p>
      <w:pPr>
        <w:ind w:left="50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*31.2</w:t>
      </w:r>
      <w:r>
        <w:rPr>
          <w:sz w:val="20"/>
          <w:szCs w:val="20"/>
          <w:color w:val="auto"/>
        </w:rPr>
        <w:tab/>
      </w:r>
      <w:hyperlink w:anchor="page136">
        <w:r>
          <w:rPr>
            <w:rFonts w:ascii="Arial" w:cs="Arial" w:eastAsia="Arial" w:hAnsi="Arial"/>
            <w:sz w:val="16"/>
            <w:szCs w:val="16"/>
            <w:u w:val="single" w:color="auto"/>
            <w:color w:val="0000FF"/>
          </w:rPr>
          <w:t>Certification of Chief Financial Officer of Periodic Report Pursuant to Rule 13a – 14(a) and Rule 15d – 14(a).</w:t>
        </w:r>
      </w:hyperlink>
    </w:p>
    <w:p>
      <w:pPr>
        <w:spacing w:after="0" w:line="63" w:lineRule="exact"/>
        <w:rPr>
          <w:rFonts w:ascii="Arial" w:cs="Arial" w:eastAsia="Arial" w:hAnsi="Arial"/>
          <w:sz w:val="18"/>
          <w:szCs w:val="18"/>
          <w:u w:val="single" w:color="auto"/>
          <w:color w:val="0000FF"/>
        </w:rPr>
      </w:pPr>
    </w:p>
    <w:p>
      <w:pPr>
        <w:ind w:left="620"/>
        <w:spacing w:after="0"/>
        <w:tabs>
          <w:tab w:leader="none" w:pos="10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w:anchor="page137">
        <w:r>
          <w:rPr>
            <w:rFonts w:ascii="Arial" w:cs="Arial" w:eastAsia="Arial" w:hAnsi="Arial"/>
            <w:sz w:val="16"/>
            <w:szCs w:val="16"/>
            <w:u w:val="single" w:color="auto"/>
            <w:color w:val="0000FF"/>
          </w:rPr>
          <w:t>Certification of CEO and CFO Pursuant to 18 U.S.C. Section 1350.</w:t>
        </w:r>
      </w:hyperlink>
    </w:p>
    <w:p>
      <w:pPr>
        <w:spacing w:after="0" w:line="63" w:lineRule="exact"/>
        <w:rPr>
          <w:rFonts w:ascii="Arial" w:cs="Arial" w:eastAsia="Arial" w:hAnsi="Arial"/>
          <w:sz w:val="18"/>
          <w:szCs w:val="18"/>
          <w:u w:val="single" w:color="auto"/>
          <w:color w:val="0000FF"/>
        </w:rPr>
      </w:pPr>
    </w:p>
    <w:p>
      <w:pPr>
        <w:ind w:left="1080" w:hanging="539"/>
        <w:spacing w:after="0" w:line="255"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quarter ended September 30, 2018, filed with the SEC on November 7, 2018 formatted in Extensible Business Reporting Language (XBRL): (i) the Condensed Consolidated Balance Sheets as of September 30, 2018 and December 31, 2017, (ii) the Condensed Consolidated Statements of Income for the three and nine months ended September 30, 2018 and 2017, (iii) the Condensed Consolidated Statements of Comprehensive Income for the three and nine months ended September 30, 2018 and 2017, (iv) the Condensed Consolidated Statement of Stockholders' Equity as of September 30, 2018, (v) the Condensed Consolidated Statements of Cash Flows for the nine months ended September 30, 2018 and 2017, and (vi) Notes to Condensed Consolidated Financial Statements.</w:t>
      </w:r>
    </w:p>
    <w:p>
      <w:pPr>
        <w:spacing w:after="0" w:line="216" w:lineRule="exact"/>
        <w:rPr>
          <w:rFonts w:ascii="Arial" w:cs="Arial" w:eastAsia="Arial" w:hAnsi="Arial"/>
          <w:sz w:val="18"/>
          <w:szCs w:val="18"/>
          <w:u w:val="single" w:color="auto"/>
          <w:color w:val="0000FF"/>
        </w:rPr>
      </w:pPr>
    </w:p>
    <w:p>
      <w:pPr>
        <w:jc w:val="both"/>
        <w:ind w:right="60"/>
        <w:spacing w:after="0" w:line="264"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235" w:lineRule="exact"/>
        <w:rPr>
          <w:rFonts w:ascii="Arial" w:cs="Arial" w:eastAsia="Arial" w:hAnsi="Arial"/>
          <w:sz w:val="18"/>
          <w:szCs w:val="18"/>
          <w:u w:val="single" w:color="auto"/>
          <w:color w:val="0000FF"/>
        </w:rPr>
      </w:pPr>
    </w:p>
    <w:p>
      <w:pPr>
        <w:ind w:left="500" w:hanging="492"/>
        <w:spacing w:after="0"/>
        <w:tabs>
          <w:tab w:leader="none" w:pos="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4701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3" w:lineRule="exact"/>
        <w:rPr>
          <w:rFonts w:ascii="Arial" w:cs="Arial" w:eastAsia="Arial" w:hAnsi="Arial"/>
          <w:sz w:val="18"/>
          <w:szCs w:val="18"/>
          <w:u w:val="single" w:color="auto"/>
          <w:color w:val="0000FF"/>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122" w:right="27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7360"/>
        <w:spacing w:after="0"/>
        <w:rPr>
          <w:sz w:val="20"/>
          <w:szCs w:val="20"/>
          <w:color w:val="auto"/>
        </w:rPr>
      </w:pPr>
      <w:r>
        <w:rPr>
          <w:rFonts w:ascii="Arial" w:cs="Arial" w:eastAsia="Arial" w:hAnsi="Arial"/>
          <w:sz w:val="18"/>
          <w:szCs w:val="18"/>
          <w:b w:val="1"/>
          <w:bCs w:val="1"/>
          <w:color w:val="auto"/>
        </w:rPr>
        <w:t>WYNN RESORTS, LIMITED</w:t>
      </w:r>
    </w:p>
    <w:p>
      <w:pPr>
        <w:spacing w:after="0" w:line="189" w:lineRule="exact"/>
        <w:rPr>
          <w:sz w:val="20"/>
          <w:szCs w:val="20"/>
          <w:color w:val="auto"/>
        </w:rPr>
      </w:pPr>
    </w:p>
    <w:p>
      <w:pPr>
        <w:ind w:left="40"/>
        <w:spacing w:after="0"/>
        <w:tabs>
          <w:tab w:leader="none" w:pos="6640" w:val="left"/>
          <w:tab w:leader="none" w:pos="7340" w:val="left"/>
        </w:tabs>
        <w:rPr>
          <w:sz w:val="20"/>
          <w:szCs w:val="20"/>
          <w:color w:val="auto"/>
        </w:rPr>
      </w:pPr>
      <w:r>
        <w:rPr>
          <w:rFonts w:ascii="Arial" w:cs="Arial" w:eastAsia="Arial" w:hAnsi="Arial"/>
          <w:sz w:val="18"/>
          <w:szCs w:val="18"/>
          <w:color w:val="auto"/>
        </w:rPr>
        <w:t>Dated: November 7,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31750</wp:posOffset>
            </wp:positionV>
            <wp:extent cx="2675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780"/>
          </w:cols>
          <w:pgMar w:left="240" w:top="122" w:right="87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CREDIT AGREEMENT</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Dated as of October 30, 2018</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among</w:t>
      </w: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WYNN RESORTS, LIMITED,</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Borrower,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GROUP ASIA, INC. and</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HOLDINGS, LLC,</w:t>
      </w:r>
    </w:p>
    <w:p>
      <w:pPr>
        <w:spacing w:after="0" w:line="19"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And the other GUARANTORS PARTY HERETO</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Guarantors,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LENDERS PARTY HERETO,</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as Administrative Agent</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and</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DEUTSCHE BANK SECURITIES INC.</w:t>
      </w:r>
    </w:p>
    <w:p>
      <w:pPr>
        <w:spacing w:after="0" w:line="32"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32" w:lineRule="exact"/>
        <w:rPr>
          <w:sz w:val="20"/>
          <w:szCs w:val="20"/>
          <w:color w:val="auto"/>
        </w:rPr>
      </w:pPr>
    </w:p>
    <w:p>
      <w:pPr>
        <w:ind w:left="4900"/>
        <w:spacing w:after="0"/>
        <w:rPr>
          <w:sz w:val="20"/>
          <w:szCs w:val="20"/>
          <w:color w:val="auto"/>
        </w:rPr>
      </w:pPr>
      <w:r>
        <w:rPr>
          <w:rFonts w:ascii="Arial" w:cs="Arial" w:eastAsia="Arial" w:hAnsi="Arial"/>
          <w:sz w:val="16"/>
          <w:szCs w:val="16"/>
          <w:b w:val="1"/>
          <w:bCs w:val="1"/>
          <w:color w:val="auto"/>
        </w:rPr>
        <w:t>FIFTH THIRD BANK</w:t>
      </w:r>
    </w:p>
    <w:p>
      <w:pPr>
        <w:spacing w:after="0" w:line="32"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JPMORGAN CHASE BANK, N.A.</w:t>
      </w:r>
    </w:p>
    <w:p>
      <w:pPr>
        <w:spacing w:after="0" w:line="32"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SUNTRUST ROBINSON HUMPHREY, INC.</w:t>
      </w:r>
    </w:p>
    <w:p>
      <w:pPr>
        <w:spacing w:after="0" w:line="32" w:lineRule="exact"/>
        <w:rPr>
          <w:sz w:val="20"/>
          <w:szCs w:val="20"/>
          <w:color w:val="auto"/>
        </w:rPr>
      </w:pPr>
    </w:p>
    <w:p>
      <w:pPr>
        <w:ind w:left="5560"/>
        <w:spacing w:after="0"/>
        <w:rPr>
          <w:sz w:val="20"/>
          <w:szCs w:val="20"/>
          <w:color w:val="auto"/>
        </w:rPr>
      </w:pPr>
      <w:r>
        <w:rPr>
          <w:rFonts w:ascii="Arial" w:cs="Arial" w:eastAsia="Arial" w:hAnsi="Arial"/>
          <w:sz w:val="16"/>
          <w:szCs w:val="16"/>
          <w:b w:val="1"/>
          <w:bCs w:val="1"/>
          <w:color w:val="auto"/>
        </w:rPr>
        <w:t>and</w:t>
      </w:r>
    </w:p>
    <w:p>
      <w:pPr>
        <w:spacing w:after="0" w:line="32" w:lineRule="exact"/>
        <w:rPr>
          <w:sz w:val="20"/>
          <w:szCs w:val="20"/>
          <w:color w:val="auto"/>
        </w:rPr>
      </w:pPr>
    </w:p>
    <w:p>
      <w:pPr>
        <w:ind w:left="4540"/>
        <w:spacing w:after="0"/>
        <w:rPr>
          <w:sz w:val="20"/>
          <w:szCs w:val="20"/>
          <w:color w:val="auto"/>
        </w:rPr>
      </w:pPr>
      <w:r>
        <w:rPr>
          <w:rFonts w:ascii="Arial" w:cs="Arial" w:eastAsia="Arial" w:hAnsi="Arial"/>
          <w:sz w:val="16"/>
          <w:szCs w:val="16"/>
          <w:b w:val="1"/>
          <w:bCs w:val="1"/>
          <w:color w:val="auto"/>
        </w:rPr>
        <w:t>GOLDMAN SACHS BANK USA,</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Joint Lead Arrangers and Joint Bookrunners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BNP PARIBAS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BANK OF NOVA SCOTIA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SUMITOMO MITSUI BANKING CORPORATION,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Documentation Agents</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1880" w:type="dxa"/>
            <w:vAlign w:val="bottom"/>
            <w:gridSpan w:val="4"/>
          </w:tcPr>
          <w:p>
            <w:pPr>
              <w:ind w:left="140"/>
              <w:spacing w:after="0"/>
              <w:rPr>
                <w:sz w:val="20"/>
                <w:szCs w:val="20"/>
                <w:color w:val="auto"/>
              </w:rPr>
            </w:pPr>
            <w:r>
              <w:rPr>
                <w:rFonts w:ascii="Arial" w:cs="Arial" w:eastAsia="Arial" w:hAnsi="Arial"/>
                <w:sz w:val="18"/>
                <w:szCs w:val="18"/>
                <w:color w:val="auto"/>
                <w:w w:val="94"/>
              </w:rPr>
              <w:t>Certain Defined Terms</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rPr>
              <w:t>1</w:t>
            </w: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5280" w:type="dxa"/>
            <w:vAlign w:val="bottom"/>
            <w:gridSpan w:val="6"/>
          </w:tcPr>
          <w:p>
            <w:pPr>
              <w:ind w:left="140"/>
              <w:spacing w:after="0"/>
              <w:rPr>
                <w:sz w:val="20"/>
                <w:szCs w:val="20"/>
                <w:color w:val="auto"/>
              </w:rPr>
            </w:pPr>
            <w:r>
              <w:rPr>
                <w:rFonts w:ascii="Arial" w:cs="Arial" w:eastAsia="Arial" w:hAnsi="Arial"/>
                <w:sz w:val="18"/>
                <w:szCs w:val="18"/>
                <w:color w:val="auto"/>
              </w:rPr>
              <w:t>Accounting Terms and Determinations  41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2540" w:type="dxa"/>
            <w:vAlign w:val="bottom"/>
            <w:gridSpan w:val="5"/>
          </w:tcPr>
          <w:p>
            <w:pPr>
              <w:ind w:left="140"/>
              <w:spacing w:after="0"/>
              <w:rPr>
                <w:sz w:val="20"/>
                <w:szCs w:val="20"/>
                <w:color w:val="auto"/>
              </w:rPr>
            </w:pPr>
            <w:r>
              <w:rPr>
                <w:rFonts w:ascii="Arial" w:cs="Arial" w:eastAsia="Arial" w:hAnsi="Arial"/>
                <w:sz w:val="18"/>
                <w:szCs w:val="18"/>
                <w:color w:val="auto"/>
                <w:w w:val="92"/>
              </w:rPr>
              <w:t>Classes and Types of Loans  41</w:t>
            </w: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1.04.</w:t>
            </w:r>
          </w:p>
        </w:tc>
        <w:tc>
          <w:tcPr>
            <w:tcW w:w="1880" w:type="dxa"/>
            <w:vAlign w:val="bottom"/>
            <w:gridSpan w:val="4"/>
          </w:tcPr>
          <w:p>
            <w:pPr>
              <w:ind w:left="140"/>
              <w:spacing w:after="0"/>
              <w:rPr>
                <w:sz w:val="20"/>
                <w:szCs w:val="20"/>
                <w:color w:val="auto"/>
              </w:rPr>
            </w:pPr>
            <w:r>
              <w:rPr>
                <w:rFonts w:ascii="Arial" w:cs="Arial" w:eastAsia="Arial" w:hAnsi="Arial"/>
                <w:sz w:val="18"/>
                <w:szCs w:val="18"/>
                <w:color w:val="auto"/>
                <w:w w:val="99"/>
              </w:rPr>
              <w:t>Rules of Construction</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w w:val="89"/>
              </w:rPr>
              <w:t>41</w:t>
            </w: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1.05.</w:t>
            </w:r>
          </w:p>
        </w:tc>
        <w:tc>
          <w:tcPr>
            <w:tcW w:w="5280" w:type="dxa"/>
            <w:vAlign w:val="bottom"/>
            <w:gridSpan w:val="6"/>
          </w:tcPr>
          <w:p>
            <w:pPr>
              <w:ind w:left="140"/>
              <w:spacing w:after="0"/>
              <w:rPr>
                <w:sz w:val="20"/>
                <w:szCs w:val="20"/>
                <w:color w:val="auto"/>
              </w:rPr>
            </w:pPr>
            <w:r>
              <w:rPr>
                <w:rFonts w:ascii="Arial" w:cs="Arial" w:eastAsia="Arial" w:hAnsi="Arial"/>
                <w:sz w:val="18"/>
                <w:szCs w:val="18"/>
                <w:color w:val="auto"/>
              </w:rPr>
              <w:t>Ratio Calculations; Negative Covenant Reclassification  42</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1.06.</w:t>
            </w:r>
          </w:p>
        </w:tc>
        <w:tc>
          <w:tcPr>
            <w:tcW w:w="1880" w:type="dxa"/>
            <w:vAlign w:val="bottom"/>
            <w:gridSpan w:val="4"/>
          </w:tcPr>
          <w:p>
            <w:pPr>
              <w:ind w:left="140"/>
              <w:spacing w:after="0"/>
              <w:rPr>
                <w:sz w:val="20"/>
                <w:szCs w:val="20"/>
                <w:color w:val="auto"/>
              </w:rPr>
            </w:pPr>
            <w:r>
              <w:rPr>
                <w:rFonts w:ascii="Arial" w:cs="Arial" w:eastAsia="Arial" w:hAnsi="Arial"/>
                <w:sz w:val="18"/>
                <w:szCs w:val="18"/>
                <w:color w:val="auto"/>
                <w:w w:val="91"/>
              </w:rPr>
              <w:t>Pro Forma Calculations</w:t>
            </w:r>
          </w:p>
        </w:tc>
        <w:tc>
          <w:tcPr>
            <w:tcW w:w="660" w:type="dxa"/>
            <w:vAlign w:val="bottom"/>
          </w:tcPr>
          <w:p>
            <w:pPr>
              <w:jc w:val="right"/>
              <w:ind w:right="250"/>
              <w:spacing w:after="0"/>
              <w:rPr>
                <w:sz w:val="20"/>
                <w:szCs w:val="20"/>
                <w:color w:val="auto"/>
              </w:rPr>
            </w:pPr>
            <w:r>
              <w:rPr>
                <w:rFonts w:ascii="Arial" w:cs="Arial" w:eastAsia="Arial" w:hAnsi="Arial"/>
                <w:sz w:val="18"/>
                <w:szCs w:val="18"/>
                <w:color w:val="auto"/>
              </w:rPr>
              <w:t>43</w:t>
            </w:r>
          </w:p>
        </w:tc>
        <w:tc>
          <w:tcPr>
            <w:tcW w:w="27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1.07.</w:t>
            </w:r>
          </w:p>
        </w:tc>
        <w:tc>
          <w:tcPr>
            <w:tcW w:w="2540" w:type="dxa"/>
            <w:vAlign w:val="bottom"/>
            <w:gridSpan w:val="5"/>
          </w:tcPr>
          <w:p>
            <w:pPr>
              <w:ind w:left="140"/>
              <w:spacing w:after="0"/>
              <w:rPr>
                <w:sz w:val="20"/>
                <w:szCs w:val="20"/>
                <w:color w:val="auto"/>
              </w:rPr>
            </w:pPr>
            <w:r>
              <w:rPr>
                <w:rFonts w:ascii="Arial" w:cs="Arial" w:eastAsia="Arial" w:hAnsi="Arial"/>
                <w:sz w:val="18"/>
                <w:szCs w:val="18"/>
                <w:color w:val="auto"/>
                <w:w w:val="96"/>
              </w:rPr>
              <w:t>Limited Condition Transactions</w:t>
            </w:r>
          </w:p>
        </w:tc>
        <w:tc>
          <w:tcPr>
            <w:tcW w:w="2740" w:type="dxa"/>
            <w:vAlign w:val="bottom"/>
          </w:tcPr>
          <w:p>
            <w:pPr>
              <w:jc w:val="right"/>
              <w:ind w:right="2390"/>
              <w:spacing w:after="0"/>
              <w:rPr>
                <w:sz w:val="20"/>
                <w:szCs w:val="20"/>
                <w:color w:val="auto"/>
              </w:rPr>
            </w:pPr>
            <w:r>
              <w:rPr>
                <w:rFonts w:ascii="Arial" w:cs="Arial" w:eastAsia="Arial" w:hAnsi="Arial"/>
                <w:sz w:val="18"/>
                <w:szCs w:val="18"/>
                <w:color w:val="auto"/>
              </w:rPr>
              <w:t>44</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Pr>
          <w:p>
            <w:pPr>
              <w:jc w:val="center"/>
              <w:ind w:left="890"/>
              <w:spacing w:after="0"/>
              <w:rPr>
                <w:sz w:val="20"/>
                <w:szCs w:val="20"/>
                <w:color w:val="auto"/>
              </w:rPr>
            </w:pPr>
            <w:r>
              <w:rPr>
                <w:rFonts w:ascii="Arial" w:cs="Arial" w:eastAsia="Arial" w:hAnsi="Arial"/>
                <w:sz w:val="18"/>
                <w:szCs w:val="18"/>
                <w:color w:val="auto"/>
                <w:w w:val="99"/>
              </w:rPr>
              <w:t>ARTICLE II.</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Pr>
          <w:p>
            <w:pPr>
              <w:jc w:val="center"/>
              <w:ind w:left="910"/>
              <w:spacing w:after="0"/>
              <w:rPr>
                <w:sz w:val="20"/>
                <w:szCs w:val="20"/>
                <w:color w:val="auto"/>
              </w:rPr>
            </w:pPr>
            <w:r>
              <w:rPr>
                <w:rFonts w:ascii="Arial" w:cs="Arial" w:eastAsia="Arial" w:hAnsi="Arial"/>
                <w:sz w:val="18"/>
                <w:szCs w:val="18"/>
                <w:color w:val="auto"/>
                <w:w w:val="93"/>
              </w:rPr>
              <w:t>CREDITS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620" w:type="dxa"/>
            <w:vAlign w:val="bottom"/>
          </w:tcPr>
          <w:p>
            <w:pPr>
              <w:ind w:left="140"/>
              <w:spacing w:after="0"/>
              <w:rPr>
                <w:sz w:val="20"/>
                <w:szCs w:val="20"/>
                <w:color w:val="auto"/>
              </w:rPr>
            </w:pPr>
            <w:r>
              <w:rPr>
                <w:rFonts w:ascii="Arial" w:cs="Arial" w:eastAsia="Arial" w:hAnsi="Arial"/>
                <w:sz w:val="18"/>
                <w:szCs w:val="18"/>
                <w:color w:val="auto"/>
                <w:w w:val="93"/>
              </w:rPr>
              <w:t>Loans</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w w:val="97"/>
              </w:rPr>
              <w:t>Borrowings</w:t>
            </w: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1040" w:type="dxa"/>
            <w:vAlign w:val="bottom"/>
            <w:gridSpan w:val="2"/>
          </w:tcPr>
          <w:p>
            <w:pPr>
              <w:ind w:left="140"/>
              <w:spacing w:after="0"/>
              <w:rPr>
                <w:sz w:val="20"/>
                <w:szCs w:val="20"/>
                <w:color w:val="auto"/>
              </w:rPr>
            </w:pPr>
            <w:r>
              <w:rPr>
                <w:rFonts w:ascii="Arial" w:cs="Arial" w:eastAsia="Arial" w:hAnsi="Arial"/>
                <w:sz w:val="18"/>
                <w:szCs w:val="18"/>
                <w:color w:val="auto"/>
              </w:rPr>
              <w:t>[Reserved]</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5280" w:type="dxa"/>
            <w:vAlign w:val="bottom"/>
            <w:gridSpan w:val="6"/>
          </w:tcPr>
          <w:p>
            <w:pPr>
              <w:ind w:left="140"/>
              <w:spacing w:after="0"/>
              <w:rPr>
                <w:sz w:val="20"/>
                <w:szCs w:val="20"/>
                <w:color w:val="auto"/>
              </w:rPr>
            </w:pPr>
            <w:r>
              <w:rPr>
                <w:rFonts w:ascii="Arial" w:cs="Arial" w:eastAsia="Arial" w:hAnsi="Arial"/>
                <w:sz w:val="18"/>
                <w:szCs w:val="18"/>
                <w:color w:val="auto"/>
              </w:rPr>
              <w:t>Termination and Reductions of Commitment  45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620" w:type="dxa"/>
            <w:vAlign w:val="bottom"/>
          </w:tcPr>
          <w:p>
            <w:pPr>
              <w:ind w:left="140"/>
              <w:spacing w:after="0"/>
              <w:rPr>
                <w:sz w:val="20"/>
                <w:szCs w:val="20"/>
                <w:color w:val="auto"/>
              </w:rPr>
            </w:pPr>
            <w:r>
              <w:rPr>
                <w:rFonts w:ascii="Arial" w:cs="Arial" w:eastAsia="Arial" w:hAnsi="Arial"/>
                <w:sz w:val="18"/>
                <w:szCs w:val="18"/>
                <w:color w:val="auto"/>
              </w:rPr>
              <w:t>Fees</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w w:val="89"/>
              </w:rPr>
              <w:t>45</w:t>
            </w: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1400" w:type="dxa"/>
            <w:vAlign w:val="bottom"/>
            <w:gridSpan w:val="3"/>
          </w:tcPr>
          <w:p>
            <w:pPr>
              <w:ind w:left="140"/>
              <w:spacing w:after="0"/>
              <w:rPr>
                <w:sz w:val="20"/>
                <w:szCs w:val="20"/>
                <w:color w:val="auto"/>
              </w:rPr>
            </w:pPr>
            <w:r>
              <w:rPr>
                <w:rFonts w:ascii="Arial" w:cs="Arial" w:eastAsia="Arial" w:hAnsi="Arial"/>
                <w:sz w:val="18"/>
                <w:szCs w:val="18"/>
                <w:color w:val="auto"/>
                <w:w w:val="99"/>
              </w:rPr>
              <w:t>Lending Offices</w:t>
            </w:r>
          </w:p>
        </w:tc>
        <w:tc>
          <w:tcPr>
            <w:tcW w:w="480" w:type="dxa"/>
            <w:vAlign w:val="bottom"/>
          </w:tcPr>
          <w:p>
            <w:pPr>
              <w:jc w:val="right"/>
              <w:ind w:right="110"/>
              <w:spacing w:after="0"/>
              <w:rPr>
                <w:sz w:val="20"/>
                <w:szCs w:val="20"/>
                <w:color w:val="auto"/>
              </w:rPr>
            </w:pPr>
            <w:r>
              <w:rPr>
                <w:rFonts w:ascii="Arial" w:cs="Arial" w:eastAsia="Arial" w:hAnsi="Arial"/>
                <w:sz w:val="18"/>
                <w:szCs w:val="18"/>
                <w:color w:val="auto"/>
              </w:rPr>
              <w:t>46</w:t>
            </w:r>
          </w:p>
        </w:tc>
        <w:tc>
          <w:tcPr>
            <w:tcW w:w="6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2540" w:type="dxa"/>
            <w:vAlign w:val="bottom"/>
            <w:gridSpan w:val="5"/>
          </w:tcPr>
          <w:p>
            <w:pPr>
              <w:ind w:left="140"/>
              <w:spacing w:after="0"/>
              <w:rPr>
                <w:sz w:val="20"/>
                <w:szCs w:val="20"/>
                <w:color w:val="auto"/>
              </w:rPr>
            </w:pPr>
            <w:r>
              <w:rPr>
                <w:rFonts w:ascii="Arial" w:cs="Arial" w:eastAsia="Arial" w:hAnsi="Arial"/>
                <w:sz w:val="18"/>
                <w:szCs w:val="18"/>
                <w:color w:val="auto"/>
                <w:w w:val="96"/>
              </w:rPr>
              <w:t>Several Obligations of Lenders</w:t>
            </w:r>
          </w:p>
        </w:tc>
        <w:tc>
          <w:tcPr>
            <w:tcW w:w="2740" w:type="dxa"/>
            <w:vAlign w:val="bottom"/>
          </w:tcPr>
          <w:p>
            <w:pPr>
              <w:jc w:val="right"/>
              <w:ind w:right="2450"/>
              <w:spacing w:after="0"/>
              <w:rPr>
                <w:sz w:val="20"/>
                <w:szCs w:val="20"/>
                <w:color w:val="auto"/>
              </w:rPr>
            </w:pPr>
            <w:r>
              <w:rPr>
                <w:rFonts w:ascii="Arial" w:cs="Arial" w:eastAsia="Arial" w:hAnsi="Arial"/>
                <w:sz w:val="18"/>
                <w:szCs w:val="18"/>
                <w:color w:val="auto"/>
                <w:w w:val="89"/>
              </w:rPr>
              <w:t>46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1400" w:type="dxa"/>
            <w:vAlign w:val="bottom"/>
            <w:gridSpan w:val="3"/>
          </w:tcPr>
          <w:p>
            <w:pPr>
              <w:ind w:left="140"/>
              <w:spacing w:after="0"/>
              <w:rPr>
                <w:sz w:val="20"/>
                <w:szCs w:val="20"/>
                <w:color w:val="auto"/>
              </w:rPr>
            </w:pPr>
            <w:r>
              <w:rPr>
                <w:rFonts w:ascii="Arial" w:cs="Arial" w:eastAsia="Arial" w:hAnsi="Arial"/>
                <w:sz w:val="18"/>
                <w:szCs w:val="18"/>
                <w:color w:val="auto"/>
                <w:w w:val="99"/>
              </w:rPr>
              <w:t>Notes; Register</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46</w:t>
            </w:r>
          </w:p>
        </w:tc>
        <w:tc>
          <w:tcPr>
            <w:tcW w:w="660" w:type="dxa"/>
            <w:vAlign w:val="bottom"/>
          </w:tcPr>
          <w:p>
            <w:pPr>
              <w:spacing w:after="0"/>
              <w:rPr>
                <w:sz w:val="18"/>
                <w:szCs w:val="18"/>
                <w:color w:val="auto"/>
              </w:rPr>
            </w:pPr>
          </w:p>
        </w:tc>
        <w:tc>
          <w:tcPr>
            <w:tcW w:w="27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5280" w:type="dxa"/>
            <w:vAlign w:val="bottom"/>
            <w:gridSpan w:val="6"/>
          </w:tcPr>
          <w:p>
            <w:pPr>
              <w:ind w:left="140"/>
              <w:spacing w:after="0"/>
              <w:rPr>
                <w:sz w:val="20"/>
                <w:szCs w:val="20"/>
                <w:color w:val="auto"/>
              </w:rPr>
            </w:pPr>
            <w:r>
              <w:rPr>
                <w:rFonts w:ascii="Arial" w:cs="Arial" w:eastAsia="Arial" w:hAnsi="Arial"/>
                <w:sz w:val="18"/>
                <w:szCs w:val="18"/>
                <w:color w:val="auto"/>
                <w:w w:val="91"/>
              </w:rPr>
              <w:t>Optional Prepayments and Conversions or Continuations of Loans  46</w:t>
            </w:r>
          </w:p>
        </w:tc>
      </w:tr>
    </w:tbl>
    <w:p>
      <w:pPr>
        <w:sectPr>
          <w:pgSz w:w="11900" w:h="16838" w:orient="portrait"/>
          <w:cols w:equalWidth="0" w:num="1">
            <w:col w:w="11420"/>
          </w:cols>
          <w:pgMar w:left="240" w:top="121" w:right="239" w:bottom="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88"/>
              </w:rPr>
              <w:t>Mandatory Prepayments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2.11.</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88"/>
              </w:rPr>
              <w:t>Replacement of Lenders</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2.12.</w:t>
            </w:r>
          </w:p>
        </w:tc>
        <w:tc>
          <w:tcPr>
            <w:tcW w:w="3280" w:type="dxa"/>
            <w:vAlign w:val="bottom"/>
            <w:gridSpan w:val="8"/>
          </w:tcPr>
          <w:p>
            <w:pPr>
              <w:ind w:left="140"/>
              <w:spacing w:after="0"/>
              <w:rPr>
                <w:sz w:val="20"/>
                <w:szCs w:val="20"/>
                <w:color w:val="auto"/>
              </w:rPr>
            </w:pPr>
            <w:r>
              <w:rPr>
                <w:rFonts w:ascii="Arial" w:cs="Arial" w:eastAsia="Arial" w:hAnsi="Arial"/>
                <w:sz w:val="18"/>
                <w:szCs w:val="18"/>
                <w:color w:val="auto"/>
              </w:rPr>
              <w:t>Incremental Loan Commitments  52</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2.13.</w:t>
            </w:r>
          </w:p>
        </w:tc>
        <w:tc>
          <w:tcPr>
            <w:tcW w:w="3500" w:type="dxa"/>
            <w:vAlign w:val="bottom"/>
            <w:gridSpan w:val="9"/>
          </w:tcPr>
          <w:p>
            <w:pPr>
              <w:ind w:left="140"/>
              <w:spacing w:after="0"/>
              <w:rPr>
                <w:sz w:val="20"/>
                <w:szCs w:val="20"/>
                <w:color w:val="auto"/>
              </w:rPr>
            </w:pPr>
            <w:r>
              <w:rPr>
                <w:rFonts w:ascii="Arial" w:cs="Arial" w:eastAsia="Arial" w:hAnsi="Arial"/>
                <w:sz w:val="18"/>
                <w:szCs w:val="18"/>
                <w:color w:val="auto"/>
                <w:w w:val="97"/>
              </w:rPr>
              <w:t>Extensions of Loans and Commitments  55</w:t>
            </w: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2.14.</w:t>
            </w:r>
          </w:p>
        </w:tc>
        <w:tc>
          <w:tcPr>
            <w:tcW w:w="2300" w:type="dxa"/>
            <w:vAlign w:val="bottom"/>
            <w:gridSpan w:val="7"/>
          </w:tcPr>
          <w:p>
            <w:pPr>
              <w:ind w:left="140"/>
              <w:spacing w:after="0"/>
              <w:rPr>
                <w:sz w:val="20"/>
                <w:szCs w:val="20"/>
                <w:color w:val="auto"/>
              </w:rPr>
            </w:pPr>
            <w:r>
              <w:rPr>
                <w:rFonts w:ascii="Arial" w:cs="Arial" w:eastAsia="Arial" w:hAnsi="Arial"/>
                <w:sz w:val="18"/>
                <w:szCs w:val="18"/>
                <w:color w:val="auto"/>
                <w:w w:val="92"/>
              </w:rPr>
              <w:t>Defaulting Lender Provisions</w:t>
            </w:r>
          </w:p>
        </w:tc>
        <w:tc>
          <w:tcPr>
            <w:tcW w:w="980" w:type="dxa"/>
            <w:vAlign w:val="bottom"/>
          </w:tcPr>
          <w:p>
            <w:pPr>
              <w:jc w:val="right"/>
              <w:ind w:right="570"/>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2.15.</w:t>
            </w:r>
          </w:p>
        </w:tc>
        <w:tc>
          <w:tcPr>
            <w:tcW w:w="2160" w:type="dxa"/>
            <w:vAlign w:val="bottom"/>
            <w:gridSpan w:val="6"/>
          </w:tcPr>
          <w:p>
            <w:pPr>
              <w:ind w:left="140"/>
              <w:spacing w:after="0"/>
              <w:rPr>
                <w:sz w:val="20"/>
                <w:szCs w:val="20"/>
                <w:color w:val="auto"/>
              </w:rPr>
            </w:pPr>
            <w:r>
              <w:rPr>
                <w:rFonts w:ascii="Arial" w:cs="Arial" w:eastAsia="Arial" w:hAnsi="Arial"/>
                <w:sz w:val="18"/>
                <w:szCs w:val="18"/>
                <w:color w:val="auto"/>
                <w:w w:val="97"/>
              </w:rPr>
              <w:t>Refinancing Amendments</w:t>
            </w:r>
          </w:p>
        </w:tc>
        <w:tc>
          <w:tcPr>
            <w:tcW w:w="1120" w:type="dxa"/>
            <w:vAlign w:val="bottom"/>
            <w:gridSpan w:val="2"/>
          </w:tcPr>
          <w:p>
            <w:pPr>
              <w:jc w:val="right"/>
              <w:ind w:right="810"/>
              <w:spacing w:after="0"/>
              <w:rPr>
                <w:sz w:val="20"/>
                <w:szCs w:val="20"/>
                <w:color w:val="auto"/>
              </w:rPr>
            </w:pPr>
            <w:r>
              <w:rPr>
                <w:rFonts w:ascii="Arial" w:cs="Arial" w:eastAsia="Arial" w:hAnsi="Arial"/>
                <w:sz w:val="18"/>
                <w:szCs w:val="18"/>
                <w:color w:val="auto"/>
                <w:w w:val="99"/>
              </w:rPr>
              <w:t>57</w:t>
            </w: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510"/>
              <w:spacing w:after="0"/>
              <w:rPr>
                <w:sz w:val="20"/>
                <w:szCs w:val="20"/>
                <w:color w:val="auto"/>
              </w:rPr>
            </w:pPr>
            <w:r>
              <w:rPr>
                <w:rFonts w:ascii="Arial" w:cs="Arial" w:eastAsia="Arial" w:hAnsi="Arial"/>
                <w:sz w:val="18"/>
                <w:szCs w:val="18"/>
                <w:color w:val="auto"/>
              </w:rPr>
              <w:t>ARTICLE III.</w:t>
            </w: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3"/>
          </w:tcPr>
          <w:p>
            <w:pPr>
              <w:jc w:val="center"/>
              <w:ind w:right="270"/>
              <w:spacing w:after="0"/>
              <w:rPr>
                <w:sz w:val="20"/>
                <w:szCs w:val="20"/>
                <w:color w:val="auto"/>
              </w:rPr>
            </w:pPr>
            <w:r>
              <w:rPr>
                <w:rFonts w:ascii="Arial" w:cs="Arial" w:eastAsia="Arial" w:hAnsi="Arial"/>
                <w:sz w:val="18"/>
                <w:szCs w:val="18"/>
                <w:color w:val="auto"/>
                <w:w w:val="95"/>
              </w:rPr>
              <w:t>PAYMENTS OF PRINCIPAL AND INTEREST</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3"/>
              </w:rPr>
              <w:t>Repayment of Loans</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700" w:type="dxa"/>
            <w:vAlign w:val="bottom"/>
          </w:tcPr>
          <w:p>
            <w:pPr>
              <w:ind w:left="140"/>
              <w:spacing w:after="0"/>
              <w:rPr>
                <w:sz w:val="20"/>
                <w:szCs w:val="20"/>
                <w:color w:val="auto"/>
              </w:rPr>
            </w:pPr>
            <w:r>
              <w:rPr>
                <w:rFonts w:ascii="Arial" w:cs="Arial" w:eastAsia="Arial" w:hAnsi="Arial"/>
                <w:sz w:val="18"/>
                <w:szCs w:val="18"/>
                <w:color w:val="auto"/>
                <w:w w:val="89"/>
              </w:rPr>
              <w:t>Interest</w:t>
            </w:r>
          </w:p>
        </w:tc>
        <w:tc>
          <w:tcPr>
            <w:tcW w:w="620" w:type="dxa"/>
            <w:vAlign w:val="bottom"/>
            <w:gridSpan w:val="2"/>
          </w:tcPr>
          <w:p>
            <w:pPr>
              <w:jc w:val="right"/>
              <w:ind w:right="190"/>
              <w:spacing w:after="0"/>
              <w:rPr>
                <w:sz w:val="20"/>
                <w:szCs w:val="20"/>
                <w:color w:val="auto"/>
              </w:rPr>
            </w:pPr>
            <w:r>
              <w:rPr>
                <w:rFonts w:ascii="Arial" w:cs="Arial" w:eastAsia="Arial" w:hAnsi="Arial"/>
                <w:sz w:val="18"/>
                <w:szCs w:val="18"/>
                <w:color w:val="auto"/>
              </w:rPr>
              <w:t>59</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510"/>
              <w:spacing w:after="0"/>
              <w:rPr>
                <w:sz w:val="20"/>
                <w:szCs w:val="20"/>
                <w:color w:val="auto"/>
              </w:rPr>
            </w:pPr>
            <w:r>
              <w:rPr>
                <w:rFonts w:ascii="Arial" w:cs="Arial" w:eastAsia="Arial" w:hAnsi="Arial"/>
                <w:sz w:val="18"/>
                <w:szCs w:val="18"/>
                <w:color w:val="auto"/>
                <w:w w:val="98"/>
              </w:rPr>
              <w:t>ARTICLE IV.</w:t>
            </w: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980" w:type="dxa"/>
            <w:vAlign w:val="bottom"/>
            <w:gridSpan w:val="5"/>
          </w:tcPr>
          <w:p>
            <w:pPr>
              <w:jc w:val="center"/>
              <w:spacing w:after="0"/>
              <w:rPr>
                <w:sz w:val="20"/>
                <w:szCs w:val="20"/>
                <w:color w:val="auto"/>
              </w:rPr>
            </w:pPr>
            <w:r>
              <w:rPr>
                <w:rFonts w:ascii="Arial" w:cs="Arial" w:eastAsia="Arial" w:hAnsi="Arial"/>
                <w:sz w:val="18"/>
                <w:szCs w:val="18"/>
                <w:color w:val="auto"/>
                <w:w w:val="94"/>
              </w:rPr>
              <w:t>PAYMENTS; PRO RATA TREATMENT; COMPUTATIONS; ETC.</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7"/>
              </w:rPr>
              <w:t>Payments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8"/>
              </w:rPr>
              <w:t>Pro Rata Treatment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60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Computations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4.04.</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rPr>
              <w:t>Minimum Amounts</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w w:val="89"/>
              </w:rPr>
              <w:t>61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4.05.</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4"/>
              </w:rPr>
              <w:t>Certain Notices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6880" w:type="dxa"/>
            <w:vAlign w:val="bottom"/>
            <w:gridSpan w:val="10"/>
          </w:tcPr>
          <w:p>
            <w:pPr>
              <w:ind w:left="140"/>
              <w:spacing w:after="0"/>
              <w:rPr>
                <w:sz w:val="20"/>
                <w:szCs w:val="20"/>
                <w:color w:val="auto"/>
              </w:rPr>
            </w:pPr>
            <w:r>
              <w:rPr>
                <w:rFonts w:ascii="Arial" w:cs="Arial" w:eastAsia="Arial" w:hAnsi="Arial"/>
                <w:sz w:val="18"/>
                <w:szCs w:val="18"/>
                <w:color w:val="auto"/>
              </w:rPr>
              <w:t>Non-Receipt of Funds by Administrative Agent  61</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4.07.</w:t>
            </w:r>
          </w:p>
        </w:tc>
        <w:tc>
          <w:tcPr>
            <w:tcW w:w="3280" w:type="dxa"/>
            <w:vAlign w:val="bottom"/>
            <w:gridSpan w:val="8"/>
          </w:tcPr>
          <w:p>
            <w:pPr>
              <w:ind w:left="140"/>
              <w:spacing w:after="0"/>
              <w:rPr>
                <w:sz w:val="20"/>
                <w:szCs w:val="20"/>
                <w:color w:val="auto"/>
              </w:rPr>
            </w:pPr>
            <w:r>
              <w:rPr>
                <w:rFonts w:ascii="Arial" w:cs="Arial" w:eastAsia="Arial" w:hAnsi="Arial"/>
                <w:sz w:val="18"/>
                <w:szCs w:val="18"/>
                <w:color w:val="auto"/>
                <w:w w:val="95"/>
              </w:rPr>
              <w:t>Right of Setoff, Sharing of Payments; Etc</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62</w:t>
            </w:r>
          </w:p>
        </w:tc>
        <w:tc>
          <w:tcPr>
            <w:tcW w:w="33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510"/>
              <w:spacing w:after="0"/>
              <w:rPr>
                <w:sz w:val="20"/>
                <w:szCs w:val="20"/>
                <w:color w:val="auto"/>
              </w:rPr>
            </w:pPr>
            <w:r>
              <w:rPr>
                <w:rFonts w:ascii="Arial" w:cs="Arial" w:eastAsia="Arial" w:hAnsi="Arial"/>
                <w:sz w:val="18"/>
                <w:szCs w:val="18"/>
                <w:color w:val="auto"/>
                <w:w w:val="95"/>
              </w:rPr>
              <w:t>ARTICLE V.</w:t>
            </w: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0" w:type="dxa"/>
            <w:vAlign w:val="bottom"/>
            <w:gridSpan w:val="2"/>
          </w:tcPr>
          <w:p>
            <w:pPr>
              <w:jc w:val="center"/>
              <w:ind w:right="1250"/>
              <w:spacing w:after="0"/>
              <w:rPr>
                <w:sz w:val="20"/>
                <w:szCs w:val="20"/>
                <w:color w:val="auto"/>
              </w:rPr>
            </w:pPr>
            <w:r>
              <w:rPr>
                <w:rFonts w:ascii="Arial" w:cs="Arial" w:eastAsia="Arial" w:hAnsi="Arial"/>
                <w:sz w:val="18"/>
                <w:szCs w:val="18"/>
                <w:color w:val="auto"/>
                <w:w w:val="96"/>
              </w:rPr>
              <w:t>YIELD PROTECTION, ETC.</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7"/>
              </w:rPr>
              <w:t>Additional Costs  63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3280" w:type="dxa"/>
            <w:vAlign w:val="bottom"/>
            <w:gridSpan w:val="8"/>
          </w:tcPr>
          <w:p>
            <w:pPr>
              <w:ind w:left="140"/>
              <w:spacing w:after="0"/>
              <w:rPr>
                <w:sz w:val="20"/>
                <w:szCs w:val="20"/>
                <w:color w:val="auto"/>
              </w:rPr>
            </w:pPr>
            <w:r>
              <w:rPr>
                <w:rFonts w:ascii="Arial" w:cs="Arial" w:eastAsia="Arial" w:hAnsi="Arial"/>
                <w:sz w:val="18"/>
                <w:szCs w:val="18"/>
                <w:color w:val="auto"/>
                <w:w w:val="99"/>
              </w:rPr>
              <w:t>Inability To Determine Interest Rate  64</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5.03.</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Illegality</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65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5.04.</w:t>
            </w:r>
          </w:p>
        </w:tc>
        <w:tc>
          <w:tcPr>
            <w:tcW w:w="2300" w:type="dxa"/>
            <w:vAlign w:val="bottom"/>
            <w:gridSpan w:val="7"/>
          </w:tcPr>
          <w:p>
            <w:pPr>
              <w:ind w:left="140"/>
              <w:spacing w:after="0"/>
              <w:rPr>
                <w:sz w:val="20"/>
                <w:szCs w:val="20"/>
                <w:color w:val="auto"/>
              </w:rPr>
            </w:pPr>
            <w:r>
              <w:rPr>
                <w:rFonts w:ascii="Arial" w:cs="Arial" w:eastAsia="Arial" w:hAnsi="Arial"/>
                <w:sz w:val="18"/>
                <w:szCs w:val="18"/>
                <w:color w:val="auto"/>
                <w:w w:val="94"/>
              </w:rPr>
              <w:t>Treatment of Affected Loans</w:t>
            </w:r>
          </w:p>
        </w:tc>
        <w:tc>
          <w:tcPr>
            <w:tcW w:w="980" w:type="dxa"/>
            <w:vAlign w:val="bottom"/>
          </w:tcPr>
          <w:p>
            <w:pPr>
              <w:jc w:val="right"/>
              <w:ind w:right="610"/>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5.05.</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9"/>
              </w:rPr>
              <w:t>Compensation</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w w:val="99"/>
              </w:rPr>
              <w:t>66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5.06.</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Net Payments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66</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510"/>
              <w:spacing w:after="0"/>
              <w:rPr>
                <w:sz w:val="20"/>
                <w:szCs w:val="20"/>
                <w:color w:val="auto"/>
              </w:rPr>
            </w:pPr>
            <w:r>
              <w:rPr>
                <w:rFonts w:ascii="Arial" w:cs="Arial" w:eastAsia="Arial" w:hAnsi="Arial"/>
                <w:sz w:val="18"/>
                <w:szCs w:val="18"/>
                <w:color w:val="auto"/>
                <w:w w:val="98"/>
              </w:rPr>
              <w:t>ARTICLE VI.</w:t>
            </w: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450"/>
              <w:spacing w:after="0"/>
              <w:rPr>
                <w:sz w:val="20"/>
                <w:szCs w:val="20"/>
                <w:color w:val="auto"/>
              </w:rPr>
            </w:pPr>
            <w:r>
              <w:rPr>
                <w:rFonts w:ascii="Arial" w:cs="Arial" w:eastAsia="Arial" w:hAnsi="Arial"/>
                <w:sz w:val="18"/>
                <w:szCs w:val="18"/>
                <w:color w:val="auto"/>
                <w:w w:val="96"/>
              </w:rPr>
              <w:t>GUARANTEES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89"/>
              </w:rPr>
              <w:t>The Guarantees</w:t>
            </w: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2160" w:type="dxa"/>
            <w:vAlign w:val="bottom"/>
            <w:gridSpan w:val="6"/>
          </w:tcPr>
          <w:p>
            <w:pPr>
              <w:ind w:left="140"/>
              <w:spacing w:after="0"/>
              <w:rPr>
                <w:sz w:val="20"/>
                <w:szCs w:val="20"/>
                <w:color w:val="auto"/>
              </w:rPr>
            </w:pPr>
            <w:r>
              <w:rPr>
                <w:rFonts w:ascii="Arial" w:cs="Arial" w:eastAsia="Arial" w:hAnsi="Arial"/>
                <w:sz w:val="18"/>
                <w:szCs w:val="18"/>
                <w:color w:val="auto"/>
                <w:w w:val="97"/>
              </w:rPr>
              <w:t>Obligations Unconditional</w:t>
            </w:r>
          </w:p>
        </w:tc>
        <w:tc>
          <w:tcPr>
            <w:tcW w:w="1120" w:type="dxa"/>
            <w:vAlign w:val="bottom"/>
            <w:gridSpan w:val="2"/>
          </w:tcPr>
          <w:p>
            <w:pPr>
              <w:jc w:val="right"/>
              <w:ind w:right="770"/>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6.03.</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9"/>
              </w:rPr>
              <w:t>Reinstatement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w w:val="89"/>
              </w:rPr>
              <w:t>71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6.04.</w:t>
            </w:r>
          </w:p>
        </w:tc>
        <w:tc>
          <w:tcPr>
            <w:tcW w:w="2160" w:type="dxa"/>
            <w:vAlign w:val="bottom"/>
            <w:gridSpan w:val="6"/>
          </w:tcPr>
          <w:p>
            <w:pPr>
              <w:ind w:left="140"/>
              <w:spacing w:after="0"/>
              <w:rPr>
                <w:sz w:val="20"/>
                <w:szCs w:val="20"/>
                <w:color w:val="auto"/>
              </w:rPr>
            </w:pPr>
            <w:r>
              <w:rPr>
                <w:rFonts w:ascii="Arial" w:cs="Arial" w:eastAsia="Arial" w:hAnsi="Arial"/>
                <w:sz w:val="18"/>
                <w:szCs w:val="18"/>
                <w:color w:val="auto"/>
                <w:w w:val="91"/>
              </w:rPr>
              <w:t>Subrogation; Subordination</w:t>
            </w:r>
          </w:p>
        </w:tc>
        <w:tc>
          <w:tcPr>
            <w:tcW w:w="140" w:type="dxa"/>
            <w:vAlign w:val="bottom"/>
          </w:tcPr>
          <w:p>
            <w:pPr>
              <w:spacing w:after="0"/>
              <w:rPr>
                <w:sz w:val="18"/>
                <w:szCs w:val="18"/>
                <w:color w:val="auto"/>
              </w:rPr>
            </w:pPr>
          </w:p>
        </w:tc>
        <w:tc>
          <w:tcPr>
            <w:tcW w:w="980" w:type="dxa"/>
            <w:vAlign w:val="bottom"/>
          </w:tcPr>
          <w:p>
            <w:pPr>
              <w:jc w:val="right"/>
              <w:ind w:right="690"/>
              <w:spacing w:after="0"/>
              <w:rPr>
                <w:sz w:val="20"/>
                <w:szCs w:val="20"/>
                <w:color w:val="auto"/>
              </w:rPr>
            </w:pPr>
            <w:r>
              <w:rPr>
                <w:rFonts w:ascii="Arial" w:cs="Arial" w:eastAsia="Arial" w:hAnsi="Arial"/>
                <w:sz w:val="18"/>
                <w:szCs w:val="18"/>
                <w:color w:val="auto"/>
                <w:w w:val="89"/>
              </w:rPr>
              <w:t>71</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Remedies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98"/>
              </w:rPr>
              <w:t>Continuing Guarantee</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3500" w:type="dxa"/>
            <w:vAlign w:val="bottom"/>
            <w:gridSpan w:val="9"/>
          </w:tcPr>
          <w:p>
            <w:pPr>
              <w:ind w:left="140"/>
              <w:spacing w:after="0"/>
              <w:rPr>
                <w:sz w:val="20"/>
                <w:szCs w:val="20"/>
                <w:color w:val="auto"/>
              </w:rPr>
            </w:pPr>
            <w:r>
              <w:rPr>
                <w:rFonts w:ascii="Arial" w:cs="Arial" w:eastAsia="Arial" w:hAnsi="Arial"/>
                <w:sz w:val="18"/>
                <w:szCs w:val="18"/>
                <w:color w:val="auto"/>
                <w:w w:val="93"/>
              </w:rPr>
              <w:t>General Limitation on Guarantee Obligations</w:t>
            </w:r>
          </w:p>
        </w:tc>
        <w:tc>
          <w:tcPr>
            <w:tcW w:w="3380" w:type="dxa"/>
            <w:vAlign w:val="bottom"/>
          </w:tcPr>
          <w:p>
            <w:pPr>
              <w:jc w:val="right"/>
              <w:ind w:right="3030"/>
              <w:spacing w:after="0"/>
              <w:rPr>
                <w:sz w:val="20"/>
                <w:szCs w:val="20"/>
                <w:color w:val="auto"/>
              </w:rPr>
            </w:pPr>
            <w:r>
              <w:rPr>
                <w:rFonts w:ascii="Arial" w:cs="Arial" w:eastAsia="Arial" w:hAnsi="Arial"/>
                <w:sz w:val="18"/>
                <w:szCs w:val="18"/>
                <w:color w:val="auto"/>
              </w:rPr>
              <w:t>71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96"/>
              </w:rPr>
              <w:t>Release of Guarantors</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71</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Keepwell</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72</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6.10.</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5"/>
              </w:rPr>
              <w:t>Right of Contribution</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8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510"/>
              <w:spacing w:after="0"/>
              <w:rPr>
                <w:sz w:val="20"/>
                <w:szCs w:val="20"/>
                <w:color w:val="auto"/>
              </w:rPr>
            </w:pPr>
            <w:r>
              <w:rPr>
                <w:rFonts w:ascii="Arial" w:cs="Arial" w:eastAsia="Arial" w:hAnsi="Arial"/>
                <w:sz w:val="18"/>
                <w:szCs w:val="18"/>
                <w:color w:val="auto"/>
              </w:rPr>
              <w:t>ARTICLE VII.</w:t>
            </w: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0" w:type="dxa"/>
            <w:vAlign w:val="bottom"/>
            <w:gridSpan w:val="2"/>
          </w:tcPr>
          <w:p>
            <w:pPr>
              <w:jc w:val="center"/>
              <w:ind w:right="1250"/>
              <w:spacing w:after="0"/>
              <w:rPr>
                <w:sz w:val="20"/>
                <w:szCs w:val="20"/>
                <w:color w:val="auto"/>
              </w:rPr>
            </w:pPr>
            <w:r>
              <w:rPr>
                <w:rFonts w:ascii="Arial" w:cs="Arial" w:eastAsia="Arial" w:hAnsi="Arial"/>
                <w:sz w:val="18"/>
                <w:szCs w:val="18"/>
                <w:color w:val="auto"/>
                <w:w w:val="95"/>
              </w:rPr>
              <w:t>CONDITIONS PRECEDENT</w:t>
            </w:r>
          </w:p>
        </w:tc>
      </w:tr>
      <w:tr>
        <w:trPr>
          <w:trHeight w:val="432"/>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3280" w:type="dxa"/>
            <w:vAlign w:val="bottom"/>
            <w:gridSpan w:val="8"/>
          </w:tcPr>
          <w:p>
            <w:pPr>
              <w:ind w:left="140"/>
              <w:spacing w:after="0"/>
              <w:rPr>
                <w:sz w:val="20"/>
                <w:szCs w:val="20"/>
                <w:color w:val="auto"/>
              </w:rPr>
            </w:pPr>
            <w:r>
              <w:rPr>
                <w:rFonts w:ascii="Arial" w:cs="Arial" w:eastAsia="Arial" w:hAnsi="Arial"/>
                <w:sz w:val="18"/>
                <w:szCs w:val="18"/>
                <w:color w:val="auto"/>
                <w:w w:val="98"/>
              </w:rPr>
              <w:t>Conditions to Initial Extensions of Credit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72</w:t>
            </w:r>
          </w:p>
        </w:tc>
        <w:tc>
          <w:tcPr>
            <w:tcW w:w="338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380" w:type="dxa"/>
            <w:vAlign w:val="bottom"/>
          </w:tcPr>
          <w:p>
            <w:pPr>
              <w:jc w:val="center"/>
              <w:ind w:right="1510"/>
              <w:spacing w:after="0"/>
              <w:rPr>
                <w:sz w:val="20"/>
                <w:szCs w:val="20"/>
                <w:color w:val="auto"/>
              </w:rPr>
            </w:pPr>
            <w:r>
              <w:rPr>
                <w:rFonts w:ascii="Arial" w:cs="Arial" w:eastAsia="Arial" w:hAnsi="Arial"/>
                <w:sz w:val="18"/>
                <w:szCs w:val="18"/>
                <w:color w:val="auto"/>
              </w:rPr>
              <w:t>ARTICLE VIII.</w:t>
            </w:r>
          </w:p>
        </w:tc>
      </w:tr>
      <w:tr>
        <w:trPr>
          <w:trHeight w:val="432"/>
        </w:trPr>
        <w:tc>
          <w:tcPr>
            <w:tcW w:w="1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580" w:type="dxa"/>
            <w:vAlign w:val="bottom"/>
            <w:gridSpan w:val="3"/>
          </w:tcPr>
          <w:p>
            <w:pPr>
              <w:jc w:val="center"/>
              <w:ind w:right="250"/>
              <w:spacing w:after="0"/>
              <w:rPr>
                <w:sz w:val="20"/>
                <w:szCs w:val="20"/>
                <w:color w:val="auto"/>
              </w:rPr>
            </w:pPr>
            <w:r>
              <w:rPr>
                <w:rFonts w:ascii="Arial" w:cs="Arial" w:eastAsia="Arial" w:hAnsi="Arial"/>
                <w:sz w:val="18"/>
                <w:szCs w:val="18"/>
                <w:color w:val="auto"/>
                <w:w w:val="95"/>
              </w:rPr>
              <w:t>REPRESENTATIONS AND WARRANTIES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3500" w:type="dxa"/>
            <w:vAlign w:val="bottom"/>
            <w:gridSpan w:val="9"/>
          </w:tcPr>
          <w:p>
            <w:pPr>
              <w:ind w:left="140"/>
              <w:spacing w:after="0"/>
              <w:rPr>
                <w:sz w:val="20"/>
                <w:szCs w:val="20"/>
                <w:color w:val="auto"/>
              </w:rPr>
            </w:pPr>
            <w:r>
              <w:rPr>
                <w:rFonts w:ascii="Arial" w:cs="Arial" w:eastAsia="Arial" w:hAnsi="Arial"/>
                <w:sz w:val="18"/>
                <w:szCs w:val="18"/>
                <w:color w:val="auto"/>
                <w:w w:val="95"/>
              </w:rPr>
              <w:t>Corporate Existence; Compliance with Law.</w:t>
            </w:r>
          </w:p>
        </w:tc>
        <w:tc>
          <w:tcPr>
            <w:tcW w:w="3380" w:type="dxa"/>
            <w:vAlign w:val="bottom"/>
          </w:tcPr>
          <w:p>
            <w:pPr>
              <w:jc w:val="right"/>
              <w:ind w:right="3090"/>
              <w:spacing w:after="0"/>
              <w:rPr>
                <w:sz w:val="20"/>
                <w:szCs w:val="20"/>
                <w:color w:val="auto"/>
              </w:rPr>
            </w:pPr>
            <w:r>
              <w:rPr>
                <w:rFonts w:ascii="Arial" w:cs="Arial" w:eastAsia="Arial" w:hAnsi="Arial"/>
                <w:sz w:val="18"/>
                <w:szCs w:val="18"/>
                <w:color w:val="auto"/>
                <w:w w:val="89"/>
              </w:rPr>
              <w:t>75</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93"/>
              </w:rPr>
              <w:t>Material Adverse Effect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8.03.</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Litigation</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96"/>
              </w:rPr>
              <w:t>No Breach; No Default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75</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8.05.</w:t>
            </w:r>
          </w:p>
        </w:tc>
        <w:tc>
          <w:tcPr>
            <w:tcW w:w="700" w:type="dxa"/>
            <w:vAlign w:val="bottom"/>
          </w:tcPr>
          <w:p>
            <w:pPr>
              <w:ind w:left="140"/>
              <w:spacing w:after="0"/>
              <w:rPr>
                <w:sz w:val="20"/>
                <w:szCs w:val="20"/>
                <w:color w:val="auto"/>
              </w:rPr>
            </w:pPr>
            <w:r>
              <w:rPr>
                <w:rFonts w:ascii="Arial" w:cs="Arial" w:eastAsia="Arial" w:hAnsi="Arial"/>
                <w:sz w:val="18"/>
                <w:szCs w:val="18"/>
                <w:color w:val="auto"/>
              </w:rPr>
              <w:t>Action</w:t>
            </w:r>
          </w:p>
        </w:tc>
        <w:tc>
          <w:tcPr>
            <w:tcW w:w="620" w:type="dxa"/>
            <w:vAlign w:val="bottom"/>
            <w:gridSpan w:val="2"/>
          </w:tcPr>
          <w:p>
            <w:pPr>
              <w:jc w:val="right"/>
              <w:ind w:right="250"/>
              <w:spacing w:after="0"/>
              <w:rPr>
                <w:sz w:val="20"/>
                <w:szCs w:val="20"/>
                <w:color w:val="auto"/>
              </w:rPr>
            </w:pPr>
            <w:r>
              <w:rPr>
                <w:rFonts w:ascii="Arial" w:cs="Arial" w:eastAsia="Arial" w:hAnsi="Arial"/>
                <w:sz w:val="18"/>
                <w:szCs w:val="18"/>
                <w:color w:val="auto"/>
              </w:rPr>
              <w:t>75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8.06.</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7"/>
              </w:rPr>
              <w:t>Approvals</w:t>
            </w: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8.07.</w:t>
            </w:r>
          </w:p>
        </w:tc>
        <w:tc>
          <w:tcPr>
            <w:tcW w:w="3280" w:type="dxa"/>
            <w:vAlign w:val="bottom"/>
            <w:gridSpan w:val="8"/>
          </w:tcPr>
          <w:p>
            <w:pPr>
              <w:ind w:left="140"/>
              <w:spacing w:after="0"/>
              <w:rPr>
                <w:sz w:val="20"/>
                <w:szCs w:val="20"/>
                <w:color w:val="auto"/>
              </w:rPr>
            </w:pPr>
            <w:r>
              <w:rPr>
                <w:rFonts w:ascii="Arial" w:cs="Arial" w:eastAsia="Arial" w:hAnsi="Arial"/>
                <w:sz w:val="18"/>
                <w:szCs w:val="18"/>
                <w:color w:val="auto"/>
                <w:w w:val="91"/>
              </w:rPr>
              <w:t>ERISA and Employee Benefit Plan Matters</w:t>
            </w:r>
          </w:p>
        </w:tc>
        <w:tc>
          <w:tcPr>
            <w:tcW w:w="3600" w:type="dxa"/>
            <w:vAlign w:val="bottom"/>
            <w:gridSpan w:val="2"/>
          </w:tcPr>
          <w:p>
            <w:pPr>
              <w:jc w:val="right"/>
              <w:ind w:right="3150"/>
              <w:spacing w:after="0"/>
              <w:rPr>
                <w:sz w:val="20"/>
                <w:szCs w:val="20"/>
                <w:color w:val="auto"/>
              </w:rPr>
            </w:pPr>
            <w:r>
              <w:rPr>
                <w:rFonts w:ascii="Arial" w:cs="Arial" w:eastAsia="Arial" w:hAnsi="Arial"/>
                <w:sz w:val="18"/>
                <w:szCs w:val="18"/>
                <w:color w:val="auto"/>
              </w:rPr>
              <w:t>76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8.08.</w:t>
            </w:r>
          </w:p>
        </w:tc>
        <w:tc>
          <w:tcPr>
            <w:tcW w:w="700" w:type="dxa"/>
            <w:vAlign w:val="bottom"/>
          </w:tcPr>
          <w:p>
            <w:pPr>
              <w:ind w:left="140"/>
              <w:spacing w:after="0"/>
              <w:rPr>
                <w:sz w:val="20"/>
                <w:szCs w:val="20"/>
                <w:color w:val="auto"/>
              </w:rPr>
            </w:pPr>
            <w:r>
              <w:rPr>
                <w:rFonts w:ascii="Arial" w:cs="Arial" w:eastAsia="Arial" w:hAnsi="Arial"/>
                <w:sz w:val="18"/>
                <w:szCs w:val="18"/>
                <w:color w:val="auto"/>
              </w:rPr>
              <w:t>Taxes</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76</w:t>
            </w: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8.09.</w:t>
            </w:r>
          </w:p>
        </w:tc>
        <w:tc>
          <w:tcPr>
            <w:tcW w:w="2160" w:type="dxa"/>
            <w:vAlign w:val="bottom"/>
            <w:gridSpan w:val="6"/>
          </w:tcPr>
          <w:p>
            <w:pPr>
              <w:ind w:left="140"/>
              <w:spacing w:after="0"/>
              <w:rPr>
                <w:sz w:val="20"/>
                <w:szCs w:val="20"/>
                <w:color w:val="auto"/>
              </w:rPr>
            </w:pPr>
            <w:r>
              <w:rPr>
                <w:rFonts w:ascii="Arial" w:cs="Arial" w:eastAsia="Arial" w:hAnsi="Arial"/>
                <w:sz w:val="18"/>
                <w:szCs w:val="18"/>
                <w:color w:val="auto"/>
                <w:w w:val="99"/>
              </w:rPr>
              <w:t>Investment Company Act</w:t>
            </w:r>
          </w:p>
        </w:tc>
        <w:tc>
          <w:tcPr>
            <w:tcW w:w="1120" w:type="dxa"/>
            <w:vAlign w:val="bottom"/>
            <w:gridSpan w:val="2"/>
          </w:tcPr>
          <w:p>
            <w:pPr>
              <w:jc w:val="right"/>
              <w:ind w:right="850"/>
              <w:spacing w:after="0"/>
              <w:rPr>
                <w:sz w:val="20"/>
                <w:szCs w:val="20"/>
                <w:color w:val="auto"/>
              </w:rPr>
            </w:pPr>
            <w:r>
              <w:rPr>
                <w:rFonts w:ascii="Arial" w:cs="Arial" w:eastAsia="Arial" w:hAnsi="Arial"/>
                <w:sz w:val="18"/>
                <w:szCs w:val="18"/>
                <w:color w:val="auto"/>
                <w:w w:val="79"/>
              </w:rPr>
              <w:t>76</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8.10.</w:t>
            </w:r>
          </w:p>
        </w:tc>
        <w:tc>
          <w:tcPr>
            <w:tcW w:w="1900" w:type="dxa"/>
            <w:vAlign w:val="bottom"/>
            <w:gridSpan w:val="5"/>
          </w:tcPr>
          <w:p>
            <w:pPr>
              <w:ind w:left="140"/>
              <w:spacing w:after="0"/>
              <w:rPr>
                <w:sz w:val="20"/>
                <w:szCs w:val="20"/>
                <w:color w:val="auto"/>
              </w:rPr>
            </w:pPr>
            <w:r>
              <w:rPr>
                <w:rFonts w:ascii="Arial" w:cs="Arial" w:eastAsia="Arial" w:hAnsi="Arial"/>
                <w:sz w:val="18"/>
                <w:szCs w:val="18"/>
                <w:color w:val="auto"/>
                <w:w w:val="96"/>
              </w:rPr>
              <w:t>Environmental Matters</w:t>
            </w:r>
          </w:p>
        </w:tc>
        <w:tc>
          <w:tcPr>
            <w:tcW w:w="26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8.11.</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87"/>
              </w:rPr>
              <w:t>Use of Proceeds</w:t>
            </w:r>
          </w:p>
        </w:tc>
        <w:tc>
          <w:tcPr>
            <w:tcW w:w="40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8.12.</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rPr>
              <w:t>Subsidiaries  77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8.13.</w:t>
            </w:r>
          </w:p>
        </w:tc>
        <w:tc>
          <w:tcPr>
            <w:tcW w:w="2300" w:type="dxa"/>
            <w:vAlign w:val="bottom"/>
            <w:gridSpan w:val="7"/>
          </w:tcPr>
          <w:p>
            <w:pPr>
              <w:ind w:left="140"/>
              <w:spacing w:after="0"/>
              <w:rPr>
                <w:sz w:val="20"/>
                <w:szCs w:val="20"/>
                <w:color w:val="auto"/>
              </w:rPr>
            </w:pPr>
            <w:r>
              <w:rPr>
                <w:rFonts w:ascii="Arial" w:cs="Arial" w:eastAsia="Arial" w:hAnsi="Arial"/>
                <w:sz w:val="18"/>
                <w:szCs w:val="18"/>
                <w:color w:val="auto"/>
                <w:w w:val="92"/>
              </w:rPr>
              <w:t>Ownership of Property; Liens</w:t>
            </w:r>
          </w:p>
        </w:tc>
        <w:tc>
          <w:tcPr>
            <w:tcW w:w="980" w:type="dxa"/>
            <w:vAlign w:val="bottom"/>
          </w:tcPr>
          <w:p>
            <w:pPr>
              <w:jc w:val="right"/>
              <w:ind w:right="550"/>
              <w:spacing w:after="0"/>
              <w:rPr>
                <w:sz w:val="20"/>
                <w:szCs w:val="20"/>
                <w:color w:val="auto"/>
              </w:rPr>
            </w:pPr>
            <w:r>
              <w:rPr>
                <w:rFonts w:ascii="Arial" w:cs="Arial" w:eastAsia="Arial" w:hAnsi="Arial"/>
                <w:sz w:val="18"/>
                <w:szCs w:val="18"/>
                <w:color w:val="auto"/>
              </w:rPr>
              <w:t>77</w:t>
            </w:r>
          </w:p>
        </w:tc>
        <w:tc>
          <w:tcPr>
            <w:tcW w:w="22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8.14.</w:t>
            </w:r>
          </w:p>
        </w:tc>
        <w:tc>
          <w:tcPr>
            <w:tcW w:w="6880" w:type="dxa"/>
            <w:vAlign w:val="bottom"/>
            <w:gridSpan w:val="10"/>
          </w:tcPr>
          <w:p>
            <w:pPr>
              <w:ind w:left="140"/>
              <w:spacing w:after="0"/>
              <w:rPr>
                <w:sz w:val="20"/>
                <w:szCs w:val="20"/>
                <w:color w:val="auto"/>
              </w:rPr>
            </w:pPr>
            <w:r>
              <w:rPr>
                <w:rFonts w:ascii="Arial" w:cs="Arial" w:eastAsia="Arial" w:hAnsi="Arial"/>
                <w:sz w:val="18"/>
                <w:szCs w:val="18"/>
                <w:color w:val="auto"/>
              </w:rPr>
              <w:t>Security Interest; Absence of Financing Statements; Etc.  77</w:t>
            </w:r>
          </w:p>
        </w:tc>
      </w:tr>
    </w:tbl>
    <w:p>
      <w:pPr>
        <w:sectPr>
          <w:pgSz w:w="11900" w:h="16838" w:orient="portrait"/>
          <w:cols w:equalWidth="0" w:num="1">
            <w:col w:w="10219"/>
          </w:cols>
          <w:pgMar w:left="240" w:top="125" w:right="1440" w:bottom="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8.15.</w:t>
            </w:r>
          </w:p>
        </w:tc>
        <w:tc>
          <w:tcPr>
            <w:tcW w:w="1660" w:type="dxa"/>
            <w:vAlign w:val="bottom"/>
            <w:gridSpan w:val="5"/>
          </w:tcPr>
          <w:p>
            <w:pPr>
              <w:ind w:left="80"/>
              <w:spacing w:after="0"/>
              <w:rPr>
                <w:sz w:val="20"/>
                <w:szCs w:val="20"/>
                <w:color w:val="auto"/>
              </w:rPr>
            </w:pPr>
            <w:r>
              <w:rPr>
                <w:rFonts w:ascii="Arial" w:cs="Arial" w:eastAsia="Arial" w:hAnsi="Arial"/>
                <w:sz w:val="18"/>
                <w:szCs w:val="18"/>
                <w:color w:val="auto"/>
                <w:w w:val="90"/>
              </w:rPr>
              <w:t>Licenses and Permits</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8.16.</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7"/>
              </w:rPr>
              <w:t>Disclosure</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8.17.</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Solvency</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8.18.</w:t>
            </w:r>
          </w:p>
        </w:tc>
        <w:tc>
          <w:tcPr>
            <w:tcW w:w="1660" w:type="dxa"/>
            <w:vAlign w:val="bottom"/>
            <w:gridSpan w:val="5"/>
          </w:tcPr>
          <w:p>
            <w:pPr>
              <w:ind w:left="80"/>
              <w:spacing w:after="0"/>
              <w:rPr>
                <w:sz w:val="20"/>
                <w:szCs w:val="20"/>
                <w:color w:val="auto"/>
              </w:rPr>
            </w:pPr>
            <w:r>
              <w:rPr>
                <w:rFonts w:ascii="Arial" w:cs="Arial" w:eastAsia="Arial" w:hAnsi="Arial"/>
                <w:sz w:val="18"/>
                <w:szCs w:val="18"/>
                <w:color w:val="auto"/>
                <w:w w:val="98"/>
              </w:rPr>
              <w:t>Intellectual Property</w:t>
            </w:r>
          </w:p>
        </w:tc>
        <w:tc>
          <w:tcPr>
            <w:tcW w:w="280" w:type="dxa"/>
            <w:vAlign w:val="bottom"/>
          </w:tcPr>
          <w:p>
            <w:pPr>
              <w:ind w:left="80"/>
              <w:spacing w:after="0"/>
              <w:rPr>
                <w:sz w:val="20"/>
                <w:szCs w:val="20"/>
                <w:color w:val="auto"/>
              </w:rPr>
            </w:pPr>
            <w:r>
              <w:rPr>
                <w:rFonts w:ascii="Arial" w:cs="Arial" w:eastAsia="Arial" w:hAnsi="Arial"/>
                <w:sz w:val="18"/>
                <w:szCs w:val="18"/>
                <w:color w:val="auto"/>
                <w:w w:val="89"/>
              </w:rPr>
              <w:t>78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8.19.</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89"/>
              </w:rPr>
              <w:t>[Reserved].</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Insurance</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78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8.21.</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4"/>
              </w:rPr>
              <w:t>[Reserved]</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8.22.</w:t>
            </w:r>
          </w:p>
        </w:tc>
        <w:tc>
          <w:tcPr>
            <w:tcW w:w="1660" w:type="dxa"/>
            <w:vAlign w:val="bottom"/>
            <w:gridSpan w:val="5"/>
          </w:tcPr>
          <w:p>
            <w:pPr>
              <w:ind w:left="80"/>
              <w:spacing w:after="0"/>
              <w:rPr>
                <w:sz w:val="20"/>
                <w:szCs w:val="20"/>
                <w:color w:val="auto"/>
              </w:rPr>
            </w:pPr>
            <w:r>
              <w:rPr>
                <w:rFonts w:ascii="Arial" w:cs="Arial" w:eastAsia="Arial" w:hAnsi="Arial"/>
                <w:sz w:val="18"/>
                <w:szCs w:val="18"/>
                <w:color w:val="auto"/>
              </w:rPr>
              <w:t>Anti-Terrorism Law</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8.23.</w:t>
            </w:r>
          </w:p>
        </w:tc>
        <w:tc>
          <w:tcPr>
            <w:tcW w:w="2460" w:type="dxa"/>
            <w:vAlign w:val="bottom"/>
            <w:gridSpan w:val="8"/>
          </w:tcPr>
          <w:p>
            <w:pPr>
              <w:ind w:left="80"/>
              <w:spacing w:after="0"/>
              <w:rPr>
                <w:sz w:val="20"/>
                <w:szCs w:val="20"/>
                <w:color w:val="auto"/>
              </w:rPr>
            </w:pPr>
            <w:r>
              <w:rPr>
                <w:rFonts w:ascii="Arial" w:cs="Arial" w:eastAsia="Arial" w:hAnsi="Arial"/>
                <w:sz w:val="18"/>
                <w:szCs w:val="18"/>
                <w:color w:val="auto"/>
              </w:rPr>
              <w:t>Anti-Corruption Laws/Bribery</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79</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8.24.</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5"/>
              </w:rPr>
              <w:t>Labor Matters</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79</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70"/>
              <w:spacing w:after="0"/>
              <w:rPr>
                <w:sz w:val="20"/>
                <w:szCs w:val="20"/>
                <w:color w:val="auto"/>
              </w:rPr>
            </w:pPr>
            <w:r>
              <w:rPr>
                <w:rFonts w:ascii="Arial" w:cs="Arial" w:eastAsia="Arial" w:hAnsi="Arial"/>
                <w:sz w:val="18"/>
                <w:szCs w:val="18"/>
                <w:color w:val="auto"/>
                <w:w w:val="98"/>
              </w:rPr>
              <w:t>ARTICLE IX.</w:t>
            </w: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3"/>
          </w:tcPr>
          <w:p>
            <w:pPr>
              <w:jc w:val="center"/>
              <w:ind w:left="190"/>
              <w:spacing w:after="0"/>
              <w:rPr>
                <w:sz w:val="20"/>
                <w:szCs w:val="20"/>
                <w:color w:val="auto"/>
              </w:rPr>
            </w:pPr>
            <w:r>
              <w:rPr>
                <w:rFonts w:ascii="Arial" w:cs="Arial" w:eastAsia="Arial" w:hAnsi="Arial"/>
                <w:sz w:val="18"/>
                <w:szCs w:val="18"/>
                <w:color w:val="auto"/>
                <w:w w:val="98"/>
              </w:rPr>
              <w:t>AFFIRMATIVE COVENANTS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2460" w:type="dxa"/>
            <w:vAlign w:val="bottom"/>
            <w:gridSpan w:val="8"/>
          </w:tcPr>
          <w:p>
            <w:pPr>
              <w:ind w:left="80"/>
              <w:spacing w:after="0"/>
              <w:rPr>
                <w:sz w:val="20"/>
                <w:szCs w:val="20"/>
                <w:color w:val="auto"/>
              </w:rPr>
            </w:pPr>
            <w:r>
              <w:rPr>
                <w:rFonts w:ascii="Arial" w:cs="Arial" w:eastAsia="Arial" w:hAnsi="Arial"/>
                <w:sz w:val="18"/>
                <w:szCs w:val="18"/>
                <w:color w:val="auto"/>
                <w:w w:val="95"/>
              </w:rPr>
              <w:t>Existence; Business Properties</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80</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Insurance</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80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660" w:type="dxa"/>
            <w:vAlign w:val="bottom"/>
          </w:tcPr>
          <w:p>
            <w:pPr>
              <w:ind w:left="8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80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2140" w:type="dxa"/>
            <w:vAlign w:val="bottom"/>
            <w:gridSpan w:val="7"/>
          </w:tcPr>
          <w:p>
            <w:pPr>
              <w:ind w:left="80"/>
              <w:spacing w:after="0"/>
              <w:rPr>
                <w:sz w:val="20"/>
                <w:szCs w:val="20"/>
                <w:color w:val="auto"/>
              </w:rPr>
            </w:pPr>
            <w:r>
              <w:rPr>
                <w:rFonts w:ascii="Arial" w:cs="Arial" w:eastAsia="Arial" w:hAnsi="Arial"/>
                <w:sz w:val="18"/>
                <w:szCs w:val="18"/>
                <w:color w:val="auto"/>
                <w:w w:val="97"/>
              </w:rPr>
              <w:t>Financial Statements, Etc.</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79"/>
              </w:rPr>
              <w:t>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5520" w:type="dxa"/>
            <w:vAlign w:val="bottom"/>
            <w:gridSpan w:val="13"/>
          </w:tcPr>
          <w:p>
            <w:pPr>
              <w:ind w:left="80"/>
              <w:spacing w:after="0"/>
              <w:rPr>
                <w:sz w:val="20"/>
                <w:szCs w:val="20"/>
                <w:color w:val="auto"/>
              </w:rPr>
            </w:pPr>
            <w:r>
              <w:rPr>
                <w:rFonts w:ascii="Arial" w:cs="Arial" w:eastAsia="Arial" w:hAnsi="Arial"/>
                <w:sz w:val="18"/>
                <w:szCs w:val="18"/>
                <w:color w:val="auto"/>
              </w:rPr>
              <w:t>Maintaining Records; Access to Properties and Inspections  83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9.06.</w:t>
            </w:r>
          </w:p>
        </w:tc>
        <w:tc>
          <w:tcPr>
            <w:tcW w:w="1940" w:type="dxa"/>
            <w:vAlign w:val="bottom"/>
            <w:gridSpan w:val="6"/>
          </w:tcPr>
          <w:p>
            <w:pPr>
              <w:ind w:left="80"/>
              <w:spacing w:after="0"/>
              <w:rPr>
                <w:sz w:val="20"/>
                <w:szCs w:val="20"/>
                <w:color w:val="auto"/>
              </w:rPr>
            </w:pPr>
            <w:r>
              <w:rPr>
                <w:rFonts w:ascii="Arial" w:cs="Arial" w:eastAsia="Arial" w:hAnsi="Arial"/>
                <w:sz w:val="18"/>
                <w:szCs w:val="18"/>
                <w:color w:val="auto"/>
                <w:w w:val="96"/>
              </w:rPr>
              <w:t>Use of Proceeds; FCPA</w:t>
            </w:r>
          </w:p>
        </w:tc>
        <w:tc>
          <w:tcPr>
            <w:tcW w:w="200" w:type="dxa"/>
            <w:vAlign w:val="bottom"/>
          </w:tcPr>
          <w:p>
            <w:pPr>
              <w:spacing w:after="0"/>
              <w:rPr>
                <w:sz w:val="20"/>
                <w:szCs w:val="20"/>
                <w:color w:val="auto"/>
              </w:rPr>
            </w:pPr>
            <w:r>
              <w:rPr>
                <w:rFonts w:ascii="Arial" w:cs="Arial" w:eastAsia="Arial" w:hAnsi="Arial"/>
                <w:sz w:val="18"/>
                <w:szCs w:val="18"/>
                <w:color w:val="auto"/>
                <w:w w:val="89"/>
              </w:rPr>
              <w:t>83</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9.07.</w:t>
            </w:r>
          </w:p>
        </w:tc>
        <w:tc>
          <w:tcPr>
            <w:tcW w:w="2920" w:type="dxa"/>
            <w:vAlign w:val="bottom"/>
            <w:gridSpan w:val="10"/>
          </w:tcPr>
          <w:p>
            <w:pPr>
              <w:ind w:left="80"/>
              <w:spacing w:after="0"/>
              <w:rPr>
                <w:sz w:val="20"/>
                <w:szCs w:val="20"/>
                <w:color w:val="auto"/>
              </w:rPr>
            </w:pPr>
            <w:r>
              <w:rPr>
                <w:rFonts w:ascii="Arial" w:cs="Arial" w:eastAsia="Arial" w:hAnsi="Arial"/>
                <w:sz w:val="18"/>
                <w:szCs w:val="18"/>
                <w:color w:val="auto"/>
                <w:w w:val="97"/>
              </w:rPr>
              <w:t>Compliance with Environmental Law</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9.08.</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4"/>
              </w:rPr>
              <w:t>[Reserved]</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9.09.</w:t>
            </w:r>
          </w:p>
        </w:tc>
        <w:tc>
          <w:tcPr>
            <w:tcW w:w="2920" w:type="dxa"/>
            <w:vAlign w:val="bottom"/>
            <w:gridSpan w:val="10"/>
          </w:tcPr>
          <w:p>
            <w:pPr>
              <w:ind w:left="80"/>
              <w:spacing w:after="0"/>
              <w:rPr>
                <w:sz w:val="20"/>
                <w:szCs w:val="20"/>
                <w:color w:val="auto"/>
              </w:rPr>
            </w:pPr>
            <w:r>
              <w:rPr>
                <w:rFonts w:ascii="Arial" w:cs="Arial" w:eastAsia="Arial" w:hAnsi="Arial"/>
                <w:sz w:val="18"/>
                <w:szCs w:val="18"/>
                <w:color w:val="auto"/>
                <w:w w:val="92"/>
              </w:rPr>
              <w:t>Security Interests; Further Assurances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84</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4"/>
              </w:rPr>
              <w:t>[Reserved]</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9.11.</w:t>
            </w:r>
          </w:p>
        </w:tc>
        <w:tc>
          <w:tcPr>
            <w:tcW w:w="1940" w:type="dxa"/>
            <w:vAlign w:val="bottom"/>
            <w:gridSpan w:val="6"/>
          </w:tcPr>
          <w:p>
            <w:pPr>
              <w:ind w:left="80"/>
              <w:spacing w:after="0"/>
              <w:rPr>
                <w:sz w:val="20"/>
                <w:szCs w:val="20"/>
                <w:color w:val="auto"/>
              </w:rPr>
            </w:pPr>
            <w:r>
              <w:rPr>
                <w:rFonts w:ascii="Arial" w:cs="Arial" w:eastAsia="Arial" w:hAnsi="Arial"/>
                <w:sz w:val="18"/>
                <w:szCs w:val="18"/>
                <w:color w:val="auto"/>
                <w:w w:val="95"/>
              </w:rPr>
              <w:t>Additional Credit Parties</w:t>
            </w:r>
          </w:p>
        </w:tc>
        <w:tc>
          <w:tcPr>
            <w:tcW w:w="520" w:type="dxa"/>
            <w:vAlign w:val="bottom"/>
            <w:gridSpan w:val="2"/>
          </w:tcPr>
          <w:p>
            <w:pPr>
              <w:jc w:val="right"/>
              <w:ind w:right="13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9.12.</w:t>
            </w:r>
          </w:p>
        </w:tc>
        <w:tc>
          <w:tcPr>
            <w:tcW w:w="660" w:type="dxa"/>
            <w:vAlign w:val="bottom"/>
          </w:tcPr>
          <w:p>
            <w:pPr>
              <w:ind w:left="80"/>
              <w:spacing w:after="0"/>
              <w:rPr>
                <w:sz w:val="20"/>
                <w:szCs w:val="20"/>
                <w:color w:val="auto"/>
              </w:rPr>
            </w:pPr>
            <w:r>
              <w:rPr>
                <w:rFonts w:ascii="Arial" w:cs="Arial" w:eastAsia="Arial" w:hAnsi="Arial"/>
                <w:sz w:val="18"/>
                <w:szCs w:val="18"/>
                <w:color w:val="auto"/>
                <w:w w:val="91"/>
              </w:rPr>
              <w:t>Ratings</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70"/>
              <w:spacing w:after="0"/>
              <w:rPr>
                <w:sz w:val="20"/>
                <w:szCs w:val="20"/>
                <w:color w:val="auto"/>
              </w:rPr>
            </w:pPr>
            <w:r>
              <w:rPr>
                <w:rFonts w:ascii="Arial" w:cs="Arial" w:eastAsia="Arial" w:hAnsi="Arial"/>
                <w:sz w:val="18"/>
                <w:szCs w:val="18"/>
                <w:color w:val="auto"/>
                <w:w w:val="99"/>
              </w:rPr>
              <w:t>ARTICLE X.</w:t>
            </w: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30"/>
              <w:spacing w:after="0"/>
              <w:rPr>
                <w:sz w:val="20"/>
                <w:szCs w:val="20"/>
                <w:color w:val="auto"/>
              </w:rPr>
            </w:pPr>
            <w:r>
              <w:rPr>
                <w:rFonts w:ascii="Arial" w:cs="Arial" w:eastAsia="Arial" w:hAnsi="Arial"/>
                <w:sz w:val="18"/>
                <w:szCs w:val="18"/>
                <w:color w:val="auto"/>
                <w:w w:val="97"/>
              </w:rPr>
              <w:t>NEGATIVE COVENANTS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10.01.</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8"/>
              </w:rPr>
              <w:t>Indebtedness</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85</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10.02.</w:t>
            </w:r>
          </w:p>
        </w:tc>
        <w:tc>
          <w:tcPr>
            <w:tcW w:w="660" w:type="dxa"/>
            <w:vAlign w:val="bottom"/>
          </w:tcPr>
          <w:p>
            <w:pPr>
              <w:ind w:left="80"/>
              <w:spacing w:after="0"/>
              <w:rPr>
                <w:sz w:val="20"/>
                <w:szCs w:val="20"/>
                <w:color w:val="auto"/>
              </w:rPr>
            </w:pPr>
            <w:r>
              <w:rPr>
                <w:rFonts w:ascii="Arial" w:cs="Arial" w:eastAsia="Arial" w:hAnsi="Arial"/>
                <w:sz w:val="18"/>
                <w:szCs w:val="18"/>
                <w:color w:val="auto"/>
              </w:rPr>
              <w:t>Liens</w:t>
            </w:r>
          </w:p>
        </w:tc>
        <w:tc>
          <w:tcPr>
            <w:tcW w:w="260" w:type="dxa"/>
            <w:vAlign w:val="bottom"/>
          </w:tcPr>
          <w:p>
            <w:pPr>
              <w:jc w:val="right"/>
              <w:spacing w:after="0"/>
              <w:rPr>
                <w:sz w:val="20"/>
                <w:szCs w:val="20"/>
                <w:color w:val="auto"/>
              </w:rPr>
            </w:pPr>
            <w:r>
              <w:rPr>
                <w:rFonts w:ascii="Arial" w:cs="Arial" w:eastAsia="Arial" w:hAnsi="Arial"/>
                <w:sz w:val="18"/>
                <w:szCs w:val="18"/>
                <w:color w:val="auto"/>
                <w:w w:val="79"/>
              </w:rPr>
              <w:t>87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10.03.</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Reserved</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90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10.04.</w:t>
            </w:r>
          </w:p>
        </w:tc>
        <w:tc>
          <w:tcPr>
            <w:tcW w:w="2680" w:type="dxa"/>
            <w:vAlign w:val="bottom"/>
            <w:gridSpan w:val="9"/>
          </w:tcPr>
          <w:p>
            <w:pPr>
              <w:ind w:left="80"/>
              <w:spacing w:after="0"/>
              <w:rPr>
                <w:sz w:val="20"/>
                <w:szCs w:val="20"/>
                <w:color w:val="auto"/>
              </w:rPr>
            </w:pPr>
            <w:r>
              <w:rPr>
                <w:rFonts w:ascii="Arial" w:cs="Arial" w:eastAsia="Arial" w:hAnsi="Arial"/>
                <w:sz w:val="18"/>
                <w:szCs w:val="18"/>
                <w:color w:val="auto"/>
                <w:w w:val="93"/>
              </w:rPr>
              <w:t>Investments, Loans and Advances</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90</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10.05.</w:t>
            </w:r>
          </w:p>
        </w:tc>
        <w:tc>
          <w:tcPr>
            <w:tcW w:w="3300" w:type="dxa"/>
            <w:vAlign w:val="bottom"/>
            <w:gridSpan w:val="11"/>
          </w:tcPr>
          <w:p>
            <w:pPr>
              <w:ind w:left="80"/>
              <w:spacing w:after="0"/>
              <w:rPr>
                <w:sz w:val="20"/>
                <w:szCs w:val="20"/>
                <w:color w:val="auto"/>
              </w:rPr>
            </w:pPr>
            <w:r>
              <w:rPr>
                <w:rFonts w:ascii="Arial" w:cs="Arial" w:eastAsia="Arial" w:hAnsi="Arial"/>
                <w:sz w:val="18"/>
                <w:szCs w:val="18"/>
                <w:color w:val="auto"/>
                <w:w w:val="89"/>
              </w:rPr>
              <w:t>Mergers, Consolidations and Sales of Assets</w:t>
            </w:r>
          </w:p>
        </w:tc>
        <w:tc>
          <w:tcPr>
            <w:tcW w:w="940" w:type="dxa"/>
            <w:vAlign w:val="bottom"/>
          </w:tcPr>
          <w:p>
            <w:pPr>
              <w:jc w:val="right"/>
              <w:ind w:right="510"/>
              <w:spacing w:after="0"/>
              <w:rPr>
                <w:sz w:val="20"/>
                <w:szCs w:val="20"/>
                <w:color w:val="auto"/>
              </w:rPr>
            </w:pPr>
            <w:r>
              <w:rPr>
                <w:rFonts w:ascii="Arial" w:cs="Arial" w:eastAsia="Arial" w:hAnsi="Arial"/>
                <w:sz w:val="18"/>
                <w:szCs w:val="18"/>
                <w:color w:val="auto"/>
              </w:rPr>
              <w:t>92</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10.06.</w:t>
            </w:r>
          </w:p>
        </w:tc>
        <w:tc>
          <w:tcPr>
            <w:tcW w:w="1660" w:type="dxa"/>
            <w:vAlign w:val="bottom"/>
            <w:gridSpan w:val="5"/>
          </w:tcPr>
          <w:p>
            <w:pPr>
              <w:ind w:left="80"/>
              <w:spacing w:after="0"/>
              <w:rPr>
                <w:sz w:val="20"/>
                <w:szCs w:val="20"/>
                <w:color w:val="auto"/>
              </w:rPr>
            </w:pPr>
            <w:r>
              <w:rPr>
                <w:rFonts w:ascii="Arial" w:cs="Arial" w:eastAsia="Arial" w:hAnsi="Arial"/>
                <w:sz w:val="18"/>
                <w:szCs w:val="18"/>
                <w:color w:val="auto"/>
                <w:w w:val="93"/>
              </w:rPr>
              <w:t>Restricted Payments</w:t>
            </w:r>
          </w:p>
        </w:tc>
        <w:tc>
          <w:tcPr>
            <w:tcW w:w="280" w:type="dxa"/>
            <w:vAlign w:val="bottom"/>
          </w:tcPr>
          <w:p>
            <w:pPr>
              <w:ind w:left="80"/>
              <w:spacing w:after="0"/>
              <w:rPr>
                <w:sz w:val="20"/>
                <w:szCs w:val="20"/>
                <w:color w:val="auto"/>
              </w:rPr>
            </w:pPr>
            <w:r>
              <w:rPr>
                <w:rFonts w:ascii="Arial" w:cs="Arial" w:eastAsia="Arial" w:hAnsi="Arial"/>
                <w:sz w:val="18"/>
                <w:szCs w:val="18"/>
                <w:color w:val="auto"/>
                <w:w w:val="89"/>
              </w:rPr>
              <w:t>94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10.07.</w:t>
            </w:r>
          </w:p>
        </w:tc>
        <w:tc>
          <w:tcPr>
            <w:tcW w:w="2140" w:type="dxa"/>
            <w:vAlign w:val="bottom"/>
            <w:gridSpan w:val="7"/>
          </w:tcPr>
          <w:p>
            <w:pPr>
              <w:ind w:left="80"/>
              <w:spacing w:after="0"/>
              <w:rPr>
                <w:sz w:val="20"/>
                <w:szCs w:val="20"/>
                <w:color w:val="auto"/>
              </w:rPr>
            </w:pPr>
            <w:r>
              <w:rPr>
                <w:rFonts w:ascii="Arial" w:cs="Arial" w:eastAsia="Arial" w:hAnsi="Arial"/>
                <w:sz w:val="18"/>
                <w:szCs w:val="18"/>
                <w:color w:val="auto"/>
                <w:w w:val="95"/>
              </w:rPr>
              <w:t>Transactions with Affiliates</w:t>
            </w:r>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10.08.</w:t>
            </w:r>
          </w:p>
        </w:tc>
        <w:tc>
          <w:tcPr>
            <w:tcW w:w="4240" w:type="dxa"/>
            <w:vAlign w:val="bottom"/>
            <w:gridSpan w:val="12"/>
          </w:tcPr>
          <w:p>
            <w:pPr>
              <w:ind w:left="80"/>
              <w:spacing w:after="0"/>
              <w:rPr>
                <w:sz w:val="20"/>
                <w:szCs w:val="20"/>
                <w:color w:val="auto"/>
              </w:rPr>
            </w:pPr>
            <w:r>
              <w:rPr>
                <w:rFonts w:ascii="Arial" w:cs="Arial" w:eastAsia="Arial" w:hAnsi="Arial"/>
                <w:sz w:val="18"/>
                <w:szCs w:val="18"/>
                <w:color w:val="auto"/>
                <w:w w:val="92"/>
              </w:rPr>
              <w:t>Management Agreements and IP Licensing Agreements</w:t>
            </w:r>
          </w:p>
        </w:tc>
        <w:tc>
          <w:tcPr>
            <w:tcW w:w="1280" w:type="dxa"/>
            <w:vAlign w:val="bottom"/>
          </w:tcPr>
          <w:p>
            <w:pPr>
              <w:jc w:val="right"/>
              <w:ind w:right="950"/>
              <w:spacing w:after="0"/>
              <w:rPr>
                <w:sz w:val="20"/>
                <w:szCs w:val="20"/>
                <w:color w:val="auto"/>
              </w:rPr>
            </w:pPr>
            <w:r>
              <w:rPr>
                <w:rFonts w:ascii="Arial" w:cs="Arial" w:eastAsia="Arial" w:hAnsi="Arial"/>
                <w:sz w:val="18"/>
                <w:szCs w:val="18"/>
                <w:color w:val="auto"/>
              </w:rPr>
              <w:t>95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10.09.</w:t>
            </w:r>
          </w:p>
        </w:tc>
        <w:tc>
          <w:tcPr>
            <w:tcW w:w="2680" w:type="dxa"/>
            <w:vAlign w:val="bottom"/>
            <w:gridSpan w:val="9"/>
          </w:tcPr>
          <w:p>
            <w:pPr>
              <w:ind w:left="80"/>
              <w:spacing w:after="0"/>
              <w:rPr>
                <w:sz w:val="20"/>
                <w:szCs w:val="20"/>
                <w:color w:val="auto"/>
              </w:rPr>
            </w:pPr>
            <w:r>
              <w:rPr>
                <w:rFonts w:ascii="Arial" w:cs="Arial" w:eastAsia="Arial" w:hAnsi="Arial"/>
                <w:sz w:val="18"/>
                <w:szCs w:val="18"/>
                <w:color w:val="auto"/>
                <w:w w:val="93"/>
              </w:rPr>
              <w:t>Certain Payments of Indebtedness</w:t>
            </w:r>
          </w:p>
        </w:tc>
        <w:tc>
          <w:tcPr>
            <w:tcW w:w="240" w:type="dxa"/>
            <w:vAlign w:val="bottom"/>
          </w:tcPr>
          <w:p>
            <w:pPr>
              <w:jc w:val="right"/>
              <w:spacing w:after="0"/>
              <w:rPr>
                <w:sz w:val="20"/>
                <w:szCs w:val="20"/>
                <w:color w:val="auto"/>
              </w:rPr>
            </w:pPr>
            <w:r>
              <w:rPr>
                <w:rFonts w:ascii="Arial" w:cs="Arial" w:eastAsia="Arial" w:hAnsi="Arial"/>
                <w:sz w:val="18"/>
                <w:szCs w:val="18"/>
                <w:color w:val="auto"/>
                <w:w w:val="99"/>
              </w:rPr>
              <w:t>95</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10.10.</w:t>
            </w:r>
          </w:p>
        </w:tc>
        <w:tc>
          <w:tcPr>
            <w:tcW w:w="4240" w:type="dxa"/>
            <w:vAlign w:val="bottom"/>
            <w:gridSpan w:val="12"/>
          </w:tcPr>
          <w:p>
            <w:pPr>
              <w:ind w:left="80"/>
              <w:spacing w:after="0"/>
              <w:rPr>
                <w:sz w:val="20"/>
                <w:szCs w:val="20"/>
                <w:color w:val="auto"/>
              </w:rPr>
            </w:pPr>
            <w:r>
              <w:rPr>
                <w:rFonts w:ascii="Arial" w:cs="Arial" w:eastAsia="Arial" w:hAnsi="Arial"/>
                <w:sz w:val="18"/>
                <w:szCs w:val="18"/>
                <w:color w:val="auto"/>
                <w:w w:val="93"/>
              </w:rPr>
              <w:t>Limitation on Certain Restrictions Affecting Subsidiaries</w:t>
            </w:r>
          </w:p>
        </w:tc>
        <w:tc>
          <w:tcPr>
            <w:tcW w:w="1280" w:type="dxa"/>
            <w:vAlign w:val="bottom"/>
          </w:tcPr>
          <w:p>
            <w:pPr>
              <w:jc w:val="right"/>
              <w:ind w:right="870"/>
              <w:spacing w:after="0"/>
              <w:rPr>
                <w:sz w:val="20"/>
                <w:szCs w:val="20"/>
                <w:color w:val="auto"/>
              </w:rPr>
            </w:pPr>
            <w:r>
              <w:rPr>
                <w:rFonts w:ascii="Arial" w:cs="Arial" w:eastAsia="Arial" w:hAnsi="Arial"/>
                <w:sz w:val="18"/>
                <w:szCs w:val="18"/>
                <w:color w:val="auto"/>
              </w:rPr>
              <w:t>96</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10.11.</w:t>
            </w:r>
          </w:p>
        </w:tc>
        <w:tc>
          <w:tcPr>
            <w:tcW w:w="2460" w:type="dxa"/>
            <w:vAlign w:val="bottom"/>
            <w:gridSpan w:val="8"/>
          </w:tcPr>
          <w:p>
            <w:pPr>
              <w:ind w:left="80"/>
              <w:spacing w:after="0"/>
              <w:rPr>
                <w:sz w:val="20"/>
                <w:szCs w:val="20"/>
                <w:color w:val="auto"/>
              </w:rPr>
            </w:pPr>
            <w:r>
              <w:rPr>
                <w:rFonts w:ascii="Arial" w:cs="Arial" w:eastAsia="Arial" w:hAnsi="Arial"/>
                <w:sz w:val="18"/>
                <w:szCs w:val="18"/>
                <w:color w:val="auto"/>
                <w:w w:val="95"/>
              </w:rPr>
              <w:t>Limitation on Lines of Business</w:t>
            </w: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97</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10.12.</w:t>
            </w:r>
          </w:p>
        </w:tc>
        <w:tc>
          <w:tcPr>
            <w:tcW w:w="2920" w:type="dxa"/>
            <w:vAlign w:val="bottom"/>
            <w:gridSpan w:val="10"/>
          </w:tcPr>
          <w:p>
            <w:pPr>
              <w:ind w:left="80"/>
              <w:spacing w:after="0"/>
              <w:rPr>
                <w:sz w:val="20"/>
                <w:szCs w:val="20"/>
                <w:color w:val="auto"/>
              </w:rPr>
            </w:pPr>
            <w:r>
              <w:rPr>
                <w:rFonts w:ascii="Arial" w:cs="Arial" w:eastAsia="Arial" w:hAnsi="Arial"/>
                <w:sz w:val="18"/>
                <w:szCs w:val="18"/>
                <w:color w:val="auto"/>
                <w:w w:val="95"/>
              </w:rPr>
              <w:t>Limitation on Changes to Fiscal Year</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97</w:t>
            </w: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70"/>
              <w:spacing w:after="0"/>
              <w:rPr>
                <w:sz w:val="20"/>
                <w:szCs w:val="20"/>
                <w:color w:val="auto"/>
              </w:rPr>
            </w:pPr>
            <w:r>
              <w:rPr>
                <w:rFonts w:ascii="Arial" w:cs="Arial" w:eastAsia="Arial" w:hAnsi="Arial"/>
                <w:sz w:val="18"/>
                <w:szCs w:val="18"/>
                <w:color w:val="auto"/>
                <w:w w:val="98"/>
              </w:rPr>
              <w:t>ARTICLE XI.</w:t>
            </w: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10"/>
              <w:spacing w:after="0"/>
              <w:rPr>
                <w:sz w:val="20"/>
                <w:szCs w:val="20"/>
                <w:color w:val="auto"/>
              </w:rPr>
            </w:pPr>
            <w:r>
              <w:rPr>
                <w:rFonts w:ascii="Arial" w:cs="Arial" w:eastAsia="Arial" w:hAnsi="Arial"/>
                <w:sz w:val="18"/>
                <w:szCs w:val="18"/>
                <w:color w:val="auto"/>
                <w:w w:val="95"/>
              </w:rPr>
              <w:t>EVENTS OF DEFAULT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11.01.</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w w:val="93"/>
              </w:rPr>
              <w:t>Events of Default</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11.02.</w:t>
            </w:r>
          </w:p>
        </w:tc>
        <w:tc>
          <w:tcPr>
            <w:tcW w:w="1940" w:type="dxa"/>
            <w:vAlign w:val="bottom"/>
            <w:gridSpan w:val="6"/>
          </w:tcPr>
          <w:p>
            <w:pPr>
              <w:ind w:left="80"/>
              <w:spacing w:after="0"/>
              <w:rPr>
                <w:sz w:val="20"/>
                <w:szCs w:val="20"/>
                <w:color w:val="auto"/>
              </w:rPr>
            </w:pPr>
            <w:r>
              <w:rPr>
                <w:rFonts w:ascii="Arial" w:cs="Arial" w:eastAsia="Arial" w:hAnsi="Arial"/>
                <w:sz w:val="18"/>
                <w:szCs w:val="18"/>
                <w:color w:val="auto"/>
                <w:w w:val="97"/>
              </w:rPr>
              <w:t>Application of Proceeds</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70"/>
              <w:spacing w:after="0"/>
              <w:rPr>
                <w:sz w:val="20"/>
                <w:szCs w:val="20"/>
                <w:color w:val="auto"/>
              </w:rPr>
            </w:pPr>
            <w:r>
              <w:rPr>
                <w:rFonts w:ascii="Arial" w:cs="Arial" w:eastAsia="Arial" w:hAnsi="Arial"/>
                <w:sz w:val="18"/>
                <w:szCs w:val="18"/>
                <w:color w:val="auto"/>
              </w:rPr>
              <w:t>ARTICLE XII.</w:t>
            </w: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30"/>
              <w:spacing w:after="0"/>
              <w:rPr>
                <w:sz w:val="20"/>
                <w:szCs w:val="20"/>
                <w:color w:val="auto"/>
              </w:rPr>
            </w:pPr>
            <w:r>
              <w:rPr>
                <w:rFonts w:ascii="Arial" w:cs="Arial" w:eastAsia="Arial" w:hAnsi="Arial"/>
                <w:sz w:val="18"/>
                <w:szCs w:val="18"/>
                <w:color w:val="auto"/>
                <w:w w:val="94"/>
              </w:rPr>
              <w:t>AGENTS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12.01.</w:t>
            </w:r>
          </w:p>
        </w:tc>
        <w:tc>
          <w:tcPr>
            <w:tcW w:w="1160" w:type="dxa"/>
            <w:vAlign w:val="bottom"/>
            <w:gridSpan w:val="3"/>
          </w:tcPr>
          <w:p>
            <w:pPr>
              <w:ind w:left="80"/>
              <w:spacing w:after="0"/>
              <w:rPr>
                <w:sz w:val="20"/>
                <w:szCs w:val="20"/>
                <w:color w:val="auto"/>
              </w:rPr>
            </w:pPr>
            <w:r>
              <w:rPr>
                <w:rFonts w:ascii="Arial" w:cs="Arial" w:eastAsia="Arial" w:hAnsi="Arial"/>
                <w:sz w:val="18"/>
                <w:szCs w:val="18"/>
                <w:color w:val="auto"/>
              </w:rPr>
              <w:t>Appointment</w:t>
            </w:r>
          </w:p>
        </w:tc>
        <w:tc>
          <w:tcPr>
            <w:tcW w:w="5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100</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12.02.</w:t>
            </w:r>
          </w:p>
        </w:tc>
        <w:tc>
          <w:tcPr>
            <w:tcW w:w="660" w:type="dxa"/>
            <w:vAlign w:val="bottom"/>
          </w:tcPr>
          <w:p>
            <w:pPr>
              <w:ind w:left="80"/>
              <w:spacing w:after="0"/>
              <w:rPr>
                <w:sz w:val="20"/>
                <w:szCs w:val="20"/>
                <w:color w:val="auto"/>
              </w:rPr>
            </w:pPr>
            <w:r>
              <w:rPr>
                <w:rFonts w:ascii="Arial" w:cs="Arial" w:eastAsia="Arial" w:hAnsi="Arial"/>
                <w:sz w:val="18"/>
                <w:szCs w:val="18"/>
                <w:color w:val="auto"/>
              </w:rPr>
              <w:t>Rights</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12.03.</w:t>
            </w:r>
          </w:p>
        </w:tc>
        <w:tc>
          <w:tcPr>
            <w:tcW w:w="1940" w:type="dxa"/>
            <w:vAlign w:val="bottom"/>
            <w:gridSpan w:val="6"/>
          </w:tcPr>
          <w:p>
            <w:pPr>
              <w:ind w:left="80"/>
              <w:spacing w:after="0"/>
              <w:rPr>
                <w:sz w:val="20"/>
                <w:szCs w:val="20"/>
                <w:color w:val="auto"/>
              </w:rPr>
            </w:pPr>
            <w:r>
              <w:rPr>
                <w:rFonts w:ascii="Arial" w:cs="Arial" w:eastAsia="Arial" w:hAnsi="Arial"/>
                <w:sz w:val="18"/>
                <w:szCs w:val="18"/>
                <w:color w:val="auto"/>
              </w:rPr>
              <w:t>Exculpatory Provisions</w:t>
            </w:r>
          </w:p>
        </w:tc>
        <w:tc>
          <w:tcPr>
            <w:tcW w:w="520" w:type="dxa"/>
            <w:vAlign w:val="bottom"/>
            <w:gridSpan w:val="2"/>
          </w:tcPr>
          <w:p>
            <w:pPr>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12.04.</w:t>
            </w:r>
          </w:p>
        </w:tc>
        <w:tc>
          <w:tcPr>
            <w:tcW w:w="1660" w:type="dxa"/>
            <w:vAlign w:val="bottom"/>
            <w:gridSpan w:val="5"/>
          </w:tcPr>
          <w:p>
            <w:pPr>
              <w:ind w:left="80"/>
              <w:spacing w:after="0"/>
              <w:rPr>
                <w:sz w:val="20"/>
                <w:szCs w:val="20"/>
                <w:color w:val="auto"/>
              </w:rPr>
            </w:pPr>
            <w:r>
              <w:rPr>
                <w:rFonts w:ascii="Arial" w:cs="Arial" w:eastAsia="Arial" w:hAnsi="Arial"/>
                <w:sz w:val="18"/>
                <w:szCs w:val="18"/>
                <w:color w:val="auto"/>
              </w:rPr>
              <w:t>Reliance by Agents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12.05.</w:t>
            </w:r>
          </w:p>
        </w:tc>
        <w:tc>
          <w:tcPr>
            <w:tcW w:w="1660" w:type="dxa"/>
            <w:vAlign w:val="bottom"/>
            <w:gridSpan w:val="5"/>
          </w:tcPr>
          <w:p>
            <w:pPr>
              <w:ind w:left="80"/>
              <w:spacing w:after="0"/>
              <w:rPr>
                <w:sz w:val="20"/>
                <w:szCs w:val="20"/>
                <w:color w:val="auto"/>
              </w:rPr>
            </w:pPr>
            <w:r>
              <w:rPr>
                <w:rFonts w:ascii="Arial" w:cs="Arial" w:eastAsia="Arial" w:hAnsi="Arial"/>
                <w:sz w:val="18"/>
                <w:szCs w:val="18"/>
                <w:color w:val="auto"/>
                <w:w w:val="96"/>
              </w:rPr>
              <w:t>Delegation of Duties</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102</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12.06.</w:t>
            </w:r>
          </w:p>
        </w:tc>
        <w:tc>
          <w:tcPr>
            <w:tcW w:w="2920" w:type="dxa"/>
            <w:vAlign w:val="bottom"/>
            <w:gridSpan w:val="10"/>
          </w:tcPr>
          <w:p>
            <w:pPr>
              <w:ind w:left="80"/>
              <w:spacing w:after="0"/>
              <w:rPr>
                <w:sz w:val="20"/>
                <w:szCs w:val="20"/>
                <w:color w:val="auto"/>
              </w:rPr>
            </w:pPr>
            <w:r>
              <w:rPr>
                <w:rFonts w:ascii="Arial" w:cs="Arial" w:eastAsia="Arial" w:hAnsi="Arial"/>
                <w:sz w:val="18"/>
                <w:szCs w:val="18"/>
                <w:color w:val="auto"/>
                <w:w w:val="98"/>
              </w:rPr>
              <w:t>Resignation of Administrative Agent</w:t>
            </w:r>
          </w:p>
        </w:tc>
        <w:tc>
          <w:tcPr>
            <w:tcW w:w="380" w:type="dxa"/>
            <w:vAlign w:val="bottom"/>
          </w:tcPr>
          <w:p>
            <w:pPr>
              <w:jc w:val="right"/>
              <w:ind w:right="10"/>
              <w:spacing w:after="0"/>
              <w:rPr>
                <w:sz w:val="20"/>
                <w:szCs w:val="20"/>
                <w:color w:val="auto"/>
              </w:rPr>
            </w:pPr>
            <w:r>
              <w:rPr>
                <w:rFonts w:ascii="Arial" w:cs="Arial" w:eastAsia="Arial" w:hAnsi="Arial"/>
                <w:sz w:val="18"/>
                <w:szCs w:val="18"/>
                <w:color w:val="auto"/>
                <w:w w:val="86"/>
              </w:rPr>
              <w:t>102</w:t>
            </w: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12.07.</w:t>
            </w:r>
          </w:p>
        </w:tc>
        <w:tc>
          <w:tcPr>
            <w:tcW w:w="3300" w:type="dxa"/>
            <w:vAlign w:val="bottom"/>
            <w:gridSpan w:val="11"/>
          </w:tcPr>
          <w:p>
            <w:pPr>
              <w:ind w:left="80"/>
              <w:spacing w:after="0"/>
              <w:rPr>
                <w:sz w:val="20"/>
                <w:szCs w:val="20"/>
                <w:color w:val="auto"/>
              </w:rPr>
            </w:pPr>
            <w:r>
              <w:rPr>
                <w:rFonts w:ascii="Arial" w:cs="Arial" w:eastAsia="Arial" w:hAnsi="Arial"/>
                <w:sz w:val="18"/>
                <w:szCs w:val="18"/>
                <w:color w:val="auto"/>
                <w:w w:val="94"/>
              </w:rPr>
              <w:t>Nonreliance on Agents and Other Lenders</w:t>
            </w:r>
          </w:p>
        </w:tc>
        <w:tc>
          <w:tcPr>
            <w:tcW w:w="940" w:type="dxa"/>
            <w:vAlign w:val="bottom"/>
          </w:tcPr>
          <w:p>
            <w:pPr>
              <w:jc w:val="right"/>
              <w:ind w:right="570"/>
              <w:spacing w:after="0"/>
              <w:rPr>
                <w:sz w:val="20"/>
                <w:szCs w:val="20"/>
                <w:color w:val="auto"/>
              </w:rPr>
            </w:pPr>
            <w:r>
              <w:rPr>
                <w:rFonts w:ascii="Arial" w:cs="Arial" w:eastAsia="Arial" w:hAnsi="Arial"/>
                <w:sz w:val="18"/>
                <w:szCs w:val="18"/>
                <w:color w:val="auto"/>
                <w:w w:val="86"/>
              </w:rPr>
              <w:t>103</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12.08.</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Indemnification</w:t>
            </w:r>
          </w:p>
        </w:tc>
        <w:tc>
          <w:tcPr>
            <w:tcW w:w="560" w:type="dxa"/>
            <w:vAlign w:val="bottom"/>
            <w:gridSpan w:val="2"/>
          </w:tcPr>
          <w:p>
            <w:pPr>
              <w:jc w:val="right"/>
              <w:ind w:right="170"/>
              <w:spacing w:after="0"/>
              <w:rPr>
                <w:sz w:val="20"/>
                <w:szCs w:val="20"/>
                <w:color w:val="auto"/>
              </w:rPr>
            </w:pPr>
            <w:r>
              <w:rPr>
                <w:rFonts w:ascii="Arial" w:cs="Arial" w:eastAsia="Arial" w:hAnsi="Arial"/>
                <w:sz w:val="18"/>
                <w:szCs w:val="18"/>
                <w:color w:val="auto"/>
                <w:w w:val="93"/>
              </w:rPr>
              <w:t>103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12.09.</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w w:val="99"/>
              </w:rPr>
              <w:t>No Other Duties</w:t>
            </w:r>
          </w:p>
        </w:tc>
        <w:tc>
          <w:tcPr>
            <w:tcW w:w="560" w:type="dxa"/>
            <w:vAlign w:val="bottom"/>
            <w:gridSpan w:val="2"/>
          </w:tcPr>
          <w:p>
            <w:pPr>
              <w:jc w:val="right"/>
              <w:ind w:right="13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12.10.</w:t>
            </w:r>
          </w:p>
        </w:tc>
        <w:tc>
          <w:tcPr>
            <w:tcW w:w="660" w:type="dxa"/>
            <w:vAlign w:val="bottom"/>
          </w:tcPr>
          <w:p>
            <w:pPr>
              <w:ind w:left="80"/>
              <w:spacing w:after="0"/>
              <w:rPr>
                <w:sz w:val="20"/>
                <w:szCs w:val="20"/>
                <w:color w:val="auto"/>
              </w:rPr>
            </w:pPr>
            <w:r>
              <w:rPr>
                <w:rFonts w:ascii="Arial" w:cs="Arial" w:eastAsia="Arial" w:hAnsi="Arial"/>
                <w:sz w:val="18"/>
                <w:szCs w:val="18"/>
                <w:color w:val="auto"/>
                <w:w w:val="90"/>
              </w:rPr>
              <w:t>Holders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12.11.</w:t>
            </w:r>
          </w:p>
        </w:tc>
        <w:tc>
          <w:tcPr>
            <w:tcW w:w="4240" w:type="dxa"/>
            <w:vAlign w:val="bottom"/>
            <w:gridSpan w:val="12"/>
          </w:tcPr>
          <w:p>
            <w:pPr>
              <w:ind w:left="80"/>
              <w:spacing w:after="0"/>
              <w:rPr>
                <w:sz w:val="20"/>
                <w:szCs w:val="20"/>
                <w:color w:val="auto"/>
              </w:rPr>
            </w:pPr>
            <w:r>
              <w:rPr>
                <w:rFonts w:ascii="Arial" w:cs="Arial" w:eastAsia="Arial" w:hAnsi="Arial"/>
                <w:sz w:val="18"/>
                <w:szCs w:val="18"/>
                <w:color w:val="auto"/>
              </w:rPr>
              <w:t>Administrative Agent May File Proofs of Claim  104</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12.12.</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w w:val="90"/>
              </w:rPr>
              <w:t>Collateral Matters</w:t>
            </w:r>
          </w:p>
        </w:tc>
        <w:tc>
          <w:tcPr>
            <w:tcW w:w="560" w:type="dxa"/>
            <w:vAlign w:val="bottom"/>
            <w:gridSpan w:val="2"/>
          </w:tcPr>
          <w:p>
            <w:pPr>
              <w:jc w:val="right"/>
              <w:ind w:right="1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12.13.</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w w:val="99"/>
              </w:rPr>
              <w:t>Withholding Tax</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12.14.</w:t>
            </w:r>
          </w:p>
        </w:tc>
        <w:tc>
          <w:tcPr>
            <w:tcW w:w="1380" w:type="dxa"/>
            <w:vAlign w:val="bottom"/>
            <w:gridSpan w:val="4"/>
          </w:tcPr>
          <w:p>
            <w:pPr>
              <w:ind w:left="80"/>
              <w:spacing w:after="0"/>
              <w:rPr>
                <w:sz w:val="20"/>
                <w:szCs w:val="20"/>
                <w:color w:val="auto"/>
              </w:rPr>
            </w:pPr>
            <w:r>
              <w:rPr>
                <w:rFonts w:ascii="Arial" w:cs="Arial" w:eastAsia="Arial" w:hAnsi="Arial"/>
                <w:sz w:val="18"/>
                <w:szCs w:val="18"/>
                <w:color w:val="auto"/>
              </w:rPr>
              <w:t>Swap Contracts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105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70"/>
              <w:spacing w:after="0"/>
              <w:rPr>
                <w:sz w:val="20"/>
                <w:szCs w:val="20"/>
                <w:color w:val="auto"/>
              </w:rPr>
            </w:pPr>
            <w:r>
              <w:rPr>
                <w:rFonts w:ascii="Arial" w:cs="Arial" w:eastAsia="Arial" w:hAnsi="Arial"/>
                <w:sz w:val="18"/>
                <w:szCs w:val="18"/>
                <w:color w:val="auto"/>
              </w:rPr>
              <w:t>ARTICLE XIII.</w:t>
            </w:r>
          </w:p>
        </w:tc>
      </w:tr>
      <w:tr>
        <w:trPr>
          <w:trHeight w:val="432"/>
        </w:trPr>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20" w:type="dxa"/>
            <w:vAlign w:val="bottom"/>
            <w:gridSpan w:val="2"/>
          </w:tcPr>
          <w:p>
            <w:pPr>
              <w:jc w:val="center"/>
              <w:ind w:right="30"/>
              <w:spacing w:after="0"/>
              <w:rPr>
                <w:sz w:val="20"/>
                <w:szCs w:val="20"/>
                <w:color w:val="auto"/>
              </w:rPr>
            </w:pPr>
            <w:r>
              <w:rPr>
                <w:rFonts w:ascii="Arial" w:cs="Arial" w:eastAsia="Arial" w:hAnsi="Arial"/>
                <w:sz w:val="18"/>
                <w:szCs w:val="18"/>
                <w:color w:val="auto"/>
                <w:w w:val="97"/>
              </w:rPr>
              <w:t>MISCELLANEOUS</w:t>
            </w: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w w:val="99"/>
              </w:rPr>
              <w:t>SECTION 13.01.</w:t>
            </w:r>
          </w:p>
        </w:tc>
        <w:tc>
          <w:tcPr>
            <w:tcW w:w="660" w:type="dxa"/>
            <w:vAlign w:val="bottom"/>
          </w:tcPr>
          <w:p>
            <w:pPr>
              <w:ind w:left="80"/>
              <w:spacing w:after="0"/>
              <w:rPr>
                <w:sz w:val="20"/>
                <w:szCs w:val="20"/>
                <w:color w:val="auto"/>
              </w:rPr>
            </w:pPr>
            <w:r>
              <w:rPr>
                <w:rFonts w:ascii="Arial" w:cs="Arial" w:eastAsia="Arial" w:hAnsi="Arial"/>
                <w:sz w:val="18"/>
                <w:szCs w:val="18"/>
                <w:color w:val="auto"/>
                <w:w w:val="99"/>
              </w:rPr>
              <w:t>Waiver</w:t>
            </w:r>
          </w:p>
        </w:tc>
        <w:tc>
          <w:tcPr>
            <w:tcW w:w="50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0219"/>
          </w:cols>
          <w:pgMar w:left="240" w:top="125" w:right="1440"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13.02.</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Notices</w:t>
            </w: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13.03.</w:t>
            </w:r>
          </w:p>
        </w:tc>
        <w:tc>
          <w:tcPr>
            <w:tcW w:w="3120" w:type="dxa"/>
            <w:vAlign w:val="bottom"/>
            <w:gridSpan w:val="7"/>
          </w:tcPr>
          <w:p>
            <w:pPr>
              <w:ind w:left="20"/>
              <w:spacing w:after="0"/>
              <w:rPr>
                <w:sz w:val="20"/>
                <w:szCs w:val="20"/>
                <w:color w:val="auto"/>
              </w:rPr>
            </w:pPr>
            <w:r>
              <w:rPr>
                <w:rFonts w:ascii="Arial" w:cs="Arial" w:eastAsia="Arial" w:hAnsi="Arial"/>
                <w:sz w:val="18"/>
                <w:szCs w:val="18"/>
                <w:color w:val="auto"/>
              </w:rPr>
              <w:t>Expenses, Indemnification, Etc  107</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13.04.</w:t>
            </w:r>
          </w:p>
        </w:tc>
        <w:tc>
          <w:tcPr>
            <w:tcW w:w="1860" w:type="dxa"/>
            <w:vAlign w:val="bottom"/>
            <w:gridSpan w:val="6"/>
          </w:tcPr>
          <w:p>
            <w:pPr>
              <w:ind w:left="20"/>
              <w:spacing w:after="0"/>
              <w:rPr>
                <w:sz w:val="20"/>
                <w:szCs w:val="20"/>
                <w:color w:val="auto"/>
              </w:rPr>
            </w:pPr>
            <w:r>
              <w:rPr>
                <w:rFonts w:ascii="Arial" w:cs="Arial" w:eastAsia="Arial" w:hAnsi="Arial"/>
                <w:sz w:val="18"/>
                <w:szCs w:val="18"/>
                <w:color w:val="auto"/>
                <w:w w:val="90"/>
              </w:rPr>
              <w:t>Amendments and Waiver</w:t>
            </w:r>
          </w:p>
        </w:tc>
        <w:tc>
          <w:tcPr>
            <w:tcW w:w="1260" w:type="dxa"/>
            <w:vAlign w:val="bottom"/>
          </w:tcPr>
          <w:p>
            <w:pPr>
              <w:jc w:val="right"/>
              <w:ind w:right="730"/>
              <w:spacing w:after="0"/>
              <w:rPr>
                <w:sz w:val="20"/>
                <w:szCs w:val="20"/>
                <w:color w:val="auto"/>
              </w:rPr>
            </w:pPr>
            <w:r>
              <w:rPr>
                <w:rFonts w:ascii="Arial" w:cs="Arial" w:eastAsia="Arial" w:hAnsi="Arial"/>
                <w:sz w:val="18"/>
                <w:szCs w:val="18"/>
                <w:color w:val="auto"/>
              </w:rPr>
              <w:t>109</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13.05.</w:t>
            </w:r>
          </w:p>
        </w:tc>
        <w:tc>
          <w:tcPr>
            <w:tcW w:w="5660" w:type="dxa"/>
            <w:vAlign w:val="bottom"/>
            <w:gridSpan w:val="8"/>
          </w:tcPr>
          <w:p>
            <w:pPr>
              <w:ind w:left="20"/>
              <w:spacing w:after="0"/>
              <w:rPr>
                <w:sz w:val="20"/>
                <w:szCs w:val="20"/>
                <w:color w:val="auto"/>
              </w:rPr>
            </w:pPr>
            <w:r>
              <w:rPr>
                <w:rFonts w:ascii="Arial" w:cs="Arial" w:eastAsia="Arial" w:hAnsi="Arial"/>
                <w:sz w:val="18"/>
                <w:szCs w:val="18"/>
                <w:color w:val="auto"/>
              </w:rPr>
              <w:t>Benefit of Agreement; Assignments; Participations  113</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13.06.</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rPr>
              <w:t>Survival</w:t>
            </w: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13.07.</w:t>
            </w:r>
          </w:p>
        </w:tc>
        <w:tc>
          <w:tcPr>
            <w:tcW w:w="700" w:type="dxa"/>
            <w:vAlign w:val="bottom"/>
            <w:gridSpan w:val="2"/>
          </w:tcPr>
          <w:p>
            <w:pPr>
              <w:ind w:left="20"/>
              <w:spacing w:after="0"/>
              <w:rPr>
                <w:sz w:val="20"/>
                <w:szCs w:val="20"/>
                <w:color w:val="auto"/>
              </w:rPr>
            </w:pPr>
            <w:r>
              <w:rPr>
                <w:rFonts w:ascii="Arial" w:cs="Arial" w:eastAsia="Arial" w:hAnsi="Arial"/>
                <w:sz w:val="18"/>
                <w:szCs w:val="18"/>
                <w:color w:val="auto"/>
                <w:w w:val="92"/>
              </w:rPr>
              <w:t>Captions</w:t>
            </w: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13.08.</w:t>
            </w:r>
          </w:p>
        </w:tc>
        <w:tc>
          <w:tcPr>
            <w:tcW w:w="3120" w:type="dxa"/>
            <w:vAlign w:val="bottom"/>
            <w:gridSpan w:val="7"/>
          </w:tcPr>
          <w:p>
            <w:pPr>
              <w:ind w:left="20"/>
              <w:spacing w:after="0"/>
              <w:rPr>
                <w:sz w:val="20"/>
                <w:szCs w:val="20"/>
                <w:color w:val="auto"/>
              </w:rPr>
            </w:pPr>
            <w:r>
              <w:rPr>
                <w:rFonts w:ascii="Arial" w:cs="Arial" w:eastAsia="Arial" w:hAnsi="Arial"/>
                <w:sz w:val="18"/>
                <w:szCs w:val="18"/>
                <w:color w:val="auto"/>
                <w:w w:val="91"/>
              </w:rPr>
              <w:t>Counterparts; Interpretation; Effectiveness</w:t>
            </w:r>
          </w:p>
        </w:tc>
        <w:tc>
          <w:tcPr>
            <w:tcW w:w="2540" w:type="dxa"/>
            <w:vAlign w:val="bottom"/>
          </w:tcPr>
          <w:p>
            <w:pPr>
              <w:jc w:val="right"/>
              <w:ind w:right="2050"/>
              <w:spacing w:after="0"/>
              <w:rPr>
                <w:sz w:val="20"/>
                <w:szCs w:val="20"/>
                <w:color w:val="auto"/>
              </w:rPr>
            </w:pPr>
            <w:r>
              <w:rPr>
                <w:rFonts w:ascii="Arial" w:cs="Arial" w:eastAsia="Arial" w:hAnsi="Arial"/>
                <w:sz w:val="18"/>
                <w:szCs w:val="18"/>
                <w:color w:val="auto"/>
              </w:rPr>
              <w:t>116</w:t>
            </w:r>
          </w:p>
        </w:tc>
      </w:tr>
      <w:tr>
        <w:trPr>
          <w:trHeight w:val="216"/>
        </w:trPr>
        <w:tc>
          <w:tcPr>
            <w:tcW w:w="7080" w:type="dxa"/>
            <w:vAlign w:val="bottom"/>
            <w:gridSpan w:val="12"/>
          </w:tcPr>
          <w:p>
            <w:pPr>
              <w:spacing w:after="0"/>
              <w:rPr>
                <w:sz w:val="20"/>
                <w:szCs w:val="20"/>
                <w:color w:val="auto"/>
              </w:rPr>
            </w:pPr>
            <w:r>
              <w:rPr>
                <w:rFonts w:ascii="Arial" w:cs="Arial" w:eastAsia="Arial" w:hAnsi="Arial"/>
                <w:sz w:val="18"/>
                <w:szCs w:val="18"/>
                <w:color w:val="auto"/>
              </w:rPr>
              <w:t>SECTION 13.09.  Governing Law; Submission to Jurisdiction; Waivers; Etc.  116</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13.10.</w:t>
            </w:r>
          </w:p>
        </w:tc>
        <w:tc>
          <w:tcPr>
            <w:tcW w:w="1220" w:type="dxa"/>
            <w:vAlign w:val="bottom"/>
            <w:gridSpan w:val="4"/>
          </w:tcPr>
          <w:p>
            <w:pPr>
              <w:ind w:left="20"/>
              <w:spacing w:after="0"/>
              <w:rPr>
                <w:sz w:val="20"/>
                <w:szCs w:val="20"/>
                <w:color w:val="auto"/>
              </w:rPr>
            </w:pPr>
            <w:r>
              <w:rPr>
                <w:rFonts w:ascii="Arial" w:cs="Arial" w:eastAsia="Arial" w:hAnsi="Arial"/>
                <w:sz w:val="18"/>
                <w:szCs w:val="18"/>
                <w:color w:val="auto"/>
              </w:rPr>
              <w:t>Confidentiality</w:t>
            </w: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118</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13.11.</w:t>
            </w:r>
          </w:p>
        </w:tc>
        <w:tc>
          <w:tcPr>
            <w:tcW w:w="5660" w:type="dxa"/>
            <w:vAlign w:val="bottom"/>
            <w:gridSpan w:val="8"/>
          </w:tcPr>
          <w:p>
            <w:pPr>
              <w:ind w:left="20"/>
              <w:spacing w:after="0"/>
              <w:rPr>
                <w:sz w:val="20"/>
                <w:szCs w:val="20"/>
                <w:color w:val="auto"/>
              </w:rPr>
            </w:pPr>
            <w:r>
              <w:rPr>
                <w:rFonts w:ascii="Arial" w:cs="Arial" w:eastAsia="Arial" w:hAnsi="Arial"/>
                <w:sz w:val="18"/>
                <w:szCs w:val="18"/>
                <w:color w:val="auto"/>
              </w:rPr>
              <w:t>Independence of Representations, Warranties and Covenants  118</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13.12.</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w w:val="96"/>
              </w:rPr>
              <w:t>Severability</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118</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13.13.</w:t>
            </w:r>
          </w:p>
        </w:tc>
        <w:tc>
          <w:tcPr>
            <w:tcW w:w="1220" w:type="dxa"/>
            <w:vAlign w:val="bottom"/>
            <w:gridSpan w:val="4"/>
          </w:tcPr>
          <w:p>
            <w:pPr>
              <w:ind w:left="20"/>
              <w:spacing w:after="0"/>
              <w:rPr>
                <w:sz w:val="20"/>
                <w:szCs w:val="20"/>
                <w:color w:val="auto"/>
              </w:rPr>
            </w:pPr>
            <w:r>
              <w:rPr>
                <w:rFonts w:ascii="Arial" w:cs="Arial" w:eastAsia="Arial" w:hAnsi="Arial"/>
                <w:sz w:val="18"/>
                <w:szCs w:val="18"/>
                <w:color w:val="auto"/>
              </w:rPr>
              <w:t>Gaming Laws</w:t>
            </w:r>
          </w:p>
        </w:tc>
        <w:tc>
          <w:tcPr>
            <w:tcW w:w="640" w:type="dxa"/>
            <w:vAlign w:val="bottom"/>
            <w:gridSpan w:val="2"/>
          </w:tcPr>
          <w:p>
            <w:pPr>
              <w:spacing w:after="0"/>
              <w:rPr>
                <w:sz w:val="20"/>
                <w:szCs w:val="20"/>
                <w:color w:val="auto"/>
              </w:rPr>
            </w:pPr>
            <w:r>
              <w:rPr>
                <w:rFonts w:ascii="Arial" w:cs="Arial" w:eastAsia="Arial" w:hAnsi="Arial"/>
                <w:sz w:val="18"/>
                <w:szCs w:val="18"/>
                <w:color w:val="auto"/>
              </w:rPr>
              <w:t>118</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13.14.</w:t>
            </w:r>
          </w:p>
        </w:tc>
        <w:tc>
          <w:tcPr>
            <w:tcW w:w="1220" w:type="dxa"/>
            <w:vAlign w:val="bottom"/>
            <w:gridSpan w:val="4"/>
          </w:tcPr>
          <w:p>
            <w:pPr>
              <w:ind w:left="20"/>
              <w:spacing w:after="0"/>
              <w:rPr>
                <w:sz w:val="20"/>
                <w:szCs w:val="20"/>
                <w:color w:val="auto"/>
              </w:rPr>
            </w:pPr>
            <w:r>
              <w:rPr>
                <w:rFonts w:ascii="Arial" w:cs="Arial" w:eastAsia="Arial" w:hAnsi="Arial"/>
                <w:sz w:val="18"/>
                <w:szCs w:val="18"/>
                <w:color w:val="auto"/>
                <w:w w:val="94"/>
              </w:rPr>
              <w:t>USA Patriot Act</w:t>
            </w:r>
          </w:p>
        </w:tc>
        <w:tc>
          <w:tcPr>
            <w:tcW w:w="640" w:type="dxa"/>
            <w:vAlign w:val="bottom"/>
            <w:gridSpan w:val="2"/>
          </w:tcPr>
          <w:p>
            <w:pPr>
              <w:jc w:val="right"/>
              <w:ind w:right="110"/>
              <w:spacing w:after="0"/>
              <w:rPr>
                <w:sz w:val="20"/>
                <w:szCs w:val="20"/>
                <w:color w:val="auto"/>
              </w:rPr>
            </w:pPr>
            <w:r>
              <w:rPr>
                <w:rFonts w:ascii="Arial" w:cs="Arial" w:eastAsia="Arial" w:hAnsi="Arial"/>
                <w:sz w:val="18"/>
                <w:szCs w:val="18"/>
                <w:color w:val="auto"/>
              </w:rPr>
              <w:t>119</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13.15.</w:t>
            </w:r>
          </w:p>
        </w:tc>
        <w:tc>
          <w:tcPr>
            <w:tcW w:w="940" w:type="dxa"/>
            <w:vAlign w:val="bottom"/>
            <w:gridSpan w:val="3"/>
          </w:tcPr>
          <w:p>
            <w:pPr>
              <w:ind w:left="20"/>
              <w:spacing w:after="0"/>
              <w:rPr>
                <w:sz w:val="20"/>
                <w:szCs w:val="20"/>
                <w:color w:val="auto"/>
              </w:rPr>
            </w:pPr>
            <w:r>
              <w:rPr>
                <w:rFonts w:ascii="Arial" w:cs="Arial" w:eastAsia="Arial" w:hAnsi="Arial"/>
                <w:sz w:val="18"/>
                <w:szCs w:val="18"/>
                <w:color w:val="auto"/>
              </w:rPr>
              <w:t>[Reserved]</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w w:val="99"/>
              </w:rPr>
              <w:t>119</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13.16.</w:t>
            </w:r>
          </w:p>
        </w:tc>
        <w:tc>
          <w:tcPr>
            <w:tcW w:w="1460" w:type="dxa"/>
            <w:vAlign w:val="bottom"/>
            <w:gridSpan w:val="5"/>
          </w:tcPr>
          <w:p>
            <w:pPr>
              <w:ind w:left="20"/>
              <w:spacing w:after="0"/>
              <w:rPr>
                <w:sz w:val="20"/>
                <w:szCs w:val="20"/>
                <w:color w:val="auto"/>
              </w:rPr>
            </w:pPr>
            <w:r>
              <w:rPr>
                <w:rFonts w:ascii="Arial" w:cs="Arial" w:eastAsia="Arial" w:hAnsi="Arial"/>
                <w:sz w:val="18"/>
                <w:szCs w:val="18"/>
                <w:color w:val="auto"/>
              </w:rPr>
              <w:t>Waiver of Claims</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w w:val="79"/>
              </w:rPr>
              <w:t>119</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13.17.</w:t>
            </w:r>
          </w:p>
        </w:tc>
        <w:tc>
          <w:tcPr>
            <w:tcW w:w="3120" w:type="dxa"/>
            <w:vAlign w:val="bottom"/>
            <w:gridSpan w:val="7"/>
          </w:tcPr>
          <w:p>
            <w:pPr>
              <w:ind w:left="20"/>
              <w:spacing w:after="0"/>
              <w:rPr>
                <w:sz w:val="20"/>
                <w:szCs w:val="20"/>
                <w:color w:val="auto"/>
              </w:rPr>
            </w:pPr>
            <w:r>
              <w:rPr>
                <w:rFonts w:ascii="Arial" w:cs="Arial" w:eastAsia="Arial" w:hAnsi="Arial"/>
                <w:sz w:val="18"/>
                <w:szCs w:val="18"/>
                <w:color w:val="auto"/>
                <w:w w:val="98"/>
              </w:rPr>
              <w:t>No Advisory or Fiduciary Responsibility</w:t>
            </w:r>
          </w:p>
        </w:tc>
        <w:tc>
          <w:tcPr>
            <w:tcW w:w="2540" w:type="dxa"/>
            <w:vAlign w:val="bottom"/>
          </w:tcPr>
          <w:p>
            <w:pPr>
              <w:jc w:val="right"/>
              <w:ind w:right="2150"/>
              <w:spacing w:after="0"/>
              <w:rPr>
                <w:sz w:val="20"/>
                <w:szCs w:val="20"/>
                <w:color w:val="auto"/>
              </w:rPr>
            </w:pPr>
            <w:r>
              <w:rPr>
                <w:rFonts w:ascii="Arial" w:cs="Arial" w:eastAsia="Arial" w:hAnsi="Arial"/>
                <w:sz w:val="18"/>
                <w:szCs w:val="18"/>
                <w:color w:val="auto"/>
                <w:w w:val="93"/>
              </w:rPr>
              <w:t>119</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13.18.</w:t>
            </w:r>
          </w:p>
        </w:tc>
        <w:tc>
          <w:tcPr>
            <w:tcW w:w="1220" w:type="dxa"/>
            <w:vAlign w:val="bottom"/>
            <w:gridSpan w:val="4"/>
          </w:tcPr>
          <w:p>
            <w:pPr>
              <w:ind w:left="20"/>
              <w:spacing w:after="0"/>
              <w:rPr>
                <w:sz w:val="20"/>
                <w:szCs w:val="20"/>
                <w:color w:val="auto"/>
              </w:rPr>
            </w:pPr>
            <w:r>
              <w:rPr>
                <w:rFonts w:ascii="Arial" w:cs="Arial" w:eastAsia="Arial" w:hAnsi="Arial"/>
                <w:sz w:val="18"/>
                <w:szCs w:val="18"/>
                <w:color w:val="auto"/>
              </w:rPr>
              <w:t>Lender Action</w:t>
            </w:r>
          </w:p>
        </w:tc>
        <w:tc>
          <w:tcPr>
            <w:tcW w:w="640" w:type="dxa"/>
            <w:vAlign w:val="bottom"/>
            <w:gridSpan w:val="2"/>
          </w:tcPr>
          <w:p>
            <w:pPr>
              <w:ind w:left="20"/>
              <w:spacing w:after="0"/>
              <w:rPr>
                <w:sz w:val="20"/>
                <w:szCs w:val="20"/>
                <w:color w:val="auto"/>
              </w:rPr>
            </w:pPr>
            <w:r>
              <w:rPr>
                <w:rFonts w:ascii="Arial" w:cs="Arial" w:eastAsia="Arial" w:hAnsi="Arial"/>
                <w:sz w:val="18"/>
                <w:szCs w:val="18"/>
                <w:color w:val="auto"/>
              </w:rPr>
              <w:t>120</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13.19.</w:t>
            </w:r>
          </w:p>
        </w:tc>
        <w:tc>
          <w:tcPr>
            <w:tcW w:w="1860" w:type="dxa"/>
            <w:vAlign w:val="bottom"/>
            <w:gridSpan w:val="6"/>
          </w:tcPr>
          <w:p>
            <w:pPr>
              <w:ind w:left="20"/>
              <w:spacing w:after="0"/>
              <w:rPr>
                <w:sz w:val="20"/>
                <w:szCs w:val="20"/>
                <w:color w:val="auto"/>
              </w:rPr>
            </w:pPr>
            <w:r>
              <w:rPr>
                <w:rFonts w:ascii="Arial" w:cs="Arial" w:eastAsia="Arial" w:hAnsi="Arial"/>
                <w:sz w:val="18"/>
                <w:szCs w:val="18"/>
                <w:color w:val="auto"/>
                <w:w w:val="98"/>
              </w:rPr>
              <w:t>Interest Rate Limitation</w:t>
            </w:r>
          </w:p>
        </w:tc>
        <w:tc>
          <w:tcPr>
            <w:tcW w:w="1260" w:type="dxa"/>
            <w:vAlign w:val="bottom"/>
          </w:tcPr>
          <w:p>
            <w:pPr>
              <w:jc w:val="right"/>
              <w:ind w:right="850"/>
              <w:spacing w:after="0"/>
              <w:rPr>
                <w:sz w:val="20"/>
                <w:szCs w:val="20"/>
                <w:color w:val="auto"/>
              </w:rPr>
            </w:pPr>
            <w:r>
              <w:rPr>
                <w:rFonts w:ascii="Arial" w:cs="Arial" w:eastAsia="Arial" w:hAnsi="Arial"/>
                <w:sz w:val="18"/>
                <w:szCs w:val="18"/>
                <w:color w:val="auto"/>
                <w:w w:val="99"/>
              </w:rPr>
              <w:t>120</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13.20.</w:t>
            </w:r>
          </w:p>
        </w:tc>
        <w:tc>
          <w:tcPr>
            <w:tcW w:w="1460" w:type="dxa"/>
            <w:vAlign w:val="bottom"/>
            <w:gridSpan w:val="5"/>
          </w:tcPr>
          <w:p>
            <w:pPr>
              <w:ind w:left="20"/>
              <w:spacing w:after="0"/>
              <w:rPr>
                <w:sz w:val="20"/>
                <w:szCs w:val="20"/>
                <w:color w:val="auto"/>
              </w:rPr>
            </w:pPr>
            <w:r>
              <w:rPr>
                <w:rFonts w:ascii="Arial" w:cs="Arial" w:eastAsia="Arial" w:hAnsi="Arial"/>
                <w:sz w:val="18"/>
                <w:szCs w:val="18"/>
                <w:color w:val="auto"/>
                <w:w w:val="87"/>
              </w:rPr>
              <w:t>Payments Set Aside</w:t>
            </w:r>
          </w:p>
        </w:tc>
        <w:tc>
          <w:tcPr>
            <w:tcW w:w="1660" w:type="dxa"/>
            <w:vAlign w:val="bottom"/>
            <w:gridSpan w:val="2"/>
          </w:tcPr>
          <w:p>
            <w:pPr>
              <w:jc w:val="right"/>
              <w:ind w:right="1130"/>
              <w:spacing w:after="0"/>
              <w:rPr>
                <w:sz w:val="20"/>
                <w:szCs w:val="20"/>
                <w:color w:val="auto"/>
              </w:rPr>
            </w:pPr>
            <w:r>
              <w:rPr>
                <w:rFonts w:ascii="Arial" w:cs="Arial" w:eastAsia="Arial" w:hAnsi="Arial"/>
                <w:sz w:val="18"/>
                <w:szCs w:val="18"/>
                <w:color w:val="auto"/>
              </w:rPr>
              <w:t>120</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13.21.</w:t>
            </w:r>
          </w:p>
        </w:tc>
        <w:tc>
          <w:tcPr>
            <w:tcW w:w="5660" w:type="dxa"/>
            <w:vAlign w:val="bottom"/>
            <w:gridSpan w:val="8"/>
          </w:tcPr>
          <w:p>
            <w:pPr>
              <w:ind w:left="20"/>
              <w:spacing w:after="0"/>
              <w:rPr>
                <w:sz w:val="20"/>
                <w:szCs w:val="20"/>
                <w:color w:val="auto"/>
              </w:rPr>
            </w:pPr>
            <w:r>
              <w:rPr>
                <w:rFonts w:ascii="Arial" w:cs="Arial" w:eastAsia="Arial" w:hAnsi="Arial"/>
                <w:sz w:val="18"/>
                <w:szCs w:val="18"/>
                <w:color w:val="auto"/>
                <w:w w:val="93"/>
              </w:rPr>
              <w:t>Acknowledgement and Consent to Bail-In of EEA Financial Institutions  121</w:t>
            </w:r>
          </w:p>
        </w:tc>
      </w:tr>
      <w:tr>
        <w:trPr>
          <w:trHeight w:val="230"/>
        </w:trPr>
        <w:tc>
          <w:tcPr>
            <w:tcW w:w="1420" w:type="dxa"/>
            <w:vAlign w:val="bottom"/>
            <w:gridSpan w:val="4"/>
          </w:tcPr>
          <w:p>
            <w:pPr>
              <w:spacing w:after="0"/>
              <w:rPr>
                <w:sz w:val="20"/>
                <w:szCs w:val="20"/>
                <w:color w:val="auto"/>
              </w:rPr>
            </w:pPr>
            <w:r>
              <w:rPr>
                <w:rFonts w:ascii="Arial" w:cs="Arial" w:eastAsia="Arial" w:hAnsi="Arial"/>
                <w:sz w:val="18"/>
                <w:szCs w:val="18"/>
                <w:color w:val="auto"/>
              </w:rPr>
              <w:t>SECTION 13.22.</w:t>
            </w:r>
          </w:p>
        </w:tc>
        <w:tc>
          <w:tcPr>
            <w:tcW w:w="1860" w:type="dxa"/>
            <w:vAlign w:val="bottom"/>
            <w:gridSpan w:val="6"/>
          </w:tcPr>
          <w:p>
            <w:pPr>
              <w:ind w:left="20"/>
              <w:spacing w:after="0"/>
              <w:rPr>
                <w:sz w:val="20"/>
                <w:szCs w:val="20"/>
                <w:color w:val="auto"/>
              </w:rPr>
            </w:pPr>
            <w:r>
              <w:rPr>
                <w:rFonts w:ascii="Arial" w:cs="Arial" w:eastAsia="Arial" w:hAnsi="Arial"/>
                <w:sz w:val="18"/>
                <w:szCs w:val="18"/>
                <w:color w:val="auto"/>
                <w:w w:val="99"/>
              </w:rPr>
              <w:t>Certain ERISA Matters</w:t>
            </w:r>
          </w:p>
        </w:tc>
        <w:tc>
          <w:tcPr>
            <w:tcW w:w="1260" w:type="dxa"/>
            <w:vAlign w:val="bottom"/>
          </w:tcPr>
          <w:p>
            <w:pPr>
              <w:jc w:val="right"/>
              <w:ind w:right="870"/>
              <w:spacing w:after="0"/>
              <w:rPr>
                <w:sz w:val="20"/>
                <w:szCs w:val="20"/>
                <w:color w:val="auto"/>
              </w:rPr>
            </w:pPr>
            <w:r>
              <w:rPr>
                <w:rFonts w:ascii="Arial" w:cs="Arial" w:eastAsia="Arial" w:hAnsi="Arial"/>
                <w:sz w:val="18"/>
                <w:szCs w:val="18"/>
                <w:color w:val="auto"/>
                <w:w w:val="93"/>
              </w:rPr>
              <w:t>121</w:t>
            </w:r>
          </w:p>
        </w:tc>
        <w:tc>
          <w:tcPr>
            <w:tcW w:w="2540" w:type="dxa"/>
            <w:vAlign w:val="bottom"/>
          </w:tcPr>
          <w:p>
            <w:pPr>
              <w:spacing w:after="0"/>
              <w:rPr>
                <w:sz w:val="20"/>
                <w:szCs w:val="20"/>
                <w:color w:val="auto"/>
              </w:rPr>
            </w:pPr>
          </w:p>
        </w:tc>
      </w:tr>
      <w:tr>
        <w:trPr>
          <w:trHeight w:val="824"/>
        </w:trPr>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ANNEXES: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53"/>
        </w:trPr>
        <w:tc>
          <w:tcPr>
            <w:tcW w:w="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ANNEX A</w:t>
            </w:r>
          </w:p>
        </w:tc>
        <w:tc>
          <w:tcPr>
            <w:tcW w:w="56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80"/>
              <w:spacing w:after="0"/>
              <w:rPr>
                <w:sz w:val="20"/>
                <w:szCs w:val="20"/>
                <w:color w:val="auto"/>
              </w:rPr>
            </w:pPr>
            <w:r>
              <w:rPr>
                <w:rFonts w:ascii="Arial" w:cs="Arial" w:eastAsia="Arial" w:hAnsi="Arial"/>
                <w:sz w:val="18"/>
                <w:szCs w:val="18"/>
                <w:color w:val="auto"/>
                <w:w w:val="95"/>
              </w:rPr>
              <w:t>Commitments</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392"/>
        </w:trPr>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SCHEDULES: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38"/>
        </w:trPr>
        <w:tc>
          <w:tcPr>
            <w:tcW w:w="1720" w:type="dxa"/>
            <w:vAlign w:val="bottom"/>
            <w:gridSpan w:val="5"/>
          </w:tcPr>
          <w:p>
            <w:pPr>
              <w:spacing w:after="0"/>
              <w:rPr>
                <w:sz w:val="20"/>
                <w:szCs w:val="20"/>
                <w:color w:val="auto"/>
              </w:rPr>
            </w:pPr>
            <w:r>
              <w:rPr>
                <w:rFonts w:ascii="Arial" w:cs="Arial" w:eastAsia="Arial" w:hAnsi="Arial"/>
                <w:sz w:val="18"/>
                <w:szCs w:val="18"/>
                <w:color w:val="auto"/>
              </w:rPr>
              <w:t>SCHEDULE 7.01(j)</w:t>
            </w: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60"/>
              <w:spacing w:after="0"/>
              <w:rPr>
                <w:sz w:val="20"/>
                <w:szCs w:val="20"/>
                <w:color w:val="auto"/>
              </w:rPr>
            </w:pPr>
            <w:r>
              <w:rPr>
                <w:rFonts w:ascii="Arial" w:cs="Arial" w:eastAsia="Arial" w:hAnsi="Arial"/>
                <w:sz w:val="18"/>
                <w:szCs w:val="18"/>
                <w:color w:val="auto"/>
              </w:rPr>
              <w:t>Approvals</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8.03</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80"/>
              <w:spacing w:after="0"/>
              <w:rPr>
                <w:sz w:val="20"/>
                <w:szCs w:val="20"/>
                <w:color w:val="auto"/>
              </w:rPr>
            </w:pPr>
            <w:r>
              <w:rPr>
                <w:rFonts w:ascii="Arial" w:cs="Arial" w:eastAsia="Arial" w:hAnsi="Arial"/>
                <w:sz w:val="18"/>
                <w:szCs w:val="18"/>
                <w:color w:val="auto"/>
              </w:rPr>
              <w:t>Litigation</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8.07</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3"/>
          </w:tcPr>
          <w:p>
            <w:pPr>
              <w:ind w:left="80"/>
              <w:spacing w:after="0"/>
              <w:rPr>
                <w:sz w:val="20"/>
                <w:szCs w:val="20"/>
                <w:color w:val="auto"/>
              </w:rPr>
            </w:pPr>
            <w:r>
              <w:rPr>
                <w:rFonts w:ascii="Arial" w:cs="Arial" w:eastAsia="Arial" w:hAnsi="Arial"/>
                <w:sz w:val="18"/>
                <w:szCs w:val="18"/>
                <w:color w:val="auto"/>
              </w:rPr>
              <w:t>ERISA</w:t>
            </w:r>
          </w:p>
        </w:tc>
        <w:tc>
          <w:tcPr>
            <w:tcW w:w="4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8.10</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2420" w:type="dxa"/>
            <w:vAlign w:val="bottom"/>
            <w:gridSpan w:val="5"/>
          </w:tcPr>
          <w:p>
            <w:pPr>
              <w:ind w:left="80"/>
              <w:spacing w:after="0"/>
              <w:rPr>
                <w:sz w:val="20"/>
                <w:szCs w:val="20"/>
                <w:color w:val="auto"/>
              </w:rPr>
            </w:pPr>
            <w:r>
              <w:rPr>
                <w:rFonts w:ascii="Arial" w:cs="Arial" w:eastAsia="Arial" w:hAnsi="Arial"/>
                <w:sz w:val="18"/>
                <w:szCs w:val="18"/>
                <w:color w:val="auto"/>
              </w:rPr>
              <w:t>Environmental Matters</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8.12</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80"/>
              <w:spacing w:after="0"/>
              <w:rPr>
                <w:sz w:val="20"/>
                <w:szCs w:val="20"/>
                <w:color w:val="auto"/>
              </w:rPr>
            </w:pPr>
            <w:r>
              <w:rPr>
                <w:rFonts w:ascii="Arial" w:cs="Arial" w:eastAsia="Arial" w:hAnsi="Arial"/>
                <w:sz w:val="18"/>
                <w:szCs w:val="18"/>
                <w:color w:val="auto"/>
              </w:rPr>
              <w:t>Subsidiaries</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8.13</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80"/>
              <w:spacing w:after="0"/>
              <w:rPr>
                <w:sz w:val="20"/>
                <w:szCs w:val="20"/>
                <w:color w:val="auto"/>
              </w:rPr>
            </w:pPr>
            <w:r>
              <w:rPr>
                <w:rFonts w:ascii="Arial" w:cs="Arial" w:eastAsia="Arial" w:hAnsi="Arial"/>
                <w:sz w:val="18"/>
                <w:szCs w:val="18"/>
                <w:color w:val="auto"/>
              </w:rPr>
              <w:t>Ownership</w:t>
            </w:r>
          </w:p>
        </w:tc>
        <w:tc>
          <w:tcPr>
            <w:tcW w:w="1260" w:type="dxa"/>
            <w:vAlign w:val="bottom"/>
          </w:tcPr>
          <w:p>
            <w:pPr>
              <w:spacing w:after="0"/>
              <w:rPr>
                <w:sz w:val="18"/>
                <w:szCs w:val="18"/>
                <w:color w:val="auto"/>
              </w:rPr>
            </w:pP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8.15</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2420" w:type="dxa"/>
            <w:vAlign w:val="bottom"/>
            <w:gridSpan w:val="5"/>
          </w:tcPr>
          <w:p>
            <w:pPr>
              <w:ind w:left="80"/>
              <w:spacing w:after="0"/>
              <w:rPr>
                <w:sz w:val="20"/>
                <w:szCs w:val="20"/>
                <w:color w:val="auto"/>
              </w:rPr>
            </w:pPr>
            <w:r>
              <w:rPr>
                <w:rFonts w:ascii="Arial" w:cs="Arial" w:eastAsia="Arial" w:hAnsi="Arial"/>
                <w:sz w:val="18"/>
                <w:szCs w:val="18"/>
                <w:color w:val="auto"/>
              </w:rPr>
              <w:t>Licenses and Permits</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SCHEDULE 8.18</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2420" w:type="dxa"/>
            <w:vAlign w:val="bottom"/>
            <w:gridSpan w:val="5"/>
          </w:tcPr>
          <w:p>
            <w:pPr>
              <w:ind w:left="80"/>
              <w:spacing w:after="0"/>
              <w:rPr>
                <w:sz w:val="20"/>
                <w:szCs w:val="20"/>
                <w:color w:val="auto"/>
              </w:rPr>
            </w:pPr>
            <w:r>
              <w:rPr>
                <w:rFonts w:ascii="Arial" w:cs="Arial" w:eastAsia="Arial" w:hAnsi="Arial"/>
                <w:sz w:val="18"/>
                <w:szCs w:val="18"/>
                <w:color w:val="auto"/>
              </w:rPr>
              <w:t>Intellectual Property</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w w:val="94"/>
              </w:rPr>
              <w:t>SCHEDULE 10.01</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2420" w:type="dxa"/>
            <w:vAlign w:val="bottom"/>
            <w:gridSpan w:val="5"/>
          </w:tcPr>
          <w:p>
            <w:pPr>
              <w:ind w:left="80"/>
              <w:spacing w:after="0"/>
              <w:rPr>
                <w:sz w:val="20"/>
                <w:szCs w:val="20"/>
                <w:color w:val="auto"/>
              </w:rPr>
            </w:pPr>
            <w:r>
              <w:rPr>
                <w:rFonts w:ascii="Arial" w:cs="Arial" w:eastAsia="Arial" w:hAnsi="Arial"/>
                <w:sz w:val="18"/>
                <w:szCs w:val="18"/>
                <w:color w:val="auto"/>
              </w:rPr>
              <w:t>Existing Indebtedness</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w w:val="94"/>
              </w:rPr>
              <w:t>SCHEDULE 10.02</w:t>
            </w:r>
          </w:p>
        </w:tc>
        <w:tc>
          <w:tcPr>
            <w:tcW w:w="300" w:type="dxa"/>
            <w:vAlign w:val="bottom"/>
          </w:tcPr>
          <w:p>
            <w:pPr>
              <w:spacing w:after="0"/>
              <w:rPr>
                <w:sz w:val="18"/>
                <w:szCs w:val="18"/>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2420" w:type="dxa"/>
            <w:vAlign w:val="bottom"/>
            <w:gridSpan w:val="5"/>
          </w:tcPr>
          <w:p>
            <w:pPr>
              <w:ind w:left="80"/>
              <w:spacing w:after="0"/>
              <w:rPr>
                <w:sz w:val="20"/>
                <w:szCs w:val="20"/>
                <w:color w:val="auto"/>
              </w:rPr>
            </w:pPr>
            <w:r>
              <w:rPr>
                <w:rFonts w:ascii="Arial" w:cs="Arial" w:eastAsia="Arial" w:hAnsi="Arial"/>
                <w:sz w:val="18"/>
                <w:szCs w:val="18"/>
                <w:color w:val="auto"/>
              </w:rPr>
              <w:t>Certain Existing Liens</w:t>
            </w:r>
          </w:p>
        </w:tc>
        <w:tc>
          <w:tcPr>
            <w:tcW w:w="2540" w:type="dxa"/>
            <w:vAlign w:val="bottom"/>
          </w:tcPr>
          <w:p>
            <w:pPr>
              <w:spacing w:after="0"/>
              <w:rPr>
                <w:sz w:val="18"/>
                <w:szCs w:val="18"/>
                <w:color w:val="auto"/>
              </w:rPr>
            </w:pPr>
          </w:p>
        </w:tc>
      </w:tr>
      <w:tr>
        <w:trPr>
          <w:trHeight w:val="230"/>
        </w:trPr>
        <w:tc>
          <w:tcPr>
            <w:tcW w:w="1420" w:type="dxa"/>
            <w:vAlign w:val="bottom"/>
            <w:gridSpan w:val="4"/>
          </w:tcPr>
          <w:p>
            <w:pPr>
              <w:spacing w:after="0"/>
              <w:rPr>
                <w:sz w:val="20"/>
                <w:szCs w:val="20"/>
                <w:color w:val="auto"/>
              </w:rPr>
            </w:pPr>
            <w:r>
              <w:rPr>
                <w:rFonts w:ascii="Arial" w:cs="Arial" w:eastAsia="Arial" w:hAnsi="Arial"/>
                <w:sz w:val="18"/>
                <w:szCs w:val="18"/>
                <w:color w:val="auto"/>
                <w:w w:val="94"/>
              </w:rPr>
              <w:t>SCHEDULE 10.07</w:t>
            </w:r>
          </w:p>
        </w:tc>
        <w:tc>
          <w:tcPr>
            <w:tcW w:w="300" w:type="dxa"/>
            <w:vAlign w:val="bottom"/>
          </w:tcPr>
          <w:p>
            <w:pPr>
              <w:spacing w:after="0"/>
              <w:rPr>
                <w:sz w:val="20"/>
                <w:szCs w:val="20"/>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2420" w:type="dxa"/>
            <w:vAlign w:val="bottom"/>
            <w:gridSpan w:val="5"/>
          </w:tcPr>
          <w:p>
            <w:pPr>
              <w:ind w:left="60"/>
              <w:spacing w:after="0"/>
              <w:rPr>
                <w:sz w:val="20"/>
                <w:szCs w:val="20"/>
                <w:color w:val="auto"/>
              </w:rPr>
            </w:pPr>
            <w:r>
              <w:rPr>
                <w:rFonts w:ascii="Arial" w:cs="Arial" w:eastAsia="Arial" w:hAnsi="Arial"/>
                <w:sz w:val="18"/>
                <w:szCs w:val="18"/>
                <w:color w:val="auto"/>
              </w:rPr>
              <w:t>Transactions with Affiliates</w:t>
            </w:r>
          </w:p>
        </w:tc>
        <w:tc>
          <w:tcPr>
            <w:tcW w:w="2540" w:type="dxa"/>
            <w:vAlign w:val="bottom"/>
          </w:tcPr>
          <w:p>
            <w:pPr>
              <w:spacing w:after="0"/>
              <w:rPr>
                <w:sz w:val="20"/>
                <w:szCs w:val="20"/>
                <w:color w:val="auto"/>
              </w:rPr>
            </w:pPr>
          </w:p>
        </w:tc>
      </w:tr>
      <w:tr>
        <w:trPr>
          <w:trHeight w:val="608"/>
        </w:trPr>
        <w:tc>
          <w:tcPr>
            <w:tcW w:w="1420" w:type="dxa"/>
            <w:vAlign w:val="bottom"/>
            <w:gridSpan w:val="4"/>
          </w:tcPr>
          <w:p>
            <w:pPr>
              <w:spacing w:after="0"/>
              <w:rPr>
                <w:sz w:val="20"/>
                <w:szCs w:val="20"/>
                <w:color w:val="auto"/>
              </w:rPr>
            </w:pPr>
            <w:r>
              <w:rPr>
                <w:rFonts w:ascii="Arial" w:cs="Arial" w:eastAsia="Arial" w:hAnsi="Arial"/>
                <w:sz w:val="18"/>
                <w:szCs w:val="18"/>
                <w:b w:val="1"/>
                <w:bCs w:val="1"/>
                <w:color w:val="auto"/>
              </w:rPr>
              <w:t>EXHIBITS:</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0"/>
        </w:trPr>
        <w:tc>
          <w:tcPr>
            <w:tcW w:w="880" w:type="dxa"/>
            <w:vAlign w:val="bottom"/>
            <w:gridSpan w:val="2"/>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38"/>
        </w:trPr>
        <w:tc>
          <w:tcPr>
            <w:tcW w:w="1420" w:type="dxa"/>
            <w:vAlign w:val="bottom"/>
            <w:gridSpan w:val="4"/>
          </w:tcPr>
          <w:p>
            <w:pPr>
              <w:spacing w:after="0"/>
              <w:rPr>
                <w:sz w:val="20"/>
                <w:szCs w:val="20"/>
                <w:color w:val="auto"/>
              </w:rPr>
            </w:pPr>
            <w:r>
              <w:rPr>
                <w:rFonts w:ascii="Arial" w:cs="Arial" w:eastAsia="Arial" w:hAnsi="Arial"/>
                <w:sz w:val="18"/>
                <w:szCs w:val="18"/>
                <w:color w:val="auto"/>
              </w:rPr>
              <w:t>EXHIBIT A</w:t>
            </w:r>
          </w:p>
        </w:tc>
        <w:tc>
          <w:tcPr>
            <w:tcW w:w="300" w:type="dxa"/>
            <w:vAlign w:val="bottom"/>
          </w:tcPr>
          <w:p>
            <w:pPr>
              <w:spacing w:after="0"/>
              <w:rPr>
                <w:sz w:val="24"/>
                <w:szCs w:val="24"/>
                <w:color w:val="auto"/>
              </w:rPr>
            </w:pPr>
          </w:p>
        </w:tc>
        <w:tc>
          <w:tcPr>
            <w:tcW w:w="400" w:type="dxa"/>
            <w:vAlign w:val="bottom"/>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4"/>
          </w:tcPr>
          <w:p>
            <w:pPr>
              <w:ind w:left="80"/>
              <w:spacing w:after="0"/>
              <w:rPr>
                <w:sz w:val="20"/>
                <w:szCs w:val="20"/>
                <w:color w:val="auto"/>
              </w:rPr>
            </w:pPr>
            <w:r>
              <w:rPr>
                <w:rFonts w:ascii="Arial" w:cs="Arial" w:eastAsia="Arial" w:hAnsi="Arial"/>
                <w:sz w:val="18"/>
                <w:szCs w:val="18"/>
                <w:color w:val="auto"/>
              </w:rPr>
              <w:t>Form of Note</w:t>
            </w:r>
          </w:p>
        </w:tc>
        <w:tc>
          <w:tcPr>
            <w:tcW w:w="126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rPr>
              <w:t>-  Form of Notice of Borrowing</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C</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Form of Notice of Continuation/Conversion</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D</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Forms of U.S. Tax Compliance Certificate</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E</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w w:val="96"/>
              </w:rPr>
              <w:t>-  Form of Compliance Certificate</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F</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rPr>
              <w:t>-  Form of Solvency Certificate</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G</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rPr>
              <w:t>-  Form of Pledge Agreement</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H</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Form of Assignment and Assumption Agreement</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I</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rPr>
              <w:t>-  Form of Joinder Agreement</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J</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rPr>
              <w:t>-  Form of Perfection Certificate</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K</w:t>
            </w:r>
          </w:p>
        </w:tc>
        <w:tc>
          <w:tcPr>
            <w:tcW w:w="300" w:type="dxa"/>
            <w:vAlign w:val="bottom"/>
          </w:tcPr>
          <w:p>
            <w:pPr>
              <w:spacing w:after="0"/>
              <w:rPr>
                <w:sz w:val="18"/>
                <w:szCs w:val="18"/>
                <w:color w:val="auto"/>
              </w:rPr>
            </w:pPr>
          </w:p>
        </w:tc>
        <w:tc>
          <w:tcPr>
            <w:tcW w:w="2820" w:type="dxa"/>
            <w:vAlign w:val="bottom"/>
            <w:gridSpan w:val="6"/>
          </w:tcPr>
          <w:p>
            <w:pPr>
              <w:ind w:left="240"/>
              <w:spacing w:after="0"/>
              <w:rPr>
                <w:sz w:val="20"/>
                <w:szCs w:val="20"/>
                <w:color w:val="auto"/>
              </w:rPr>
            </w:pPr>
            <w:r>
              <w:rPr>
                <w:rFonts w:ascii="Arial" w:cs="Arial" w:eastAsia="Arial" w:hAnsi="Arial"/>
                <w:sz w:val="18"/>
                <w:szCs w:val="18"/>
                <w:color w:val="auto"/>
              </w:rPr>
              <w:t>-  Form of Auction Procedures</w:t>
            </w:r>
          </w:p>
        </w:tc>
        <w:tc>
          <w:tcPr>
            <w:tcW w:w="2540" w:type="dxa"/>
            <w:vAlign w:val="bottom"/>
          </w:tcPr>
          <w:p>
            <w:pPr>
              <w:spacing w:after="0"/>
              <w:rPr>
                <w:sz w:val="18"/>
                <w:szCs w:val="18"/>
                <w:color w:val="auto"/>
              </w:rPr>
            </w:pP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L</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w w:val="99"/>
              </w:rPr>
              <w:t>-  Form of Open Market Assignment and Assumption Agreement</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M</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Form of Term Loan Extension Amendment</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N</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xml:space="preserve">-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w:t>
            </w:r>
          </w:p>
        </w:tc>
      </w:tr>
      <w:tr>
        <w:trPr>
          <w:trHeight w:val="216"/>
        </w:trPr>
        <w:tc>
          <w:tcPr>
            <w:tcW w:w="1420" w:type="dxa"/>
            <w:vAlign w:val="bottom"/>
            <w:gridSpan w:val="4"/>
          </w:tcPr>
          <w:p>
            <w:pPr>
              <w:spacing w:after="0"/>
              <w:rPr>
                <w:sz w:val="20"/>
                <w:szCs w:val="20"/>
                <w:color w:val="auto"/>
              </w:rPr>
            </w:pPr>
            <w:r>
              <w:rPr>
                <w:rFonts w:ascii="Arial" w:cs="Arial" w:eastAsia="Arial" w:hAnsi="Arial"/>
                <w:sz w:val="18"/>
                <w:szCs w:val="18"/>
                <w:color w:val="auto"/>
              </w:rPr>
              <w:t>EXHIBIT O</w:t>
            </w:r>
          </w:p>
        </w:tc>
        <w:tc>
          <w:tcPr>
            <w:tcW w:w="300" w:type="dxa"/>
            <w:vAlign w:val="bottom"/>
          </w:tcPr>
          <w:p>
            <w:pPr>
              <w:spacing w:after="0"/>
              <w:rPr>
                <w:sz w:val="18"/>
                <w:szCs w:val="18"/>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Form of Second Lien Intercreditor Agreement</w:t>
            </w:r>
          </w:p>
        </w:tc>
      </w:tr>
      <w:tr>
        <w:trPr>
          <w:trHeight w:val="230"/>
        </w:trPr>
        <w:tc>
          <w:tcPr>
            <w:tcW w:w="1420" w:type="dxa"/>
            <w:vAlign w:val="bottom"/>
            <w:gridSpan w:val="4"/>
          </w:tcPr>
          <w:p>
            <w:pPr>
              <w:spacing w:after="0"/>
              <w:rPr>
                <w:sz w:val="20"/>
                <w:szCs w:val="20"/>
                <w:color w:val="auto"/>
              </w:rPr>
            </w:pPr>
            <w:r>
              <w:rPr>
                <w:rFonts w:ascii="Arial" w:cs="Arial" w:eastAsia="Arial" w:hAnsi="Arial"/>
                <w:sz w:val="18"/>
                <w:szCs w:val="18"/>
                <w:color w:val="auto"/>
              </w:rPr>
              <w:t>EXHIBIT P</w:t>
            </w:r>
          </w:p>
        </w:tc>
        <w:tc>
          <w:tcPr>
            <w:tcW w:w="300" w:type="dxa"/>
            <w:vAlign w:val="bottom"/>
          </w:tcPr>
          <w:p>
            <w:pPr>
              <w:spacing w:after="0"/>
              <w:rPr>
                <w:sz w:val="20"/>
                <w:szCs w:val="20"/>
                <w:color w:val="auto"/>
              </w:rPr>
            </w:pPr>
          </w:p>
        </w:tc>
        <w:tc>
          <w:tcPr>
            <w:tcW w:w="5360" w:type="dxa"/>
            <w:vAlign w:val="bottom"/>
            <w:gridSpan w:val="7"/>
          </w:tcPr>
          <w:p>
            <w:pPr>
              <w:ind w:left="240"/>
              <w:spacing w:after="0"/>
              <w:rPr>
                <w:sz w:val="20"/>
                <w:szCs w:val="20"/>
                <w:color w:val="auto"/>
              </w:rPr>
            </w:pPr>
            <w:r>
              <w:rPr>
                <w:rFonts w:ascii="Arial" w:cs="Arial" w:eastAsia="Arial" w:hAnsi="Arial"/>
                <w:sz w:val="18"/>
                <w:szCs w:val="18"/>
                <w:color w:val="auto"/>
              </w:rPr>
              <w:t>-  Form of Subordination Agreement</w:t>
            </w:r>
          </w:p>
        </w:tc>
      </w:tr>
    </w:tbl>
    <w:p>
      <w:pPr>
        <w:spacing w:after="0" w:line="200" w:lineRule="exact"/>
        <w:rPr>
          <w:sz w:val="20"/>
          <w:szCs w:val="20"/>
          <w:color w:val="auto"/>
        </w:rPr>
      </w:pPr>
    </w:p>
    <w:p>
      <w:pPr>
        <w:spacing w:after="0" w:line="21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October 30, 2018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RESORTS, LIMITED</w:t>
      </w:r>
      <w:r>
        <w:rPr>
          <w:rFonts w:ascii="Arial" w:cs="Arial" w:eastAsia="Arial" w:hAnsi="Arial"/>
          <w:sz w:val="18"/>
          <w:szCs w:val="18"/>
          <w:color w:val="auto"/>
        </w:rPr>
        <w:t>, a Nevada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w:t>
      </w:r>
      <w:r>
        <w:rPr>
          <w:rFonts w:ascii="Arial" w:cs="Arial" w:eastAsia="Arial" w:hAnsi="Arial"/>
          <w:sz w:val="18"/>
          <w:szCs w:val="18"/>
          <w:b w:val="1"/>
          <w:bCs w:val="1"/>
          <w:color w:val="auto"/>
        </w:rPr>
        <w:t>WYNN GROUP ASIA, INC.</w:t>
      </w:r>
      <w:r>
        <w:rPr>
          <w:rFonts w:ascii="Arial" w:cs="Arial" w:eastAsia="Arial" w:hAnsi="Arial"/>
          <w:sz w:val="18"/>
          <w:szCs w:val="18"/>
          <w:color w:val="auto"/>
        </w:rPr>
        <w:t>, a Nevada corporation (“</w:t>
      </w:r>
      <w:r>
        <w:rPr>
          <w:rFonts w:ascii="Arial" w:cs="Arial" w:eastAsia="Arial" w:hAnsi="Arial"/>
          <w:sz w:val="18"/>
          <w:szCs w:val="18"/>
          <w:b w:val="1"/>
          <w:bCs w:val="1"/>
          <w:color w:val="auto"/>
        </w:rPr>
        <w:t>Asia Guarantor</w:t>
      </w:r>
      <w:r>
        <w:rPr>
          <w:rFonts w:ascii="Arial" w:cs="Arial" w:eastAsia="Arial" w:hAnsi="Arial"/>
          <w:sz w:val="18"/>
          <w:szCs w:val="18"/>
          <w:color w:val="auto"/>
        </w:rPr>
        <w:t xml:space="preserve">”), </w:t>
      </w:r>
      <w:r>
        <w:rPr>
          <w:rFonts w:ascii="Arial" w:cs="Arial" w:eastAsia="Arial" w:hAnsi="Arial"/>
          <w:sz w:val="18"/>
          <w:szCs w:val="18"/>
          <w:b w:val="1"/>
          <w:bCs w:val="1"/>
          <w:color w:val="auto"/>
        </w:rPr>
        <w:t>WYNN RESORTS HOLDINGS, LLC</w:t>
      </w:r>
      <w:r>
        <w:rPr>
          <w:rFonts w:ascii="Arial" w:cs="Arial" w:eastAsia="Arial" w:hAnsi="Arial"/>
          <w:sz w:val="18"/>
          <w:szCs w:val="18"/>
          <w:color w:val="auto"/>
        </w:rPr>
        <w:t>, a Nevada limited liability company (“</w:t>
      </w:r>
      <w:r>
        <w:rPr>
          <w:rFonts w:ascii="Arial" w:cs="Arial" w:eastAsia="Arial" w:hAnsi="Arial"/>
          <w:sz w:val="18"/>
          <w:szCs w:val="18"/>
          <w:b w:val="1"/>
          <w:bCs w:val="1"/>
          <w:color w:val="auto"/>
        </w:rPr>
        <w:t>Holdings Guarantor</w:t>
      </w:r>
      <w:r>
        <w:rPr>
          <w:rFonts w:ascii="Arial" w:cs="Arial" w:eastAsia="Arial" w:hAnsi="Arial"/>
          <w:sz w:val="18"/>
          <w:szCs w:val="18"/>
          <w:color w:val="auto"/>
        </w:rPr>
        <w:t xml:space="preserve">”); the other </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from time to time party hereto,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administrative agent (in such capacity, together with its successors in such 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and</w:t>
      </w:r>
      <w:r>
        <w:rPr>
          <w:rFonts w:ascii="Arial" w:cs="Arial" w:eastAsia="Arial" w:hAnsi="Arial"/>
          <w:sz w:val="18"/>
          <w:szCs w:val="18"/>
          <w:b w:val="1"/>
          <w:bCs w:val="1"/>
          <w:color w:val="auto"/>
        </w:rPr>
        <w:t xml:space="preserve"> DEUTSCHE BANK AG NEW YORK BRANCH</w:t>
      </w:r>
      <w:r>
        <w:rPr>
          <w:rFonts w:ascii="Arial" w:cs="Arial" w:eastAsia="Arial" w:hAnsi="Arial"/>
          <w:sz w:val="18"/>
          <w:szCs w:val="18"/>
          <w:color w:val="auto"/>
        </w:rPr>
        <w:t>, as collateral agent (in such capacity, together with its successors in such capacity,</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Borrower has requested that the Lenders provide senior secured term loan facilities, and the Lenders have indicated their willingness to lend, on the terms and subject to the conditions set forth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ectPr>
          <w:pgSz w:w="11900" w:h="16838" w:orient="portrait"/>
          <w:cols w:equalWidth="0" w:num="1">
            <w:col w:w="11420"/>
          </w:cols>
          <w:pgMar w:left="240" w:top="125" w:right="239" w:bottom="179" w:gutter="0" w:footer="0" w:header="0"/>
        </w:sectPr>
      </w:pPr>
    </w:p>
    <w:bookmarkStart w:id="62" w:name="page63"/>
    <w:bookmarkEnd w:id="62"/>
    <w:p>
      <w:pPr>
        <w:spacing w:after="0" w:line="9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ARTICLE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ACCOUNTING MATTERS AND RULES OF CONSTRUCTION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Certain Defined Terms</w:t>
      </w:r>
      <w:r>
        <w:rPr>
          <w:rFonts w:ascii="Arial" w:cs="Arial" w:eastAsia="Arial" w:hAnsi="Arial"/>
          <w:sz w:val="16"/>
          <w:szCs w:val="16"/>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by such Person or any Subsidiary of such Person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 of Terrorism</w:t>
      </w:r>
      <w:r>
        <w:rPr>
          <w:rFonts w:ascii="Arial" w:cs="Arial" w:eastAsia="Arial" w:hAnsi="Arial"/>
          <w:sz w:val="17"/>
          <w:szCs w:val="17"/>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8"/>
        <w:spacing w:after="0" w:line="261" w:lineRule="auto"/>
        <w:tabs>
          <w:tab w:leader="none" w:pos="264"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13.04(b)(i)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Lender</w:t>
      </w:r>
      <w:r>
        <w:rPr>
          <w:rFonts w:ascii="Arial" w:cs="Arial" w:eastAsia="Arial" w:hAnsi="Arial"/>
          <w:sz w:val="18"/>
          <w:szCs w:val="18"/>
          <w:color w:val="auto"/>
        </w:rPr>
        <w:t xml:space="preserve">” shall have the meaning assigned to such term in </w:t>
      </w:r>
      <w:r>
        <w:rPr>
          <w:rFonts w:ascii="Arial" w:cs="Arial" w:eastAsia="Arial" w:hAnsi="Arial"/>
          <w:sz w:val="18"/>
          <w:szCs w:val="18"/>
          <w:u w:val="single" w:color="auto"/>
          <w:color w:val="auto"/>
        </w:rPr>
        <w:t>Section 13.05(e)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w:t>
      </w:r>
      <w:r>
        <w:rPr>
          <w:rFonts w:ascii="Arial" w:cs="Arial" w:eastAsia="Arial" w:hAnsi="Arial"/>
          <w:sz w:val="16"/>
          <w:szCs w:val="16"/>
          <w:color w:val="auto"/>
        </w:rPr>
        <w:t>” shall mean any of Administrative Agent, Auction Manager, Collateral Agent, Documentation Agents and/or Lead Arrangers, as applicable.</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All-In Yield</w:t>
      </w:r>
      <w:r>
        <w:rPr>
          <w:rFonts w:ascii="Arial" w:cs="Arial" w:eastAsia="Arial" w:hAnsi="Arial"/>
          <w:sz w:val="18"/>
          <w:szCs w:val="18"/>
          <w:color w:val="auto"/>
        </w:rPr>
        <w:t xml:space="preserve">” shall mean, as to any Indebtedness, the yield thereof, whether in the form of interest rate, margin, original issue discount, upfront fees, a LIBO Rate floor or Alternate Base Rate floor or otherwise, in each case, incurred or payable by Borrower generally to all lenders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original issue discount and upfront fees shall be equated to interest rate assuming a 4-year life to maturity (or, if less, the stated life to maturity at the time of incurrence of the applicable Indebtedness);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“All-In Yield” shall not include arrangement, structuring, commitment, underwriting or other similar fees (regardless of whether paid in whole or in part to any or all lenders), customary amendment consent fees, or other fees not paid generally to all lenders of such Indebtedness.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Payment</w:t>
      </w:r>
      <w:r>
        <w:rPr>
          <w:rFonts w:ascii="Arial" w:cs="Arial" w:eastAsia="Arial" w:hAnsi="Arial"/>
          <w:sz w:val="17"/>
          <w:szCs w:val="17"/>
          <w:color w:val="auto"/>
        </w:rPr>
        <w:t xml:space="preserve">” shall mean each scheduled installment of payments on the Term Loans as set forth in </w:t>
      </w:r>
      <w:r>
        <w:rPr>
          <w:rFonts w:ascii="Arial" w:cs="Arial" w:eastAsia="Arial" w:hAnsi="Arial"/>
          <w:sz w:val="17"/>
          <w:szCs w:val="17"/>
          <w:u w:val="single" w:color="auto"/>
          <w:color w:val="auto"/>
        </w:rPr>
        <w:t>Sections 3.01(a)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3.01(b)</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ECF Percentage</w:t>
      </w:r>
      <w:r>
        <w:rPr>
          <w:rFonts w:ascii="Arial" w:cs="Arial" w:eastAsia="Arial" w:hAnsi="Arial"/>
          <w:sz w:val="16"/>
          <w:szCs w:val="16"/>
          <w:color w:val="auto"/>
        </w:rPr>
        <w:t>” shall mean, for any fiscal year of the Borrower, (a) 50.0% if the Consolidated First Lien Secured Leverage Ratio as of the last day of such fiscal year is greater than (i) if the Wynn Massachusetts Project Opening Date has not yet occurred or occurred in such fiscal year, 4.50:1.00 or (ii) for any fiscal year after the fiscal year in which the Wynn Massachusetts Project Opening Date occurs, 4.00:1.00, otherwise (b) 0.0%.</w:t>
      </w:r>
    </w:p>
    <w:p>
      <w:pPr>
        <w:spacing w:after="0" w:line="14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Lending Office</w:t>
      </w:r>
      <w:r>
        <w:rPr>
          <w:rFonts w:ascii="Arial" w:cs="Arial" w:eastAsia="Arial" w:hAnsi="Arial"/>
          <w:sz w:val="16"/>
          <w:szCs w:val="16"/>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hereof, (b) set forth on such Lender’s signature page to an Incremental Joinder Agreement for any Lender making any Incremental Term Loan Commitment pursuant to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(c) set forth on such Lender’s signature page to any Refinancing Amendment for any Lender providing Credit Agreement Refinancing Indebtedness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 or (d) set</w:t>
      </w:r>
    </w:p>
    <w:p>
      <w:pPr>
        <w:sectPr>
          <w:pgSz w:w="11900" w:h="16930" w:orient="portrait"/>
          <w:cols w:equalWidth="0" w:num="1">
            <w:col w:w="11420"/>
          </w:cols>
          <w:pgMar w:left="240" w:top="152" w:right="239" w:bottom="0" w:gutter="0" w:footer="0" w:header="0"/>
        </w:sectPr>
      </w:pPr>
    </w:p>
    <w:bookmarkStart w:id="63" w:name="page64"/>
    <w:bookmarkEnd w:id="63"/>
    <w:p>
      <w:pPr>
        <w:spacing w:after="0" w:line="1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forth in the Assignment Agreement for any Person that becomes a “Lender” hereunder pursuant to an Assignment Agreement, or (e) such other office of such Lender (or of an Affiliate of such Lender) as such Lender may from time to time specify to Administrative Agent and Borrower as the office by which its Loans of such Type are to be made and maintained.</w:t>
      </w:r>
    </w:p>
    <w:p>
      <w:pPr>
        <w:spacing w:after="0" w:line="17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shall mean, (a) (i) for each Term Facility Loan that is a LIBOR Loan, 2.25%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 for each Term Facility Loan that is an ABR Loan, 1.25%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(b) for each other Type and Class of Loan, the respective percentage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set forth on the applicable Incremental Joinder Agreement, Refinancing Amendment, or Extension Amendment for such Type and Class of Loan.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Asia Guarantor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xml:space="preserve">” shall mean any conveyance, sale, lease, transfer, or other disposition (including by way of merger or consolidation and including any sale and leaseback transaction) of any Property (including accounts receivable and Equity Interests of any Subsidiary owned directly by any Guarantor but not any Equity Issuance or Equity Interests of any other Subsidiary of the Borrower that is not a Guarantor) (whether owned on the Closing Date or thereafter acquired) by any Credit Party to any Person (other than to any Credit Party) to the extent that the aggregate value of such Property sold in any single transaction or related series of transactions is greater than or equal to $50.0 million;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shall not constitute an “Asset Sale”: (x) any conveyance, sale, lease, transfer, or other disposition of obsolete or worn out assets or assets no longer useful in the business of the Credit Parties, (y) subject to the last sentence of </w:t>
      </w:r>
      <w:r>
        <w:rPr>
          <w:rFonts w:ascii="Arial" w:cs="Arial" w:eastAsia="Arial" w:hAnsi="Arial"/>
          <w:sz w:val="17"/>
          <w:szCs w:val="17"/>
          <w:u w:val="single" w:color="auto"/>
          <w:color w:val="auto"/>
        </w:rPr>
        <w:t>Section 10.05</w:t>
      </w:r>
      <w:r>
        <w:rPr>
          <w:rFonts w:ascii="Arial" w:cs="Arial" w:eastAsia="Arial" w:hAnsi="Arial"/>
          <w:sz w:val="17"/>
          <w:szCs w:val="17"/>
          <w:color w:val="auto"/>
        </w:rPr>
        <w:t>, licenses of Intellectual Property entered into in the ordinary course of business, and (z) any conveyance, sale, transfer, or other disposition of cash and/or Cash Equivalents.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H</w:t>
      </w:r>
      <w:r>
        <w:rPr>
          <w:rFonts w:ascii="Arial" w:cs="Arial" w:eastAsia="Arial" w:hAnsi="Arial"/>
          <w:sz w:val="17"/>
          <w:szCs w:val="17"/>
          <w:color w:val="auto"/>
        </w:rPr>
        <w:t xml:space="preserve">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Manager</w:t>
      </w:r>
      <w:r>
        <w:rPr>
          <w:rFonts w:ascii="Arial" w:cs="Arial" w:eastAsia="Arial" w:hAnsi="Arial"/>
          <w:sz w:val="18"/>
          <w:szCs w:val="18"/>
          <w:color w:val="auto"/>
        </w:rPr>
        <w:t>” shall mean DB, or another financial institution as shall be selected by Borrower in a written notice to Administrative Agent, in each case in its capacity as Auction Manager.</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Procedures</w:t>
      </w:r>
      <w:r>
        <w:rPr>
          <w:rFonts w:ascii="Arial" w:cs="Arial" w:eastAsia="Arial" w:hAnsi="Arial"/>
          <w:sz w:val="16"/>
          <w:szCs w:val="16"/>
          <w:color w:val="auto"/>
        </w:rPr>
        <w:t xml:space="preserve">” shall mean, collectively, the auction procedures, auction notice, return bid and Borrower Assignment Agreement in substantially the form set forth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hereto or such other form as is reasonably acceptable to Auction Manager and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amendments or modifications may be implemented after 24 hours prior to the date and time return bids are due in such auction.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Equity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ind w:left="340" w:firstLine="640"/>
        <w:spacing w:after="0" w:line="357" w:lineRule="auto"/>
        <w:tabs>
          <w:tab w:leader="none" w:pos="1836" w:val="left"/>
        </w:tabs>
        <w:numPr>
          <w:ilvl w:val="0"/>
          <w:numId w:val="21"/>
        </w:numPr>
        <w:rPr>
          <w:rFonts w:ascii="Arial" w:cs="Arial" w:eastAsia="Arial" w:hAnsi="Arial"/>
          <w:sz w:val="17"/>
          <w:szCs w:val="17"/>
          <w:color w:val="auto"/>
        </w:rPr>
      </w:pPr>
      <w:r>
        <w:rPr>
          <w:rFonts w:ascii="Arial" w:cs="Arial" w:eastAsia="Arial" w:hAnsi="Arial"/>
          <w:sz w:val="17"/>
          <w:szCs w:val="17"/>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w:t>
      </w:r>
      <w:r>
        <w:rPr>
          <w:rFonts w:ascii="Arial" w:cs="Arial" w:eastAsia="Arial" w:hAnsi="Arial"/>
          <w:sz w:val="17"/>
          <w:szCs w:val="17"/>
          <w:i w:val="1"/>
          <w:iCs w:val="1"/>
          <w:color w:val="auto"/>
        </w:rPr>
        <w:t>plus</w:t>
      </w:r>
    </w:p>
    <w:p>
      <w:pPr>
        <w:spacing w:after="0" w:line="147" w:lineRule="exact"/>
        <w:rPr>
          <w:rFonts w:ascii="Arial" w:cs="Arial" w:eastAsia="Arial" w:hAnsi="Arial"/>
          <w:sz w:val="17"/>
          <w:szCs w:val="17"/>
          <w:color w:val="auto"/>
        </w:rPr>
      </w:pPr>
    </w:p>
    <w:p>
      <w:pPr>
        <w:jc w:val="both"/>
        <w:ind w:left="340" w:firstLine="640"/>
        <w:spacing w:after="0" w:line="311" w:lineRule="auto"/>
        <w:tabs>
          <w:tab w:leader="none" w:pos="184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dividends, interest, distributions, returns of principal, sale proceeds, repayments, income and similar amounts) by any Credit Party in respect of any Investments pursuant to </w:t>
      </w:r>
      <w:r>
        <w:rPr>
          <w:rFonts w:ascii="Arial" w:cs="Arial" w:eastAsia="Arial" w:hAnsi="Arial"/>
          <w:sz w:val="18"/>
          <w:szCs w:val="18"/>
          <w:u w:val="single" w:color="auto"/>
          <w:color w:val="auto"/>
        </w:rPr>
        <w:t>Section 10.04(w)</w:t>
      </w:r>
      <w:r>
        <w:rPr>
          <w:rFonts w:ascii="Arial" w:cs="Arial" w:eastAsia="Arial" w:hAnsi="Arial"/>
          <w:sz w:val="18"/>
          <w:szCs w:val="18"/>
          <w:color w:val="auto"/>
        </w:rPr>
        <w:t xml:space="preserve">; </w:t>
      </w:r>
      <w:r>
        <w:rPr>
          <w:rFonts w:ascii="Arial" w:cs="Arial" w:eastAsia="Arial" w:hAnsi="Arial"/>
          <w:sz w:val="18"/>
          <w:szCs w:val="18"/>
          <w:i w:val="1"/>
          <w:iCs w:val="1"/>
          <w:color w:val="auto"/>
        </w:rPr>
        <w:t>minus</w:t>
      </w:r>
    </w:p>
    <w:p>
      <w:pPr>
        <w:spacing w:after="0" w:line="181" w:lineRule="exact"/>
        <w:rPr>
          <w:rFonts w:ascii="Arial" w:cs="Arial" w:eastAsia="Arial" w:hAnsi="Arial"/>
          <w:sz w:val="18"/>
          <w:szCs w:val="18"/>
          <w:color w:val="auto"/>
        </w:rPr>
      </w:pPr>
    </w:p>
    <w:p>
      <w:pPr>
        <w:jc w:val="both"/>
        <w:ind w:left="340" w:firstLine="640"/>
        <w:spacing w:after="0" w:line="311" w:lineRule="auto"/>
        <w:tabs>
          <w:tab w:leader="none" w:pos="18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w:t>
      </w:r>
      <w:r>
        <w:rPr>
          <w:rFonts w:ascii="Arial" w:cs="Arial" w:eastAsia="Arial" w:hAnsi="Arial"/>
          <w:sz w:val="18"/>
          <w:szCs w:val="18"/>
          <w:u w:val="single" w:color="auto"/>
          <w:color w:val="auto"/>
        </w:rPr>
        <w:t>Section 10.04(w)</w:t>
      </w:r>
      <w:r>
        <w:rPr>
          <w:rFonts w:ascii="Arial" w:cs="Arial" w:eastAsia="Arial" w:hAnsi="Arial"/>
          <w:sz w:val="18"/>
          <w:szCs w:val="18"/>
          <w:color w:val="auto"/>
        </w:rPr>
        <w:t xml:space="preserve">, (ii) Restricted Payments made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10.06(n)</w:t>
      </w:r>
      <w:r>
        <w:rPr>
          <w:rFonts w:ascii="Arial" w:cs="Arial" w:eastAsia="Arial" w:hAnsi="Arial"/>
          <w:sz w:val="18"/>
          <w:szCs w:val="18"/>
          <w:color w:val="auto"/>
        </w:rPr>
        <w:t xml:space="preserve"> and (iii) Junior Prepayments pursuant to </w:t>
      </w:r>
      <w:r>
        <w:rPr>
          <w:rFonts w:ascii="Arial" w:cs="Arial" w:eastAsia="Arial" w:hAnsi="Arial"/>
          <w:sz w:val="18"/>
          <w:szCs w:val="18"/>
          <w:u w:val="single" w:color="auto"/>
          <w:color w:val="auto"/>
        </w:rPr>
        <w:t>Section 10.09(l)</w:t>
      </w:r>
      <w:r>
        <w:rPr>
          <w:rFonts w:ascii="Arial" w:cs="Arial" w:eastAsia="Arial" w:hAnsi="Arial"/>
          <w:sz w:val="18"/>
          <w:szCs w:val="18"/>
          <w:color w:val="auto"/>
        </w:rPr>
        <w:t xml:space="preserve"> (in each case, in reliance on the then-outstanding Available Equity Amount) made since the Closing Date and on or prior to such date.</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shall mean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shall mean,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w:t>
      </w:r>
    </w:p>
    <w:p>
      <w:pPr>
        <w:spacing w:after="0" w:line="225"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 Assignment Agreement</w:t>
      </w:r>
      <w:r>
        <w:rPr>
          <w:rFonts w:ascii="Arial" w:cs="Arial" w:eastAsia="Arial" w:hAnsi="Arial"/>
          <w:sz w:val="16"/>
          <w:szCs w:val="16"/>
          <w:color w:val="auto"/>
        </w:rPr>
        <w:t xml:space="preserve">” shall mean, with respect to any assignment to Borrower or one of its Subsidiaries pursuant to </w:t>
      </w:r>
      <w:r>
        <w:rPr>
          <w:rFonts w:ascii="Arial" w:cs="Arial" w:eastAsia="Arial" w:hAnsi="Arial"/>
          <w:sz w:val="16"/>
          <w:szCs w:val="16"/>
          <w:u w:val="single" w:color="auto"/>
          <w:color w:val="auto"/>
        </w:rPr>
        <w:t>Section 13.05(d)</w:t>
      </w:r>
      <w:r>
        <w:rPr>
          <w:rFonts w:ascii="Arial" w:cs="Arial" w:eastAsia="Arial" w:hAnsi="Arial"/>
          <w:sz w:val="16"/>
          <w:szCs w:val="16"/>
          <w:color w:val="auto"/>
        </w:rPr>
        <w:t xml:space="preserve"> consummated pursuant to the Auction Procedures, an Assignment and Acceptance Agreement substantially in the form of Annex C to the Auction Procedures</w:t>
      </w:r>
    </w:p>
    <w:p>
      <w:pPr>
        <w:sectPr>
          <w:pgSz w:w="11900" w:h="16952" w:orient="portrait"/>
          <w:cols w:equalWidth="0" w:num="1">
            <w:col w:w="11420"/>
          </w:cols>
          <w:pgMar w:left="240" w:top="125" w:right="239" w:bottom="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(as may be modified from time to time as set forth in the definition of “Auction Procedures”).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Borrower Loan Purchase</w:t>
      </w:r>
      <w:r>
        <w:rPr>
          <w:rFonts w:ascii="Arial" w:cs="Arial" w:eastAsia="Arial" w:hAnsi="Arial"/>
          <w:sz w:val="17"/>
          <w:szCs w:val="17"/>
          <w:color w:val="auto"/>
        </w:rPr>
        <w:t xml:space="preserve">” shall mean any purchase of Term Loans by Borrower or one of its Subsidiaries pursuant to </w:t>
      </w:r>
      <w:r>
        <w:rPr>
          <w:rFonts w:ascii="Arial" w:cs="Arial" w:eastAsia="Arial" w:hAnsi="Arial"/>
          <w:sz w:val="17"/>
          <w:szCs w:val="17"/>
          <w:u w:val="single" w:color="auto"/>
          <w:color w:val="auto"/>
        </w:rPr>
        <w:t>Section 13.05(d)</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Bridge Commitment Letter</w:t>
      </w:r>
      <w:r>
        <w:rPr>
          <w:rFonts w:ascii="Arial" w:cs="Arial" w:eastAsia="Arial" w:hAnsi="Arial"/>
          <w:sz w:val="18"/>
          <w:szCs w:val="18"/>
          <w:color w:val="auto"/>
        </w:rPr>
        <w:t>” shall mean that certain Amended and Restated Commitment Letter dated as of October 5, 2018 among Borrower and the Lead Arrangers.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Expenditures</w:t>
      </w:r>
      <w:r>
        <w:rPr>
          <w:rFonts w:ascii="Arial" w:cs="Arial" w:eastAsia="Arial" w:hAnsi="Arial"/>
          <w:sz w:val="16"/>
          <w:szCs w:val="16"/>
          <w:color w:val="auto"/>
        </w:rPr>
        <w:t xml:space="preserve">” shall mean, for any period any expenditures by any Credit Party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w:t>
      </w:r>
    </w:p>
    <w:p>
      <w:pPr>
        <w:spacing w:after="0" w:line="2" w:lineRule="exact"/>
        <w:rPr>
          <w:sz w:val="20"/>
          <w:szCs w:val="20"/>
          <w:color w:val="auto"/>
        </w:rPr>
      </w:pPr>
    </w:p>
    <w:p>
      <w:pPr>
        <w:jc w:val="both"/>
        <w:ind w:firstLine="8"/>
        <w:spacing w:after="0" w:line="287" w:lineRule="auto"/>
        <w:tabs>
          <w:tab w:leader="none" w:pos="27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 (c) the purchase of property or equipment to the extent financed with the proceeds of asset sales or other dispositions outside the ordinary course of business that are not required to be applied to prepay the Term Loans pursuant to </w:t>
      </w:r>
      <w:r>
        <w:rPr>
          <w:rFonts w:ascii="Arial" w:cs="Arial" w:eastAsia="Arial" w:hAnsi="Arial"/>
          <w:sz w:val="16"/>
          <w:szCs w:val="16"/>
          <w:u w:val="single" w:color="auto"/>
          <w:color w:val="auto"/>
        </w:rPr>
        <w:t>Section 2.10(a)(iii)</w:t>
      </w:r>
      <w:r>
        <w:rPr>
          <w:rFonts w:ascii="Arial" w:cs="Arial" w:eastAsia="Arial" w:hAnsi="Arial"/>
          <w:sz w:val="16"/>
          <w:szCs w:val="16"/>
          <w:color w:val="auto"/>
        </w:rPr>
        <w:t>; (d) expenditures that constitute Permitted Acquisitions or other Acquisitions not prohibited hereunder; (e) any capitalized interest expense reflected as additions to property in the consolidated balance sheet of the Credit Parties (including in connection with sale-leaseback transactions not prohibited hereunder); (f) any non-cash compensation or other non-cash costs reflected as additions to property in the consolidated balance sheet of the Credit Parties; and (g) capital expenditures relating to the construction or acquisition of any property or equipment which has been transferred to a Person other than a Credit Party pursuant to a sale-leaseback transaction not prohibited hereunder and capital expenditures arising pursuant to sale-leaseback transactions.</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any lease that is accounted for by any Person as an operating lease as of the Closing Date and any similar lease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Closing Date by any Person may, in the sole discretion of Borrower, be accounted for as an operating lease and not as a Capital Lease.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Carryover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4" w:lineRule="exact"/>
        <w:rPr>
          <w:sz w:val="20"/>
          <w:szCs w:val="20"/>
          <w:color w:val="auto"/>
        </w:rPr>
      </w:pPr>
    </w:p>
    <w:p>
      <w:pPr>
        <w:jc w:val="both"/>
        <w:ind w:firstLine="8"/>
        <w:spacing w:after="0" w:line="268" w:lineRule="auto"/>
        <w:tabs>
          <w:tab w:leader="none" w:pos="255"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 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Casualty Event</w:t>
      </w:r>
      <w:r>
        <w:rPr>
          <w:rFonts w:ascii="Arial" w:cs="Arial" w:eastAsia="Arial" w:hAnsi="Arial"/>
          <w:sz w:val="18"/>
          <w:szCs w:val="18"/>
          <w:color w:val="auto"/>
        </w:rPr>
        <w:t xml:space="preserve">” shall mean any loss of title or any loss of or damage to or destruction of, or any condemnation or other taking (or settlement in lieu thereof) (including by any Governmental Authority) of, any Property;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such event shall constitute a Casualty Event if the proceeds thereof or other compensation in respect thereof is less than $50.0 million.</w:t>
      </w:r>
    </w:p>
    <w:p>
      <w:pPr>
        <w:sectPr>
          <w:pgSz w:w="11900" w:h="16838" w:orient="portrait"/>
          <w:cols w:equalWidth="0" w:num="1">
            <w:col w:w="11420"/>
          </w:cols>
          <w:pgMar w:left="240" w:top="125" w:right="239" w:bottom="0" w:gutter="0" w:footer="0" w:header="0"/>
        </w:sectPr>
      </w:pPr>
    </w:p>
    <w:bookmarkStart w:id="65" w:name="page66"/>
    <w:bookmarkEnd w:id="65"/>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occurrence of any of the following:</w:t>
      </w:r>
    </w:p>
    <w:p>
      <w:pPr>
        <w:spacing w:after="0" w:line="229" w:lineRule="exact"/>
        <w:rPr>
          <w:sz w:val="20"/>
          <w:szCs w:val="20"/>
          <w:color w:val="auto"/>
        </w:rPr>
      </w:pPr>
    </w:p>
    <w:p>
      <w:pPr>
        <w:jc w:val="both"/>
        <w:ind w:firstLine="656"/>
        <w:spacing w:after="0" w:line="291" w:lineRule="auto"/>
        <w:tabs>
          <w:tab w:leader="none" w:pos="1041"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the Credit Parties, taken as a whole, to any “person” (as that term is used in Section 13(d)</w:t>
      </w:r>
    </w:p>
    <w:p>
      <w:pPr>
        <w:ind w:left="260" w:hanging="252"/>
        <w:spacing w:after="0"/>
        <w:tabs>
          <w:tab w:leader="none" w:pos="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 the Exchange Act), other than to Borrower and any Guarantor;</w:t>
      </w:r>
    </w:p>
    <w:p>
      <w:pPr>
        <w:spacing w:after="0" w:line="210" w:lineRule="exact"/>
        <w:rPr>
          <w:rFonts w:ascii="Arial" w:cs="Arial" w:eastAsia="Arial" w:hAnsi="Arial"/>
          <w:sz w:val="18"/>
          <w:szCs w:val="18"/>
          <w:color w:val="auto"/>
        </w:rPr>
      </w:pPr>
    </w:p>
    <w:p>
      <w:pPr>
        <w:jc w:val="both"/>
        <w:ind w:firstLine="656"/>
        <w:spacing w:after="0" w:line="264" w:lineRule="auto"/>
        <w:tabs>
          <w:tab w:leader="none" w:pos="1079"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consummation of any transaction (including, without limitation, any merger or consolidation) the result of which is that any “person” (as that term is used in Section 13(d)(3) of the Exchange Act) becomes the Beneficial Owner, directly or indirectly, of more than 50% of the outstanding Voting Stock of Borrower, measured by voting power rather than number of Equity Interests;</w:t>
      </w:r>
    </w:p>
    <w:p>
      <w:pPr>
        <w:spacing w:after="0" w:line="181" w:lineRule="exact"/>
        <w:rPr>
          <w:rFonts w:ascii="Arial" w:cs="Arial" w:eastAsia="Arial" w:hAnsi="Arial"/>
          <w:sz w:val="18"/>
          <w:szCs w:val="18"/>
          <w:color w:val="auto"/>
        </w:rPr>
      </w:pPr>
    </w:p>
    <w:p>
      <w:pPr>
        <w:ind w:firstLine="656"/>
        <w:spacing w:after="0" w:line="277" w:lineRule="auto"/>
        <w:tabs>
          <w:tab w:leader="none" w:pos="1041"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Borrower shall at any time fail to own, directly or indirectly, greater than 50% of the voting power of the total outstanding Voting Stock of Wynn America; or</w:t>
      </w:r>
    </w:p>
    <w:p>
      <w:pPr>
        <w:spacing w:after="0" w:line="170" w:lineRule="exact"/>
        <w:rPr>
          <w:rFonts w:ascii="Arial" w:cs="Arial" w:eastAsia="Arial" w:hAnsi="Arial"/>
          <w:sz w:val="18"/>
          <w:szCs w:val="18"/>
          <w:color w:val="auto"/>
        </w:rPr>
      </w:pPr>
    </w:p>
    <w:p>
      <w:pPr>
        <w:ind w:right="20" w:firstLine="656"/>
        <w:spacing w:after="0" w:line="277" w:lineRule="auto"/>
        <w:tabs>
          <w:tab w:leader="none" w:pos="105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Borrower shall at any time fail to own, directly or indirectly, greater than 50% of the voting power of the total outstanding Voting Stock of Wynn Macau, Limited.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this Agreement, which date is October 30,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of the Pledged Collateral,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Security Documents, unless and until such time as such assets or Property are required by the Credit Documents to again become subject to a Lien in favor of the Collateral Agent.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Agency Agreement</w:t>
      </w:r>
      <w:r>
        <w:rPr>
          <w:rFonts w:ascii="Arial" w:cs="Arial" w:eastAsia="Arial" w:hAnsi="Arial"/>
          <w:sz w:val="18"/>
          <w:szCs w:val="18"/>
          <w:color w:val="auto"/>
        </w:rPr>
        <w:t>” shall mean the Collateral Agency Agreement, dated as of the date hereof, between the Collateral Agent and the Nevada Collateral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Commitments</w:t>
      </w:r>
      <w:r>
        <w:rPr>
          <w:rFonts w:ascii="Arial" w:cs="Arial" w:eastAsia="Arial" w:hAnsi="Arial"/>
          <w:sz w:val="17"/>
          <w:szCs w:val="17"/>
          <w:color w:val="auto"/>
        </w:rPr>
        <w:t>” shall mean the Term Facility Commitments, Incremental Term Loan Commitments, and Other Term Loan Commitments.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18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its Subsidiaries (whether now existing or hereafter created or acquired), the financial statements of which are (or should be) consolidated with the financial statements of Borrower in accordance with GAAP.</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with respect to the Borrower at any date, the total consolidated current assets of the Credit Parties that would, in accordance with GAAP, be classified as current assets on a consolidated balance sheet of the Credit Parties, other than (x) cash and Cash Equivalents and (y) the current portion of deferred income tax assets.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Liabilities</w:t>
      </w:r>
      <w:r>
        <w:rPr>
          <w:rFonts w:ascii="Arial" w:cs="Arial" w:eastAsia="Arial" w:hAnsi="Arial"/>
          <w:sz w:val="18"/>
          <w:szCs w:val="18"/>
          <w:color w:val="auto"/>
        </w:rPr>
        <w:t>” means, with respect to the Borrower at any date, all liabilities of the Credit Parties at such date that would, in accordance with GAAP, be classified as current liabilities on a consolidated balance sheet of the Credit Parties, other than (x) the current portion of any Indebtedness and (y) the current portion of deferred income taxes.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Test Period, the sum (without duplication) of Consolidated Net Income for such Test Period; </w:t>
      </w:r>
      <w:r>
        <w:rPr>
          <w:rFonts w:ascii="Arial" w:cs="Arial" w:eastAsia="Arial" w:hAnsi="Arial"/>
          <w:sz w:val="17"/>
          <w:szCs w:val="17"/>
          <w:i w:val="1"/>
          <w:iCs w:val="1"/>
          <w:color w:val="auto"/>
        </w:rPr>
        <w:t>plus</w:t>
      </w:r>
    </w:p>
    <w:p>
      <w:pPr>
        <w:spacing w:after="0" w:line="268" w:lineRule="exact"/>
        <w:rPr>
          <w:sz w:val="20"/>
          <w:szCs w:val="20"/>
          <w:color w:val="auto"/>
        </w:rPr>
      </w:pPr>
    </w:p>
    <w:p>
      <w:pPr>
        <w:ind w:left="1820" w:hanging="840"/>
        <w:spacing w:after="0"/>
        <w:tabs>
          <w:tab w:leader="none" w:pos="1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each case to the extent deducted in calculating such Consolidated Net Income:</w:t>
      </w:r>
    </w:p>
    <w:p>
      <w:pPr>
        <w:sectPr>
          <w:pgSz w:w="11900" w:h="16838" w:orient="portrait"/>
          <w:cols w:equalWidth="0" w:num="1">
            <w:col w:w="11420"/>
          </w:cols>
          <w:pgMar w:left="240" w:top="121" w:right="239" w:bottom="140" w:gutter="0" w:footer="0" w:header="0"/>
        </w:sectPr>
      </w:pPr>
    </w:p>
    <w:bookmarkStart w:id="66" w:name="page67"/>
    <w:bookmarkEnd w:id="66"/>
    <w:p>
      <w:pPr>
        <w:ind w:left="1628" w:firstLine="641"/>
        <w:spacing w:after="0" w:line="277" w:lineRule="auto"/>
        <w:tabs>
          <w:tab w:leader="none" w:pos="2653" w:val="left"/>
        </w:tabs>
        <w:numPr>
          <w:ilvl w:val="3"/>
          <w:numId w:val="27"/>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gains, plus franchise or similar taxes, of the Credit Parties for such Test Period;</w:t>
      </w:r>
    </w:p>
    <w:p>
      <w:pPr>
        <w:spacing w:after="0" w:line="170" w:lineRule="exact"/>
        <w:rPr>
          <w:rFonts w:ascii="Arial" w:cs="Arial" w:eastAsia="Arial" w:hAnsi="Arial"/>
          <w:sz w:val="18"/>
          <w:szCs w:val="18"/>
          <w:color w:val="auto"/>
        </w:rPr>
      </w:pPr>
    </w:p>
    <w:p>
      <w:pPr>
        <w:ind w:left="2668" w:hanging="399"/>
        <w:spacing w:after="0"/>
        <w:tabs>
          <w:tab w:leader="none" w:pos="2668" w:val="left"/>
        </w:tabs>
        <w:numPr>
          <w:ilvl w:val="3"/>
          <w:numId w:val="27"/>
        </w:numPr>
        <w:rPr>
          <w:rFonts w:ascii="Arial" w:cs="Arial" w:eastAsia="Arial" w:hAnsi="Arial"/>
          <w:sz w:val="16"/>
          <w:szCs w:val="16"/>
          <w:color w:val="auto"/>
        </w:rPr>
      </w:pPr>
      <w:r>
        <w:rPr>
          <w:rFonts w:ascii="Arial" w:cs="Arial" w:eastAsia="Arial" w:hAnsi="Arial"/>
          <w:sz w:val="16"/>
          <w:szCs w:val="16"/>
          <w:color w:val="auto"/>
        </w:rPr>
        <w:t>Consolidated Interest Expense of the Credit Parties for such Test Period, whether paid or accrued and whether or not</w:t>
      </w:r>
    </w:p>
    <w:p>
      <w:pPr>
        <w:spacing w:after="0" w:line="46" w:lineRule="exact"/>
        <w:rPr>
          <w:rFonts w:ascii="Arial" w:cs="Arial" w:eastAsia="Arial" w:hAnsi="Arial"/>
          <w:sz w:val="16"/>
          <w:szCs w:val="16"/>
          <w:color w:val="auto"/>
        </w:rPr>
      </w:pPr>
    </w:p>
    <w:p>
      <w:pPr>
        <w:ind w:left="1628"/>
        <w:spacing w:after="0"/>
        <w:rPr>
          <w:rFonts w:ascii="Arial" w:cs="Arial" w:eastAsia="Arial" w:hAnsi="Arial"/>
          <w:sz w:val="16"/>
          <w:szCs w:val="16"/>
          <w:color w:val="auto"/>
        </w:rPr>
      </w:pPr>
      <w:r>
        <w:rPr>
          <w:rFonts w:ascii="Arial" w:cs="Arial" w:eastAsia="Arial" w:hAnsi="Arial"/>
          <w:sz w:val="18"/>
          <w:szCs w:val="18"/>
          <w:color w:val="auto"/>
        </w:rPr>
        <w:t>capitalized;</w:t>
      </w:r>
    </w:p>
    <w:p>
      <w:pPr>
        <w:spacing w:after="0" w:line="210" w:lineRule="exact"/>
        <w:rPr>
          <w:rFonts w:ascii="Arial" w:cs="Arial" w:eastAsia="Arial" w:hAnsi="Arial"/>
          <w:sz w:val="16"/>
          <w:szCs w:val="16"/>
          <w:color w:val="auto"/>
        </w:rPr>
      </w:pPr>
    </w:p>
    <w:p>
      <w:pPr>
        <w:jc w:val="both"/>
        <w:ind w:left="1628" w:firstLine="641"/>
        <w:spacing w:after="0" w:line="259" w:lineRule="auto"/>
        <w:tabs>
          <w:tab w:leader="none" w:pos="2753" w:val="left"/>
        </w:tabs>
        <w:numPr>
          <w:ilvl w:val="3"/>
          <w:numId w:val="27"/>
        </w:numPr>
        <w:rPr>
          <w:rFonts w:ascii="Arial" w:cs="Arial" w:eastAsia="Arial" w:hAnsi="Arial"/>
          <w:sz w:val="18"/>
          <w:szCs w:val="18"/>
          <w:color w:val="auto"/>
        </w:rPr>
      </w:pPr>
      <w:r>
        <w:rPr>
          <w:rFonts w:ascii="Arial" w:cs="Arial" w:eastAsia="Arial" w:hAnsi="Arial"/>
          <w:sz w:val="18"/>
          <w:szCs w:val="18"/>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86" w:lineRule="exact"/>
        <w:rPr>
          <w:rFonts w:ascii="Arial" w:cs="Arial" w:eastAsia="Arial" w:hAnsi="Arial"/>
          <w:sz w:val="18"/>
          <w:szCs w:val="18"/>
          <w:color w:val="auto"/>
        </w:rPr>
      </w:pPr>
    </w:p>
    <w:p>
      <w:pPr>
        <w:jc w:val="both"/>
        <w:ind w:left="1628" w:firstLine="641"/>
        <w:spacing w:after="0" w:line="290" w:lineRule="auto"/>
        <w:tabs>
          <w:tab w:leader="none" w:pos="2837" w:val="left"/>
        </w:tabs>
        <w:numPr>
          <w:ilvl w:val="3"/>
          <w:numId w:val="27"/>
        </w:numPr>
        <w:rPr>
          <w:rFonts w:ascii="Arial" w:cs="Arial" w:eastAsia="Arial" w:hAnsi="Arial"/>
          <w:sz w:val="16"/>
          <w:szCs w:val="16"/>
          <w:color w:val="auto"/>
        </w:rPr>
      </w:pPr>
      <w:r>
        <w:rPr>
          <w:rFonts w:ascii="Arial" w:cs="Arial" w:eastAsia="Arial" w:hAnsi="Arial"/>
          <w:sz w:val="16"/>
          <w:szCs w:val="16"/>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the Credit Parties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spacing w:after="0" w:line="166" w:lineRule="exact"/>
        <w:rPr>
          <w:rFonts w:ascii="Arial" w:cs="Arial" w:eastAsia="Arial" w:hAnsi="Arial"/>
          <w:sz w:val="16"/>
          <w:szCs w:val="16"/>
          <w:color w:val="auto"/>
        </w:rPr>
      </w:pPr>
    </w:p>
    <w:p>
      <w:pPr>
        <w:jc w:val="both"/>
        <w:ind w:left="1628" w:firstLine="641"/>
        <w:spacing w:after="0" w:line="276" w:lineRule="auto"/>
        <w:tabs>
          <w:tab w:leader="none" w:pos="2693" w:val="left"/>
        </w:tabs>
        <w:numPr>
          <w:ilvl w:val="3"/>
          <w:numId w:val="27"/>
        </w:numPr>
        <w:rPr>
          <w:rFonts w:ascii="Arial" w:cs="Arial" w:eastAsia="Arial" w:hAnsi="Arial"/>
          <w:sz w:val="17"/>
          <w:szCs w:val="17"/>
          <w:color w:val="auto"/>
        </w:rPr>
      </w:pPr>
      <w:r>
        <w:rPr>
          <w:rFonts w:ascii="Arial" w:cs="Arial" w:eastAsia="Arial" w:hAnsi="Arial"/>
          <w:sz w:val="17"/>
          <w:szCs w:val="17"/>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172" w:lineRule="exact"/>
        <w:rPr>
          <w:rFonts w:ascii="Arial" w:cs="Arial" w:eastAsia="Arial" w:hAnsi="Arial"/>
          <w:sz w:val="17"/>
          <w:szCs w:val="17"/>
          <w:color w:val="auto"/>
        </w:rPr>
      </w:pPr>
    </w:p>
    <w:p>
      <w:pPr>
        <w:jc w:val="both"/>
        <w:ind w:left="1628" w:firstLine="641"/>
        <w:spacing w:after="0" w:line="297" w:lineRule="auto"/>
        <w:tabs>
          <w:tab w:leader="none" w:pos="2756" w:val="left"/>
        </w:tabs>
        <w:numPr>
          <w:ilvl w:val="3"/>
          <w:numId w:val="27"/>
        </w:numPr>
        <w:rPr>
          <w:rFonts w:ascii="Arial" w:cs="Arial" w:eastAsia="Arial" w:hAnsi="Arial"/>
          <w:sz w:val="16"/>
          <w:szCs w:val="16"/>
          <w:color w:val="auto"/>
        </w:rPr>
      </w:pPr>
      <w:r>
        <w:rPr>
          <w:rFonts w:ascii="Arial" w:cs="Arial" w:eastAsia="Arial" w:hAnsi="Arial"/>
          <w:sz w:val="16"/>
          <w:szCs w:val="16"/>
          <w:color w:val="auto"/>
        </w:rPr>
        <w:t>any charges, fees, and expenses (or any amortization thereof) (including, without limitation, all legal, accounting, advisory, or other transaction-related fees, charges, costs, and expenses and any bonuses or success fee payments related to the Transactions) 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58" w:lineRule="exact"/>
        <w:rPr>
          <w:rFonts w:ascii="Arial" w:cs="Arial" w:eastAsia="Arial" w:hAnsi="Arial"/>
          <w:sz w:val="16"/>
          <w:szCs w:val="16"/>
          <w:color w:val="auto"/>
        </w:rPr>
      </w:pPr>
    </w:p>
    <w:p>
      <w:pPr>
        <w:ind w:left="2768" w:hanging="499"/>
        <w:spacing w:after="0"/>
        <w:tabs>
          <w:tab w:leader="none" w:pos="2768" w:val="left"/>
        </w:tabs>
        <w:numPr>
          <w:ilvl w:val="3"/>
          <w:numId w:val="27"/>
        </w:numPr>
        <w:rPr>
          <w:rFonts w:ascii="Arial" w:cs="Arial" w:eastAsia="Arial" w:hAnsi="Arial"/>
          <w:sz w:val="17"/>
          <w:szCs w:val="17"/>
          <w:color w:val="auto"/>
        </w:rPr>
      </w:pPr>
      <w:r>
        <w:rPr>
          <w:rFonts w:ascii="Arial" w:cs="Arial" w:eastAsia="Arial" w:hAnsi="Arial"/>
          <w:sz w:val="17"/>
          <w:szCs w:val="17"/>
          <w:color w:val="auto"/>
        </w:rPr>
        <w:t>any losses resulting from mark to market accounting of Swap Contracts or other derivative instruments; and</w:t>
      </w:r>
    </w:p>
    <w:p>
      <w:pPr>
        <w:spacing w:after="0" w:line="236" w:lineRule="exact"/>
        <w:rPr>
          <w:rFonts w:ascii="Arial" w:cs="Arial" w:eastAsia="Arial" w:hAnsi="Arial"/>
          <w:sz w:val="17"/>
          <w:szCs w:val="17"/>
          <w:color w:val="auto"/>
        </w:rPr>
      </w:pPr>
    </w:p>
    <w:p>
      <w:pPr>
        <w:ind w:left="2808" w:hanging="539"/>
        <w:spacing w:after="0"/>
        <w:tabs>
          <w:tab w:leader="none" w:pos="2808" w:val="left"/>
        </w:tabs>
        <w:numPr>
          <w:ilvl w:val="3"/>
          <w:numId w:val="27"/>
        </w:numPr>
        <w:rPr>
          <w:rFonts w:ascii="Arial" w:cs="Arial" w:eastAsia="Arial" w:hAnsi="Arial"/>
          <w:sz w:val="18"/>
          <w:szCs w:val="18"/>
          <w:color w:val="auto"/>
        </w:rPr>
      </w:pPr>
      <w:r>
        <w:rPr>
          <w:rFonts w:ascii="Arial" w:cs="Arial" w:eastAsia="Arial" w:hAnsi="Arial"/>
          <w:sz w:val="18"/>
          <w:szCs w:val="18"/>
          <w:color w:val="auto"/>
        </w:rPr>
        <w:t xml:space="preserve">any payments made under any Support Guaranties; </w:t>
      </w:r>
      <w:r>
        <w:rPr>
          <w:rFonts w:ascii="Arial" w:cs="Arial" w:eastAsia="Arial" w:hAnsi="Arial"/>
          <w:sz w:val="18"/>
          <w:szCs w:val="18"/>
          <w:i w:val="1"/>
          <w:iCs w:val="1"/>
          <w:color w:val="auto"/>
        </w:rPr>
        <w:t>minus</w:t>
      </w:r>
    </w:p>
    <w:p>
      <w:pPr>
        <w:spacing w:after="0" w:line="252" w:lineRule="exact"/>
        <w:rPr>
          <w:rFonts w:ascii="Arial" w:cs="Arial" w:eastAsia="Arial" w:hAnsi="Arial"/>
          <w:sz w:val="18"/>
          <w:szCs w:val="18"/>
          <w:color w:val="auto"/>
        </w:rPr>
      </w:pPr>
    </w:p>
    <w:p>
      <w:pPr>
        <w:ind w:left="1508" w:hanging="860"/>
        <w:spacing w:after="0"/>
        <w:tabs>
          <w:tab w:leader="none" w:pos="1508"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each case to the extent included in calculating such Consolidated Net Income:</w:t>
      </w:r>
    </w:p>
    <w:p>
      <w:pPr>
        <w:spacing w:after="0" w:line="238" w:lineRule="exact"/>
        <w:rPr>
          <w:rFonts w:ascii="Arial" w:cs="Arial" w:eastAsia="Arial" w:hAnsi="Arial"/>
          <w:sz w:val="18"/>
          <w:szCs w:val="18"/>
          <w:color w:val="auto"/>
        </w:rPr>
      </w:pPr>
    </w:p>
    <w:p>
      <w:pPr>
        <w:jc w:val="both"/>
        <w:ind w:left="328" w:right="20" w:firstLine="645"/>
        <w:spacing w:after="0" w:line="259" w:lineRule="auto"/>
        <w:tabs>
          <w:tab w:leader="none" w:pos="1380" w:val="left"/>
        </w:tabs>
        <w:numPr>
          <w:ilvl w:val="2"/>
          <w:numId w:val="28"/>
        </w:numPr>
        <w:rPr>
          <w:rFonts w:ascii="Arial" w:cs="Arial" w:eastAsia="Arial" w:hAnsi="Arial"/>
          <w:sz w:val="18"/>
          <w:szCs w:val="18"/>
          <w:color w:val="auto"/>
        </w:rPr>
      </w:pPr>
      <w:r>
        <w:rPr>
          <w:rFonts w:ascii="Arial" w:cs="Arial" w:eastAsia="Arial" w:hAnsi="Arial"/>
          <w:sz w:val="18"/>
          <w:szCs w:val="18"/>
          <w:color w:val="auto"/>
        </w:rPr>
        <w:t>non-cash items increasing such Consolidated Net Income for such Test Period, other than (x) the accrual of revenue in the ordinary course of business, (y) accrued Management Fees and IP Licensing Fees that are paid within 30 days after the end of such Test Period, and (z) other than any items which represent the reversal of any accrual of, or cash reserve for, anticipated cash charges for any prior Test Period subsequent to the issue date which was not added back to Consolidated EBITDA when accrued;</w:t>
      </w:r>
    </w:p>
    <w:p>
      <w:pPr>
        <w:spacing w:after="0" w:line="186" w:lineRule="exact"/>
        <w:rPr>
          <w:rFonts w:ascii="Arial" w:cs="Arial" w:eastAsia="Arial" w:hAnsi="Arial"/>
          <w:sz w:val="18"/>
          <w:szCs w:val="18"/>
          <w:color w:val="auto"/>
        </w:rPr>
      </w:pPr>
    </w:p>
    <w:p>
      <w:pPr>
        <w:jc w:val="both"/>
        <w:ind w:left="328" w:firstLine="645"/>
        <w:spacing w:after="0" w:line="264" w:lineRule="auto"/>
        <w:tabs>
          <w:tab w:leader="none" w:pos="1390"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amount of any gains resulting from mark to market accounting of Swap Contracts, other derivative instruments, and any financial instruments for which any Credit Party has elected to measure the relevant asset or liability at fair value in accordance with Accounting Standards Codification No. 820 or Accounting Standards Codification No. 825;</w:t>
      </w:r>
    </w:p>
    <w:p>
      <w:pPr>
        <w:spacing w:after="0" w:line="181" w:lineRule="exact"/>
        <w:rPr>
          <w:rFonts w:ascii="Arial" w:cs="Arial" w:eastAsia="Arial" w:hAnsi="Arial"/>
          <w:sz w:val="18"/>
          <w:szCs w:val="18"/>
          <w:color w:val="auto"/>
        </w:rPr>
      </w:pPr>
    </w:p>
    <w:p>
      <w:pPr>
        <w:ind w:left="1428" w:hanging="455"/>
        <w:spacing w:after="0"/>
        <w:tabs>
          <w:tab w:leader="none" w:pos="1428" w:val="left"/>
        </w:tabs>
        <w:numPr>
          <w:ilvl w:val="2"/>
          <w:numId w:val="28"/>
        </w:numPr>
        <w:rPr>
          <w:rFonts w:ascii="Arial" w:cs="Arial" w:eastAsia="Arial" w:hAnsi="Arial"/>
          <w:sz w:val="18"/>
          <w:szCs w:val="18"/>
          <w:color w:val="auto"/>
        </w:rPr>
      </w:pPr>
      <w:r>
        <w:rPr>
          <w:rFonts w:ascii="Arial" w:cs="Arial" w:eastAsia="Arial" w:hAnsi="Arial"/>
          <w:sz w:val="18"/>
          <w:szCs w:val="18"/>
          <w:color w:val="auto"/>
        </w:rPr>
        <w:t>interest income; and</w:t>
      </w:r>
    </w:p>
    <w:p>
      <w:pPr>
        <w:spacing w:after="0" w:line="225" w:lineRule="exact"/>
        <w:rPr>
          <w:rFonts w:ascii="Arial" w:cs="Arial" w:eastAsia="Arial" w:hAnsi="Arial"/>
          <w:sz w:val="18"/>
          <w:szCs w:val="18"/>
          <w:color w:val="auto"/>
        </w:rPr>
      </w:pPr>
    </w:p>
    <w:p>
      <w:pPr>
        <w:ind w:left="1408" w:hanging="435"/>
        <w:spacing w:after="0"/>
        <w:tabs>
          <w:tab w:leader="none" w:pos="1408" w:val="left"/>
        </w:tabs>
        <w:numPr>
          <w:ilvl w:val="2"/>
          <w:numId w:val="28"/>
        </w:numPr>
        <w:rPr>
          <w:rFonts w:ascii="Arial" w:cs="Arial" w:eastAsia="Arial" w:hAnsi="Arial"/>
          <w:sz w:val="18"/>
          <w:szCs w:val="18"/>
          <w:color w:val="auto"/>
        </w:rPr>
      </w:pPr>
      <w:r>
        <w:rPr>
          <w:rFonts w:ascii="Arial" w:cs="Arial" w:eastAsia="Arial" w:hAnsi="Arial"/>
          <w:sz w:val="18"/>
          <w:szCs w:val="18"/>
          <w:color w:val="auto"/>
        </w:rPr>
        <w:t xml:space="preserve">income from a Subsidiary of a Credit Party to a Credit Party for allocable corporate overhead; </w:t>
      </w:r>
      <w:r>
        <w:rPr>
          <w:rFonts w:ascii="Arial" w:cs="Arial" w:eastAsia="Arial" w:hAnsi="Arial"/>
          <w:sz w:val="18"/>
          <w:szCs w:val="18"/>
          <w:i w:val="1"/>
          <w:iCs w:val="1"/>
          <w:color w:val="auto"/>
        </w:rPr>
        <w:t>plus</w:t>
      </w:r>
    </w:p>
    <w:p>
      <w:pPr>
        <w:spacing w:after="0" w:line="252" w:lineRule="exact"/>
        <w:rPr>
          <w:rFonts w:ascii="Arial" w:cs="Arial" w:eastAsia="Arial" w:hAnsi="Arial"/>
          <w:sz w:val="18"/>
          <w:szCs w:val="18"/>
          <w:color w:val="auto"/>
        </w:rPr>
      </w:pPr>
    </w:p>
    <w:p>
      <w:pPr>
        <w:jc w:val="both"/>
        <w:ind w:left="8" w:firstLine="640"/>
        <w:spacing w:after="0" w:line="334" w:lineRule="auto"/>
        <w:tabs>
          <w:tab w:leader="none" w:pos="1504" w:val="left"/>
        </w:tabs>
        <w:numPr>
          <w:ilvl w:val="1"/>
          <w:numId w:val="28"/>
        </w:numPr>
        <w:rPr>
          <w:rFonts w:ascii="Arial" w:cs="Arial" w:eastAsia="Arial" w:hAnsi="Arial"/>
          <w:sz w:val="16"/>
          <w:szCs w:val="16"/>
          <w:color w:val="auto"/>
        </w:rPr>
      </w:pPr>
      <w:r>
        <w:rPr>
          <w:rFonts w:ascii="Arial" w:cs="Arial" w:eastAsia="Arial" w:hAnsi="Arial"/>
          <w:sz w:val="16"/>
          <w:szCs w:val="16"/>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duly completed Officer’s Certificate of Borrower shall be delivered to Administrative Agent together with the applicable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additions made to Consolidated EBITDA for any Test Period pursuant to this clause (c) and </w:t>
      </w:r>
      <w:r>
        <w:rPr>
          <w:rFonts w:ascii="Arial" w:cs="Arial" w:eastAsia="Arial" w:hAnsi="Arial"/>
          <w:sz w:val="16"/>
          <w:szCs w:val="16"/>
          <w:u w:val="single" w:color="auto"/>
          <w:color w:val="auto"/>
        </w:rPr>
        <w:t>Section 1.06(c)</w:t>
      </w:r>
      <w:r>
        <w:rPr>
          <w:rFonts w:ascii="Arial" w:cs="Arial" w:eastAsia="Arial" w:hAnsi="Arial"/>
          <w:sz w:val="16"/>
          <w:szCs w:val="16"/>
          <w:color w:val="auto"/>
        </w:rPr>
        <w:t xml:space="preserve"> shall not (i) exceed 20.0% of Consolidated EBITDA for such Test Period (after giving effect to this clause (c) and </w:t>
      </w:r>
      <w:r>
        <w:rPr>
          <w:rFonts w:ascii="Arial" w:cs="Arial" w:eastAsia="Arial" w:hAnsi="Arial"/>
          <w:sz w:val="16"/>
          <w:szCs w:val="16"/>
          <w:u w:val="single" w:color="auto"/>
          <w:color w:val="auto"/>
        </w:rPr>
        <w:t>Section 1.06(c))</w:t>
      </w:r>
      <w:r>
        <w:rPr>
          <w:rFonts w:ascii="Arial" w:cs="Arial" w:eastAsia="Arial" w:hAnsi="Arial"/>
          <w:sz w:val="16"/>
          <w:szCs w:val="16"/>
          <w:color w:val="auto"/>
        </w:rPr>
        <w:t xml:space="preserve"> or</w:t>
      </w:r>
    </w:p>
    <w:p>
      <w:pPr>
        <w:spacing w:after="0" w:line="8" w:lineRule="exact"/>
        <w:rPr>
          <w:rFonts w:ascii="Arial" w:cs="Arial" w:eastAsia="Arial" w:hAnsi="Arial"/>
          <w:sz w:val="16"/>
          <w:szCs w:val="16"/>
          <w:color w:val="auto"/>
        </w:rPr>
      </w:pPr>
    </w:p>
    <w:p>
      <w:pPr>
        <w:ind w:left="268" w:hanging="268"/>
        <w:spacing w:after="0"/>
        <w:tabs>
          <w:tab w:leader="none" w:pos="2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be duplicative of one another;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8" w:firstLine="640"/>
        <w:spacing w:after="0" w:line="364" w:lineRule="auto"/>
        <w:tabs>
          <w:tab w:leader="none" w:pos="1514" w:val="left"/>
        </w:tabs>
        <w:numPr>
          <w:ilvl w:val="1"/>
          <w:numId w:val="29"/>
        </w:numPr>
        <w:rPr>
          <w:rFonts w:ascii="Arial" w:cs="Arial" w:eastAsia="Arial" w:hAnsi="Arial"/>
          <w:sz w:val="16"/>
          <w:szCs w:val="16"/>
          <w:color w:val="auto"/>
        </w:rPr>
      </w:pPr>
      <w:r>
        <w:rPr>
          <w:rFonts w:ascii="Arial" w:cs="Arial" w:eastAsia="Arial" w:hAnsi="Arial"/>
          <w:sz w:val="16"/>
          <w:szCs w:val="16"/>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amount of insurance proceeds shall only be included pursuant</w:t>
      </w:r>
    </w:p>
    <w:p>
      <w:pPr>
        <w:sectPr>
          <w:pgSz w:w="11900" w:h="16838" w:orient="portrait"/>
          <w:cols w:equalWidth="0" w:num="1">
            <w:col w:w="11088"/>
          </w:cols>
          <w:pgMar w:left="572" w:top="125" w:right="239" w:bottom="0" w:gutter="0" w:footer="0" w:header="0"/>
        </w:sectPr>
      </w:pPr>
    </w:p>
    <w:bookmarkStart w:id="67" w:name="page68"/>
    <w:bookmarkEnd w:id="67"/>
    <w:p>
      <w:pPr>
        <w:jc w:val="both"/>
        <w:ind w:left="340"/>
        <w:spacing w:after="0" w:line="349" w:lineRule="auto"/>
        <w:rPr>
          <w:sz w:val="20"/>
          <w:szCs w:val="20"/>
          <w:color w:val="auto"/>
        </w:rPr>
      </w:pPr>
      <w:r>
        <w:rPr>
          <w:rFonts w:ascii="Arial" w:cs="Arial" w:eastAsia="Arial" w:hAnsi="Arial"/>
          <w:sz w:val="16"/>
          <w:szCs w:val="16"/>
          <w:color w:val="auto"/>
        </w:rPr>
        <w:t xml:space="preserve">to this clause (d) to the extent of the amount of insurance proceeds </w:t>
      </w:r>
      <w:r>
        <w:rPr>
          <w:rFonts w:ascii="Arial" w:cs="Arial" w:eastAsia="Arial" w:hAnsi="Arial"/>
          <w:sz w:val="16"/>
          <w:szCs w:val="16"/>
          <w:i w:val="1"/>
          <w:iCs w:val="1"/>
          <w:color w:val="auto"/>
        </w:rPr>
        <w:t>plus</w:t>
      </w:r>
      <w:r>
        <w:rPr>
          <w:rFonts w:ascii="Arial" w:cs="Arial" w:eastAsia="Arial" w:hAnsi="Arial"/>
          <w:sz w:val="16"/>
          <w:szCs w:val="16"/>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 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16"/>
          <w:szCs w:val="16"/>
          <w:i w:val="1"/>
          <w:iCs w:val="1"/>
          <w:color w:val="auto"/>
        </w:rPr>
        <w:t>plus</w:t>
      </w:r>
    </w:p>
    <w:p>
      <w:pPr>
        <w:spacing w:after="0" w:line="161" w:lineRule="exact"/>
        <w:rPr>
          <w:sz w:val="20"/>
          <w:szCs w:val="20"/>
          <w:color w:val="auto"/>
        </w:rPr>
      </w:pPr>
    </w:p>
    <w:p>
      <w:pPr>
        <w:jc w:val="both"/>
        <w:ind w:left="340" w:firstLine="640"/>
        <w:spacing w:after="0" w:line="306" w:lineRule="auto"/>
        <w:tabs>
          <w:tab w:leader="none" w:pos="18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cash receipts (or any netting arrangements resulting in reduced cash expenditures) not representing Consolidated EBITDA or Consolidated Net Income in any Test Period to the extent (x) non-cash gains relating to such income were deducted in the calculation of Consolidated EBITDA pursuant to clause (b) above for any previous Test Period and not added back or (y) without duplication, received pursuant to any Management Agreement or IP Licensing Agreement;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left="340" w:right="20" w:firstLine="640"/>
        <w:spacing w:after="0" w:line="324" w:lineRule="auto"/>
        <w:tabs>
          <w:tab w:leader="none" w:pos="1816"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payments made by a Subsidiary of a Credit Party to a Credit Party for allocable corporate overhead, to the extent received by such Credit Party in cash during the Test Period or within 30 days after the end of such Test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shall be further adjusted:</w:t>
      </w:r>
    </w:p>
    <w:p>
      <w:pPr>
        <w:spacing w:after="0" w:line="252" w:lineRule="exact"/>
        <w:rPr>
          <w:sz w:val="20"/>
          <w:szCs w:val="20"/>
          <w:color w:val="auto"/>
        </w:rPr>
      </w:pPr>
    </w:p>
    <w:p>
      <w:pPr>
        <w:jc w:val="both"/>
        <w:ind w:left="340" w:firstLine="640"/>
        <w:spacing w:after="0" w:line="306" w:lineRule="auto"/>
        <w:tabs>
          <w:tab w:leader="none" w:pos="188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include the Consolidated EBITDA of any Person, property, business, or asset (including a management agreement or similar agreement) acquired by any Credit Party during such Test Period, based on the Consolidated EBITDA of such Person (or attributable to such property, business or asset) for such period (including the portion thereof occurring prior to such acquisition), determined as if references to the Credit Parties in Consolidated Net Income and other defined terms therein were to such Person;</w:t>
      </w:r>
    </w:p>
    <w:p>
      <w:pPr>
        <w:spacing w:after="0" w:line="186" w:lineRule="exact"/>
        <w:rPr>
          <w:rFonts w:ascii="Arial" w:cs="Arial" w:eastAsia="Arial" w:hAnsi="Arial"/>
          <w:sz w:val="18"/>
          <w:szCs w:val="18"/>
          <w:color w:val="auto"/>
        </w:rPr>
      </w:pPr>
    </w:p>
    <w:p>
      <w:pPr>
        <w:jc w:val="both"/>
        <w:ind w:left="340" w:firstLine="640"/>
        <w:spacing w:after="0" w:line="329" w:lineRule="auto"/>
        <w:tabs>
          <w:tab w:leader="none" w:pos="1876" w:val="left"/>
        </w:tabs>
        <w:numPr>
          <w:ilvl w:val="0"/>
          <w:numId w:val="31"/>
        </w:numPr>
        <w:rPr>
          <w:rFonts w:ascii="Arial" w:cs="Arial" w:eastAsia="Arial" w:hAnsi="Arial"/>
          <w:sz w:val="17"/>
          <w:szCs w:val="17"/>
          <w:color w:val="auto"/>
        </w:rPr>
      </w:pPr>
      <w:r>
        <w:rPr>
          <w:rFonts w:ascii="Arial" w:cs="Arial" w:eastAsia="Arial" w:hAnsi="Arial"/>
          <w:sz w:val="17"/>
          <w:szCs w:val="17"/>
          <w:color w:val="auto"/>
        </w:rPr>
        <w:t>to exclude the Consolidated EBITDA of any Person, property, business, or asset sold, transferred, or otherwise disposed of, closed, or classified as discontinued operations by any Credit Party during such Test Period, based on the actual Consolidated EBITDA of such Person for such period (including the portion thereof occurring prior to such sale, transfer, disposition, closing, classification, or conversion), determined as if references to the Credit Parties in Consolidated Net Income and other defined terms therein were to such Person; and</w:t>
      </w:r>
    </w:p>
    <w:p>
      <w:pPr>
        <w:spacing w:after="0" w:line="170" w:lineRule="exact"/>
        <w:rPr>
          <w:rFonts w:ascii="Arial" w:cs="Arial" w:eastAsia="Arial" w:hAnsi="Arial"/>
          <w:sz w:val="17"/>
          <w:szCs w:val="17"/>
          <w:color w:val="auto"/>
        </w:rPr>
      </w:pPr>
    </w:p>
    <w:p>
      <w:pPr>
        <w:jc w:val="both"/>
        <w:ind w:left="340" w:firstLine="640"/>
        <w:spacing w:after="0" w:line="346" w:lineRule="auto"/>
        <w:tabs>
          <w:tab w:leader="none" w:pos="1876"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 any Management Agreement or IP Licensing Agreement Initial Fiscal Quarter and each of the immediately succeeding two fiscal quarters thereafter, by multiplying the Consolidated EBITDA attributable to the applicable Management Agreement or IP Licensing Agreement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Management Agreement or IP Licensing Agreement for the fiscal quarter immediately preceding such Management Agreement or IP Licensing Agreement Initial Fiscal Quarter when calculating Consolidated EBITDA during any such three fiscal quarters.</w:t>
      </w:r>
    </w:p>
    <w:p>
      <w:pPr>
        <w:spacing w:after="0" w:line="13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First Lien Secured Leverage Ratio</w:t>
      </w:r>
      <w:r>
        <w:rPr>
          <w:rFonts w:ascii="Arial" w:cs="Arial" w:eastAsia="Arial" w:hAnsi="Arial"/>
          <w:sz w:val="17"/>
          <w:szCs w:val="17"/>
          <w:color w:val="auto"/>
        </w:rPr>
        <w:t xml:space="preserve">” shall mean, as of any date of determination, the ratio of (a) Consolidated Indebtedness of the Credit Parties that is secured by Liens on any property or assets of the Credit Parties as of such date that ranks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to the Liens securing the Obligations (other than any such Consolidated Indebtedness that is otherwise expressly subordinated in right of payment to the Obligations pursuant to a written agreement substantially consistent with the terms of the Subordination Agreement) to (b) Consolidated EBITDA for the Test Period most recently ended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calculating the Consolidated First Lien Secured Leverage Ratio, Consolidated EBITDA related to any Management Agreement or IP Licensing Agreement for the fiscal quarter in which a Qualifying Act of Terrorism adversely impacting any related Management Fees or IP Licensing Fees (in the good faith determination of Borrower), as applicable, shall have occurred and the next two succeeding fiscal quarters thereafter shall, in each case, be the greater of (1) Substituted Consolidated EBITDA with respect thereto and (2) actual Consolidated EBITDA with respect thereto for such fiscal quarter.</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Indebtedness</w:t>
      </w:r>
      <w:r>
        <w:rPr>
          <w:rFonts w:ascii="Arial" w:cs="Arial" w:eastAsia="Arial" w:hAnsi="Arial"/>
          <w:sz w:val="16"/>
          <w:szCs w:val="16"/>
          <w:color w:val="auto"/>
        </w:rPr>
        <w:t>” shall mean, as at any date of determination, the aggregate amount of all Indebtedness of the Credit Parties (other than</w:t>
      </w:r>
    </w:p>
    <w:p>
      <w:pPr>
        <w:spacing w:after="0" w:line="50" w:lineRule="exact"/>
        <w:rPr>
          <w:sz w:val="20"/>
          <w:szCs w:val="20"/>
          <w:color w:val="auto"/>
        </w:rPr>
      </w:pPr>
    </w:p>
    <w:p>
      <w:pPr>
        <w:jc w:val="both"/>
        <w:ind w:firstLine="8"/>
        <w:spacing w:after="0" w:line="268" w:lineRule="auto"/>
        <w:tabs>
          <w:tab w:leader="none" w:pos="2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any such Indebtedness that has been Discharged and (y) Intercompany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 below);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Consolidated Indebtedness shall not include (A) Indebtedness in respect of letters of credit, except to the extent of unreimbursed amounts thereunder or (B) Indebtedness of the type described in clause (i) of the definition thereof, and (ii) Consolidated Indebtedness shall not include Contingent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and when any such Contingent Obligation is demanded for payment from a Credit Party, then the amounts of such Contingent Obligation shall be included in such calculations.</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xml:space="preserve">” shall mean, for any Test Period, the sum of interest expense of the Credit Parties for such Test Period as determined on a consolidated basis in accordance with GAAP, </w:t>
      </w:r>
      <w:r>
        <w:rPr>
          <w:rFonts w:ascii="Arial" w:cs="Arial" w:eastAsia="Arial" w:hAnsi="Arial"/>
          <w:sz w:val="16"/>
          <w:szCs w:val="16"/>
          <w:i w:val="1"/>
          <w:iCs w:val="1"/>
          <w:color w:val="auto"/>
        </w:rPr>
        <w:t>plus</w:t>
      </w:r>
      <w:r>
        <w:rPr>
          <w:rFonts w:ascii="Arial" w:cs="Arial" w:eastAsia="Arial" w:hAnsi="Arial"/>
          <w:sz w:val="16"/>
          <w:szCs w:val="16"/>
          <w:color w:val="auto"/>
        </w:rPr>
        <w:t>, to the extent deducted in arriving at Consolidated Net Income and without duplication,</w:t>
      </w:r>
    </w:p>
    <w:p>
      <w:pPr>
        <w:spacing w:after="0" w:line="1" w:lineRule="exact"/>
        <w:rPr>
          <w:sz w:val="20"/>
          <w:szCs w:val="20"/>
          <w:color w:val="auto"/>
        </w:rPr>
      </w:pPr>
    </w:p>
    <w:p>
      <w:pPr>
        <w:jc w:val="both"/>
        <w:ind w:firstLine="8"/>
        <w:spacing w:after="0" w:line="281" w:lineRule="auto"/>
        <w:tabs>
          <w:tab w:leader="none" w:pos="27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w:t>
      </w:r>
    </w:p>
    <w:p>
      <w:pPr>
        <w:spacing w:after="0" w:line="5" w:lineRule="exact"/>
        <w:rPr>
          <w:rFonts w:ascii="Arial" w:cs="Arial" w:eastAsia="Arial" w:hAnsi="Arial"/>
          <w:sz w:val="16"/>
          <w:szCs w:val="16"/>
          <w:color w:val="auto"/>
        </w:rPr>
      </w:pPr>
    </w:p>
    <w:p>
      <w:pPr>
        <w:ind w:left="220" w:hanging="212"/>
        <w:spacing w:after="0"/>
        <w:tabs>
          <w:tab w:leader="none" w:pos="2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costs and fees associated with obtaining Swap Contracts and fees payable thereunder.</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Net Income</w:t>
      </w:r>
      <w:r>
        <w:rPr>
          <w:rFonts w:ascii="Arial" w:cs="Arial" w:eastAsia="Arial" w:hAnsi="Arial"/>
          <w:sz w:val="18"/>
          <w:szCs w:val="18"/>
          <w:color w:val="auto"/>
        </w:rPr>
        <w:t xml:space="preserve">” shall mean, for any Test Period, the aggregate of the net income of the Credit Parties for such Test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w:t>
      </w:r>
    </w:p>
    <w:p>
      <w:pPr>
        <w:spacing w:after="0" w:line="193" w:lineRule="exact"/>
        <w:rPr>
          <w:sz w:val="20"/>
          <w:szCs w:val="20"/>
          <w:color w:val="auto"/>
        </w:rPr>
      </w:pPr>
    </w:p>
    <w:p>
      <w:pPr>
        <w:ind w:left="340" w:firstLine="640"/>
        <w:spacing w:after="0" w:line="324" w:lineRule="auto"/>
        <w:tabs>
          <w:tab w:leader="none" w:pos="18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thereon) realized in connection with (i) any asset sale or (ii) any disposition of any securities by such Person shall be excluded;</w:t>
      </w:r>
    </w:p>
    <w:p>
      <w:pPr>
        <w:sectPr>
          <w:pgSz w:w="11900" w:h="16838" w:orient="portrait"/>
          <w:cols w:equalWidth="0" w:num="1">
            <w:col w:w="11420"/>
          </w:cols>
          <w:pgMar w:left="240" w:top="152" w:right="239" w:bottom="0" w:gutter="0" w:footer="0" w:header="0"/>
        </w:sectPr>
      </w:pPr>
    </w:p>
    <w:bookmarkStart w:id="68" w:name="page69"/>
    <w:bookmarkEnd w:id="68"/>
    <w:p>
      <w:pPr>
        <w:ind w:left="340" w:right="20" w:firstLine="640"/>
        <w:spacing w:after="0" w:line="324" w:lineRule="auto"/>
        <w:tabs>
          <w:tab w:leader="none" w:pos="18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extraordinary, non-recurring, or unusual items (including gains or losses, together with any related taxes, fees, and expenses) shall be excluded (for the avoidance of doubt, including the Litigation Settlement Expense);</w:t>
      </w:r>
    </w:p>
    <w:p>
      <w:pPr>
        <w:spacing w:after="0" w:line="170" w:lineRule="exact"/>
        <w:rPr>
          <w:rFonts w:ascii="Arial" w:cs="Arial" w:eastAsia="Arial" w:hAnsi="Arial"/>
          <w:sz w:val="18"/>
          <w:szCs w:val="18"/>
          <w:color w:val="auto"/>
        </w:rPr>
      </w:pPr>
    </w:p>
    <w:p>
      <w:pPr>
        <w:ind w:left="340" w:right="20" w:firstLine="640"/>
        <w:spacing w:after="0" w:line="324" w:lineRule="auto"/>
        <w:tabs>
          <w:tab w:leader="none" w:pos="183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net income of any Person that is not a Credit Party shall be excluded (irrespective of whether paid as a dividend or otherwise distributed to any Credit Party);</w:t>
      </w:r>
    </w:p>
    <w:p>
      <w:pPr>
        <w:spacing w:after="0" w:line="170" w:lineRule="exact"/>
        <w:rPr>
          <w:rFonts w:ascii="Arial" w:cs="Arial" w:eastAsia="Arial" w:hAnsi="Arial"/>
          <w:sz w:val="18"/>
          <w:szCs w:val="18"/>
          <w:color w:val="auto"/>
        </w:rPr>
      </w:pPr>
    </w:p>
    <w:p>
      <w:pPr>
        <w:jc w:val="both"/>
        <w:ind w:left="340" w:firstLine="640"/>
        <w:spacing w:after="0" w:line="311" w:lineRule="auto"/>
        <w:tabs>
          <w:tab w:leader="none" w:pos="18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81" w:lineRule="exact"/>
        <w:rPr>
          <w:rFonts w:ascii="Arial" w:cs="Arial" w:eastAsia="Arial" w:hAnsi="Arial"/>
          <w:sz w:val="18"/>
          <w:szCs w:val="18"/>
          <w:color w:val="auto"/>
        </w:rPr>
      </w:pPr>
    </w:p>
    <w:p>
      <w:pPr>
        <w:jc w:val="both"/>
        <w:ind w:left="340" w:firstLine="640"/>
        <w:spacing w:after="0" w:line="364" w:lineRule="auto"/>
        <w:tabs>
          <w:tab w:leader="none" w:pos="18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48" w:lineRule="exact"/>
        <w:rPr>
          <w:rFonts w:ascii="Arial" w:cs="Arial" w:eastAsia="Arial" w:hAnsi="Arial"/>
          <w:sz w:val="16"/>
          <w:szCs w:val="16"/>
          <w:color w:val="auto"/>
        </w:rPr>
      </w:pPr>
    </w:p>
    <w:p>
      <w:pPr>
        <w:ind w:left="1800" w:hanging="820"/>
        <w:spacing w:after="0"/>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65" w:lineRule="exact"/>
        <w:rPr>
          <w:rFonts w:ascii="Arial" w:cs="Arial" w:eastAsia="Arial" w:hAnsi="Arial"/>
          <w:sz w:val="18"/>
          <w:szCs w:val="18"/>
          <w:color w:val="auto"/>
        </w:rPr>
      </w:pPr>
    </w:p>
    <w:p>
      <w:pPr>
        <w:jc w:val="both"/>
        <w:ind w:left="340" w:firstLine="640"/>
        <w:spacing w:after="0" w:line="306" w:lineRule="auto"/>
        <w:tabs>
          <w:tab w:leader="none" w:pos="18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any expenses or reserves for liabilities shall be excluded to the extent that any Credit Party is entitled to indemnification therefor under binding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liabilities for which such Credit Party is not actually indemnified shall reduce Consolidated Net Income for the period in which it is determined that such Credit Party will not be indemnified (to the extent such liabilities would otherwise reduce Consolidated Net Income without giving effect to this clause (g));</w:t>
      </w:r>
    </w:p>
    <w:p>
      <w:pPr>
        <w:spacing w:after="0" w:line="186" w:lineRule="exact"/>
        <w:rPr>
          <w:rFonts w:ascii="Arial" w:cs="Arial" w:eastAsia="Arial" w:hAnsi="Arial"/>
          <w:sz w:val="18"/>
          <w:szCs w:val="18"/>
          <w:color w:val="auto"/>
        </w:rPr>
      </w:pPr>
    </w:p>
    <w:p>
      <w:pPr>
        <w:jc w:val="both"/>
        <w:ind w:left="340" w:firstLine="640"/>
        <w:spacing w:after="0" w:line="304" w:lineRule="auto"/>
        <w:tabs>
          <w:tab w:leader="none" w:pos="1846"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 and</w:t>
      </w:r>
    </w:p>
    <w:p>
      <w:pPr>
        <w:spacing w:after="0" w:line="188" w:lineRule="exact"/>
        <w:rPr>
          <w:rFonts w:ascii="Arial" w:cs="Arial" w:eastAsia="Arial" w:hAnsi="Arial"/>
          <w:sz w:val="18"/>
          <w:szCs w:val="18"/>
          <w:color w:val="auto"/>
        </w:rPr>
      </w:pPr>
    </w:p>
    <w:p>
      <w:pPr>
        <w:ind w:left="340" w:firstLine="640"/>
        <w:spacing w:after="0" w:line="324" w:lineRule="auto"/>
        <w:tabs>
          <w:tab w:leader="none" w:pos="1806" w:val="left"/>
        </w:tabs>
        <w:numPr>
          <w:ilvl w:val="0"/>
          <w:numId w:val="36"/>
        </w:numPr>
        <w:rPr>
          <w:rFonts w:ascii="Arial" w:cs="Arial" w:eastAsia="Arial" w:hAnsi="Arial"/>
          <w:sz w:val="18"/>
          <w:szCs w:val="18"/>
          <w:color w:val="auto"/>
        </w:rPr>
      </w:pPr>
      <w:r>
        <w:rPr>
          <w:rFonts w:ascii="Arial" w:cs="Arial" w:eastAsia="Arial" w:hAnsi="Arial"/>
          <w:sz w:val="18"/>
          <w:szCs w:val="18"/>
          <w:color w:val="auto"/>
        </w:rPr>
        <w:t>gains and losses resulting solely from fluctuations in currency values and the related tax effects shall be excluded, and charges relating to Accounting Standards Codification Nos. 815 and 820 shall be excluded.</w:t>
      </w:r>
    </w:p>
    <w:p>
      <w:pPr>
        <w:spacing w:after="0" w:line="1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Secured Leverage Ratio</w:t>
      </w:r>
      <w:r>
        <w:rPr>
          <w:rFonts w:ascii="Arial" w:cs="Arial" w:eastAsia="Arial" w:hAnsi="Arial"/>
          <w:sz w:val="17"/>
          <w:szCs w:val="17"/>
          <w:color w:val="auto"/>
        </w:rPr>
        <w:t xml:space="preserve">” shall mean, as of any date of determination, the ratio of (a) Consolidated Indebtedness of the Credit Parties that is secured by Liens on any property or assets of the Credit Parties as of such date (other than any such Consolidated Indebtedness that is otherwise expressly subordinated in right of payment to the Obligations pursuant to a written agreement substantially consistent with the terms of the Subordination Agreement) to (b) Consolidated EBITDA for the Test Period most recently ended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calculating the Consolidated Secured Leverage Ratio, Consolidated EBITDA related to any Management Agreement or IP Licensing Agreement for the fiscal quarter in which a Qualifying Act of Terrorism adversely impacting any related Management Fees or IP Licensing Fees (in the good faith determination of Borrower), as applicable, shall have occurred and the next two succeeding fiscal quarters thereafter shall, in each case, be the greater of (1) Substituted Consolidated EBITDA with respect thereto and (2) actual Consolidated EBITDA with respect thereto for such fiscal quarter.</w:t>
      </w:r>
    </w:p>
    <w:p>
      <w:pPr>
        <w:spacing w:after="0" w:line="17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Total Leverage Ratio</w:t>
      </w:r>
      <w:r>
        <w:rPr>
          <w:rFonts w:ascii="Arial" w:cs="Arial" w:eastAsia="Arial" w:hAnsi="Arial"/>
          <w:sz w:val="16"/>
          <w:szCs w:val="16"/>
          <w:color w:val="auto"/>
        </w:rPr>
        <w:t xml:space="preserve">” shall mean, as of any date of determination, the ratio of (a) Consolidated Indebtedness of the Credit Parties (other than any such Consolidated Indebtedness that is expressly subordinated in right of payment to the Obligations pursuant to a written agreement substantially consistent with the terms of the Subordination Agreement) to (b) Consolidated EBITDA for the Test Period most recently ended prior to such date; </w:t>
      </w:r>
      <w:r>
        <w:rPr>
          <w:rFonts w:ascii="Arial" w:cs="Arial" w:eastAsia="Arial" w:hAnsi="Arial"/>
          <w:sz w:val="16"/>
          <w:szCs w:val="16"/>
          <w:i w:val="1"/>
          <w:iCs w:val="1"/>
          <w:color w:val="auto"/>
        </w:rPr>
        <w:t>provided</w:t>
      </w:r>
      <w:r>
        <w:rPr>
          <w:rFonts w:ascii="Arial" w:cs="Arial" w:eastAsia="Arial" w:hAnsi="Arial"/>
          <w:sz w:val="16"/>
          <w:szCs w:val="16"/>
          <w:color w:val="auto"/>
        </w:rPr>
        <w:t>, that for purposes of calculating the Consolidated Total Leverage Ratio, Consolidated EBITDA related to any Management Agreement or IP Licensing Agreement for the fiscal quarter in which a Qualifying Act of Terrorism adversely impacting any related Management Fees or IP Licensing Fees (in the good faith determination of Borrower), as applicable, shall have occurred and the next two succeeding fiscal quarters thereafter shall, in each case, be the greater of (1) Substituted Consolidated EBITDA with respect thereto and (2) actual Consolidated EBITDA with respect thereto for such fiscal quarter.</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shall mean, as to any Person, any obligation of such Person guaranteeing or intended to guarantee any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shall mean (a) Permitted First Priority Refinancing Debt, (b) Permitted Second Priority Refinancing Debt, (c) Permitted Unsecured Refinancing Debt or (d) other Indebtedness incurred pursuant to a Refinancing Amendment (including, without limitation, Other Term Loans), in each case, issued, incurred or otherwise obtained (including by means of the extension or renewal of existing Indebtedness) in exchange for, or to extend, renew, replace or refinance, in whole or part, then-existing Term Loans and/or Credit Agreement Refinancing Indebtedness</w:t>
      </w:r>
    </w:p>
    <w:p>
      <w:pPr>
        <w:sectPr>
          <w:pgSz w:w="11900" w:h="16838" w:orient="portrait"/>
          <w:cols w:equalWidth="0" w:num="1">
            <w:col w:w="11420"/>
          </w:cols>
          <w:pgMar w:left="240" w:top="152" w:right="239" w:bottom="0" w:gutter="0" w:footer="0" w:header="0"/>
        </w:sectPr>
      </w:pPr>
    </w:p>
    <w:bookmarkStart w:id="69" w:name="page70"/>
    <w:bookmarkEnd w:id="69"/>
    <w:p>
      <w:pPr>
        <w:jc w:val="both"/>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has the same or a later maturity and a Weighted Average Life to Maturity equal to or greater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fees and premiums (if any) thereon, </w:t>
      </w:r>
      <w:r>
        <w:rPr>
          <w:rFonts w:ascii="Arial" w:cs="Arial" w:eastAsia="Arial" w:hAnsi="Arial"/>
          <w:sz w:val="16"/>
          <w:szCs w:val="16"/>
          <w:i w:val="1"/>
          <w:iCs w:val="1"/>
          <w:color w:val="auto"/>
        </w:rPr>
        <w:t>plus</w:t>
      </w:r>
      <w:r>
        <w:rPr>
          <w:rFonts w:ascii="Arial" w:cs="Arial" w:eastAsia="Arial" w:hAnsi="Arial"/>
          <w:sz w:val="16"/>
          <w:szCs w:val="16"/>
          <w:color w:val="auto"/>
        </w:rPr>
        <w:t>,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[reserved], (v) the terms (excluding maturity, amortization, pricing, fees, rate floors, premiums, optional prepayment or optional redemption provisions) of which are (as determined by Borrower in good faith), taken as a whole, not materially more restrictive than the terms of the Refinanced Debt,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6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xml:space="preserve">” shall mean (a) this Agreement, (b) the Notes, (c) the Security Documents, (d)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(e) any Second Lien Intercreditor Agreement, (f) any Incremental Joinder Agreement, (g) any Extension Amendment, (h) any Subordination Agreement, (i) the Collateral Agency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Swap Contracts</w:t>
      </w:r>
      <w:r>
        <w:rPr>
          <w:rFonts w:ascii="Arial" w:cs="Arial" w:eastAsia="Arial" w:hAnsi="Arial"/>
          <w:sz w:val="18"/>
          <w:szCs w:val="18"/>
          <w:color w:val="auto"/>
        </w:rPr>
        <w:t>” shall mean any Swap Contract between a Credit Party and a Swap Provider (excluding any Swap Contract of the type described in the last sentence of the definition of “Swap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AG New York Branch.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 Lender</w:t>
      </w:r>
      <w:r>
        <w:rPr>
          <w:rFonts w:ascii="Arial" w:cs="Arial" w:eastAsia="Arial" w:hAnsi="Arial"/>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the Borrower nor its Subsidiaries, directly or indirectly, possesses the power to direct or cause the direction of the investment policies of such entity.</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xml:space="preserve">” shall mean the incurrence by a Credit Party of any Indebtedness after the Closing Date (other than as permitted by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The issuance or sale of any debt instrument convertible into or exchangeable or exercisable for any Equity Interests shall be deemed a Debt Issuance for purposes of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Amounts</w:t>
      </w:r>
      <w:r>
        <w:rPr>
          <w:rFonts w:ascii="Arial" w:cs="Arial" w:eastAsia="Arial" w:hAnsi="Arial"/>
          <w:sz w:val="18"/>
          <w:szCs w:val="18"/>
          <w:color w:val="auto"/>
        </w:rPr>
        <w:t xml:space="preserve">” shall have the meaning given to such term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w:t>
      </w:r>
    </w:p>
    <w:p>
      <w:pPr>
        <w:spacing w:after="0" w:line="17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Defaulting Lender</w:t>
      </w:r>
      <w:r>
        <w:rPr>
          <w:rFonts w:ascii="Arial" w:cs="Arial" w:eastAsia="Arial" w:hAnsi="Arial"/>
          <w:sz w:val="16"/>
          <w:szCs w:val="16"/>
          <w:color w:val="auto"/>
        </w:rPr>
        <w:t xml:space="preserve">” shall mean, subject to </w:t>
      </w:r>
      <w:r>
        <w:rPr>
          <w:rFonts w:ascii="Arial" w:cs="Arial" w:eastAsia="Arial" w:hAnsi="Arial"/>
          <w:sz w:val="16"/>
          <w:szCs w:val="16"/>
          <w:u w:val="single" w:color="auto"/>
          <w:color w:val="auto"/>
        </w:rPr>
        <w:t>Section 2.14(b)</w:t>
      </w:r>
      <w:r>
        <w:rPr>
          <w:rFonts w:ascii="Arial" w:cs="Arial" w:eastAsia="Arial" w:hAnsi="Arial"/>
          <w:sz w:val="16"/>
          <w:szCs w:val="16"/>
          <w:color w:val="auto"/>
        </w:rPr>
        <w:t>, any Lender that (a) has failed to (i)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(ii) comply with its obligations under this Agreement to make a payment to a Lender of any amount required to be paid to it hereunder, in each case within two (2) Business Days of the date when due,</w:t>
      </w:r>
    </w:p>
    <w:p>
      <w:pPr>
        <w:spacing w:after="0" w:line="2" w:lineRule="exact"/>
        <w:rPr>
          <w:sz w:val="20"/>
          <w:szCs w:val="20"/>
          <w:color w:val="auto"/>
        </w:rPr>
      </w:pPr>
    </w:p>
    <w:p>
      <w:pPr>
        <w:jc w:val="both"/>
        <w:ind w:firstLine="8"/>
        <w:spacing w:after="0" w:line="268" w:lineRule="auto"/>
        <w:tabs>
          <w:tab w:leader="none" w:pos="276" w:val="left"/>
        </w:tabs>
        <w:numPr>
          <w:ilvl w:val="0"/>
          <w:numId w:val="37"/>
        </w:numPr>
        <w:rPr>
          <w:rFonts w:ascii="Arial" w:cs="Arial" w:eastAsia="Arial" w:hAnsi="Arial"/>
          <w:sz w:val="17"/>
          <w:szCs w:val="17"/>
          <w:color w:val="auto"/>
        </w:rPr>
      </w:pPr>
      <w:r>
        <w:rPr>
          <w:rFonts w:ascii="Arial" w:cs="Arial" w:eastAsia="Arial" w:hAnsi="Arial"/>
          <w:sz w:val="17"/>
          <w:szCs w:val="17"/>
          <w:color w:val="auto"/>
        </w:rPr>
        <w:t>has notified Borrower or Administrative Agent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(c) a Lender Insolvency Event has occurred and is continuing with respect to such Lender or its Parent Company, (d)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will cease to be a Defaulting Lender pursuant to this clause (d) upon Administrative Agent’s and Borrower’s receipt of such written confirmation), or (e) has become the subject of a Bail-In Action. Any determination of a Defaulting Lender under clauses (a) through (e) above will be conclusive and binding absent manifest error.</w:t>
      </w:r>
    </w:p>
    <w:p>
      <w:pPr>
        <w:spacing w:after="0" w:line="17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Crimea, Cuba, Iran, North Korea,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the Credit Parties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Discharged</w:t>
      </w:r>
      <w:r>
        <w:rPr>
          <w:rFonts w:ascii="Arial" w:cs="Arial" w:eastAsia="Arial" w:hAnsi="Arial"/>
          <w:sz w:val="16"/>
          <w:szCs w:val="16"/>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ectPr>
          <w:pgSz w:w="11900" w:h="16838" w:orient="portrait"/>
          <w:cols w:equalWidth="0" w:num="1">
            <w:col w:w="11420"/>
          </w:cols>
          <w:pgMar w:left="240" w:top="121" w:right="239" w:bottom="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Capital Stock</w:t>
      </w:r>
      <w:r>
        <w:rPr>
          <w:rFonts w:ascii="Arial" w:cs="Arial" w:eastAsia="Arial" w:hAnsi="Arial"/>
          <w:sz w:val="16"/>
          <w:szCs w:val="16"/>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w:t>
      </w:r>
    </w:p>
    <w:p>
      <w:pPr>
        <w:spacing w:after="0" w:line="3" w:lineRule="exact"/>
        <w:rPr>
          <w:sz w:val="20"/>
          <w:szCs w:val="20"/>
          <w:color w:val="auto"/>
        </w:rPr>
      </w:pPr>
    </w:p>
    <w:p>
      <w:pPr>
        <w:jc w:val="both"/>
        <w:ind w:firstLine="8"/>
        <w:spacing w:after="0" w:line="254" w:lineRule="auto"/>
        <w:tabs>
          <w:tab w:leader="none" w:pos="266"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186"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Disqualified Lenders</w:t>
      </w:r>
      <w:r>
        <w:rPr>
          <w:rFonts w:ascii="Arial" w:cs="Arial" w:eastAsia="Arial" w:hAnsi="Arial"/>
          <w:sz w:val="16"/>
          <w:szCs w:val="16"/>
          <w:color w:val="auto"/>
        </w:rPr>
        <w:t>” shall mean (i) such Persons that have been specified in writing to the Administrative Agent (it being understood that the Administrative Agent will distribute the list of such Persons to a Lender upon request) (a) prior to September 19, 2018 as being “Disqualified Lenders” and</w:t>
      </w:r>
    </w:p>
    <w:p>
      <w:pPr>
        <w:spacing w:after="0" w:line="1" w:lineRule="exact"/>
        <w:rPr>
          <w:sz w:val="20"/>
          <w:szCs w:val="20"/>
          <w:color w:val="auto"/>
        </w:rPr>
      </w:pPr>
    </w:p>
    <w:p>
      <w:pPr>
        <w:jc w:val="both"/>
        <w:ind w:firstLine="8"/>
        <w:spacing w:after="0" w:line="287" w:lineRule="auto"/>
        <w:tabs>
          <w:tab w:leader="none" w:pos="259"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within 10 Business Days after the end of each fiscal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if no Persons are specified in writing to the Administrative Agent pursuant to clause (i)(b)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(y) in no event shall any Person be specified in writing to the Administrative Agent pursuant to clause (i)(b) above at any time that such Person is a Lender hereunder, (ii) any other persons who are Competitors of Borrower that are separately identified in writing by Borrower to the Administrative Agent from time to time and (iii) in each case of the foregoing clauses (i) and (ii), any of such Person’s Affiliates (other than any bona-fide debt funds) that are either (a) identified in writing by Borrower to the Administrative Agent from time to time or (b) clearly identifiable as an Affiliate solely on the basis of such Affiliate’s name;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additional designation permitted by the foregoing clauses (i) and (ii) shall not apply retroactively to any prior assignment (or prior participation in the Loans) permitted hereunder at the time of such assignment (or prior participation in the Loans).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Agents</w:t>
      </w:r>
      <w:r>
        <w:rPr>
          <w:rFonts w:ascii="Arial" w:cs="Arial" w:eastAsia="Arial" w:hAnsi="Arial"/>
          <w:sz w:val="18"/>
          <w:szCs w:val="18"/>
          <w:color w:val="auto"/>
        </w:rPr>
        <w:t>” means BNP Paribas, Credit Agricole Corporate and Investment Bank, The Bank of Nova Scotia and Sumitomo Mitsui Banking Corporation, in their capacities as documentation agents.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shall mean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 (a) or (b) of this definition and is subject to consolidated supervision with its parent.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shall mean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shall mean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Assignee</w:t>
      </w:r>
      <w:r>
        <w:rPr>
          <w:rFonts w:ascii="Arial" w:cs="Arial" w:eastAsia="Arial" w:hAnsi="Arial"/>
          <w:sz w:val="16"/>
          <w:szCs w:val="16"/>
          <w:color w:val="auto"/>
        </w:rPr>
        <w:t>” shall mean and include (i) a commercial bank, an insurance company, a finance company, a financial institution, any fund that invests in loans or any other “accredited investor” (as defined in Regulation D), (ii) solely for purposes of Borrower Loan Purchases, the Credit Parties, and</w:t>
      </w:r>
    </w:p>
    <w:p>
      <w:pPr>
        <w:spacing w:after="0" w:line="1"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so long as in compliance with </w:t>
      </w:r>
      <w:r>
        <w:rPr>
          <w:rFonts w:ascii="Arial" w:cs="Arial" w:eastAsia="Arial" w:hAnsi="Arial"/>
          <w:sz w:val="17"/>
          <w:szCs w:val="17"/>
          <w:u w:val="single" w:color="auto"/>
          <w:color w:val="auto"/>
        </w:rPr>
        <w:t>Sections 13.05(e)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(f)</w:t>
      </w:r>
      <w:r>
        <w:rPr>
          <w:rFonts w:ascii="Arial" w:cs="Arial" w:eastAsia="Arial" w:hAnsi="Arial"/>
          <w:sz w:val="17"/>
          <w:szCs w:val="17"/>
          <w:color w:val="auto"/>
        </w:rPr>
        <w:t xml:space="preserve">, as applicable, Affiliate Lenders and Debt Fund Affiliate Lenders;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w:t>
      </w:r>
    </w:p>
    <w:p>
      <w:pPr>
        <w:spacing w:after="0" w:line="20" w:lineRule="exact"/>
        <w:rPr>
          <w:rFonts w:ascii="Arial" w:cs="Arial" w:eastAsia="Arial" w:hAnsi="Arial"/>
          <w:sz w:val="17"/>
          <w:szCs w:val="17"/>
          <w:color w:val="auto"/>
        </w:rPr>
      </w:pPr>
    </w:p>
    <w:p>
      <w:pPr>
        <w:ind w:left="280" w:hanging="272"/>
        <w:spacing w:after="0"/>
        <w:tabs>
          <w:tab w:leader="none" w:pos="2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other than as set forth in clause (ii) of this definition, neither Borrower nor any of Borrower’s Affiliates or Subsidiaries shall be an Eligible Assignee,</w:t>
      </w:r>
    </w:p>
    <w:p>
      <w:pPr>
        <w:spacing w:after="0" w:line="20" w:lineRule="exact"/>
        <w:rPr>
          <w:rFonts w:ascii="Arial" w:cs="Arial" w:eastAsia="Arial" w:hAnsi="Arial"/>
          <w:sz w:val="17"/>
          <w:szCs w:val="17"/>
          <w:color w:val="auto"/>
        </w:rPr>
      </w:pPr>
    </w:p>
    <w:p>
      <w:pPr>
        <w:ind w:firstLine="8"/>
        <w:spacing w:after="0" w:line="261" w:lineRule="auto"/>
        <w:tabs>
          <w:tab w:leader="none" w:pos="26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Eligible Assignee shall not include any Person that is a Disqualified Lender unless consented to in writing by Borrower, and (z) Eligible Assignee shall not include any Person who is a Defaulting Lender or is subject to a Disqualification.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a Credit Party.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Action</w:t>
      </w:r>
      <w:r>
        <w:rPr>
          <w:rFonts w:ascii="Arial" w:cs="Arial" w:eastAsia="Arial" w:hAnsi="Arial"/>
          <w:sz w:val="17"/>
          <w:szCs w:val="17"/>
          <w:color w:val="auto"/>
        </w:rPr>
        <w:t>” shall mean (a) any notice, claim, demand or other written or, to the knowledge of any Responsible Officer of Borrower, oral communication alleging liability of a Credit Party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a Credit Party, arising under Environmental Law whether or not such activities are carried out voluntarily.</w:t>
      </w:r>
    </w:p>
    <w:p>
      <w:pPr>
        <w:spacing w:after="0" w:line="172" w:lineRule="exact"/>
        <w:rPr>
          <w:sz w:val="20"/>
          <w:szCs w:val="20"/>
          <w:color w:val="auto"/>
        </w:rPr>
      </w:pPr>
    </w:p>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ectPr>
          <w:pgSz w:w="11900" w:h="16838" w:orient="portrait"/>
          <w:cols w:equalWidth="0" w:num="1">
            <w:col w:w="11420"/>
          </w:cols>
          <w:pgMar w:left="240" w:top="189" w:right="239" w:bottom="0" w:gutter="0" w:footer="0" w:header="0"/>
        </w:sectPr>
      </w:pPr>
    </w:p>
    <w:bookmarkStart w:id="71" w:name="page72"/>
    <w:bookmarkEnd w:id="71"/>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issuance or sale shall be deemed an Equity Issuance upon the conversion or exchange of such debt instrument into Equity Interests.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 Proceeds</w:t>
      </w:r>
      <w:r>
        <w:rPr>
          <w:rFonts w:ascii="Arial" w:cs="Arial" w:eastAsia="Arial" w:hAnsi="Arial"/>
          <w:sz w:val="17"/>
          <w:szCs w:val="17"/>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any member of an ERISA Group.</w:t>
      </w:r>
    </w:p>
    <w:p>
      <w:pPr>
        <w:spacing w:after="0" w:line="225"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 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w:t>
      </w:r>
    </w:p>
    <w:p>
      <w:pPr>
        <w:spacing w:after="0" w:line="6" w:lineRule="exact"/>
        <w:rPr>
          <w:sz w:val="20"/>
          <w:szCs w:val="20"/>
          <w:color w:val="auto"/>
        </w:rPr>
      </w:pPr>
    </w:p>
    <w:p>
      <w:pPr>
        <w:ind w:firstLine="8"/>
        <w:spacing w:after="0" w:line="261" w:lineRule="auto"/>
        <w:tabs>
          <w:tab w:leader="none" w:pos="2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a nonexempt prohibited transaction (within the meaning of Section 4975 of the Code or Section 406 of ERISA) which would reasonably be expected to result in liability to any ERISA Entity.</w:t>
      </w:r>
    </w:p>
    <w:p>
      <w:pPr>
        <w:spacing w:after="0" w:line="180"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Group</w:t>
      </w:r>
      <w:r>
        <w:rPr>
          <w:rFonts w:ascii="Arial" w:cs="Arial" w:eastAsia="Arial" w:hAnsi="Arial"/>
          <w:sz w:val="16"/>
          <w:szCs w:val="16"/>
          <w:color w:val="auto"/>
        </w:rPr>
        <w:t xml:space="preserve">” shall mean the Credit Parties and all members of a controlled group of corporations and all trades or businesses (whether or not incorporated) under common control which, together with the Credit Parties, are treated as a single employer under </w:t>
      </w:r>
      <w:r>
        <w:rPr>
          <w:rFonts w:ascii="Arial" w:cs="Arial" w:eastAsia="Arial" w:hAnsi="Arial"/>
          <w:sz w:val="16"/>
          <w:szCs w:val="16"/>
          <w:u w:val="single" w:color="auto"/>
          <w:color w:val="auto"/>
        </w:rPr>
        <w:t>Section 414(b)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the Code.</w:t>
      </w:r>
    </w:p>
    <w:p>
      <w:pPr>
        <w:spacing w:after="0" w:line="116"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shall mean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11.01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fiscal year of Borrower, an amount, if positive, equal to (without duplication):</w:t>
      </w:r>
    </w:p>
    <w:p>
      <w:pPr>
        <w:spacing w:after="0" w:line="256" w:lineRule="exact"/>
        <w:rPr>
          <w:sz w:val="20"/>
          <w:szCs w:val="20"/>
          <w:color w:val="auto"/>
        </w:rPr>
      </w:pPr>
    </w:p>
    <w:p>
      <w:pPr>
        <w:ind w:left="1820" w:hanging="840"/>
        <w:spacing w:after="0"/>
        <w:tabs>
          <w:tab w:leader="none" w:pos="1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340" w:firstLine="640"/>
        <w:spacing w:after="0" w:line="329" w:lineRule="auto"/>
        <w:tabs>
          <w:tab w:leader="none" w:pos="1846"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Arial" w:cs="Arial" w:eastAsia="Arial" w:hAnsi="Arial"/>
          <w:sz w:val="17"/>
          <w:szCs w:val="17"/>
          <w:i w:val="1"/>
          <w:iCs w:val="1"/>
          <w:color w:val="auto"/>
        </w:rPr>
        <w:t>plus</w:t>
      </w:r>
    </w:p>
    <w:p>
      <w:pPr>
        <w:spacing w:after="0" w:line="170" w:lineRule="exact"/>
        <w:rPr>
          <w:rFonts w:ascii="Arial" w:cs="Arial" w:eastAsia="Arial" w:hAnsi="Arial"/>
          <w:sz w:val="17"/>
          <w:szCs w:val="17"/>
          <w:color w:val="auto"/>
        </w:rPr>
      </w:pPr>
    </w:p>
    <w:p>
      <w:pPr>
        <w:ind w:left="340" w:firstLine="640"/>
        <w:spacing w:after="0" w:line="324" w:lineRule="auto"/>
        <w:tabs>
          <w:tab w:leader="none" w:pos="1836"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840" w:hanging="860"/>
        <w:spacing w:after="0"/>
        <w:tabs>
          <w:tab w:leader="none" w:pos="18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any amounts received from the early extinguishment of Swap Contracts that are not included in Consolidated Net Income; </w:t>
      </w:r>
      <w:r>
        <w:rPr>
          <w:rFonts w:ascii="Arial" w:cs="Arial" w:eastAsia="Arial" w:hAnsi="Arial"/>
          <w:sz w:val="16"/>
          <w:szCs w:val="16"/>
          <w:i w:val="1"/>
          <w:iCs w:val="1"/>
          <w:color w:val="auto"/>
        </w:rPr>
        <w:t>minus</w:t>
      </w:r>
    </w:p>
    <w:p>
      <w:pPr>
        <w:spacing w:after="0" w:line="288" w:lineRule="exact"/>
        <w:rPr>
          <w:rFonts w:ascii="Arial" w:cs="Arial" w:eastAsia="Arial" w:hAnsi="Arial"/>
          <w:sz w:val="16"/>
          <w:szCs w:val="16"/>
          <w:color w:val="auto"/>
        </w:rPr>
      </w:pPr>
    </w:p>
    <w:p>
      <w:pPr>
        <w:ind w:left="1820" w:hanging="840"/>
        <w:spacing w:after="0"/>
        <w:tabs>
          <w:tab w:leader="none" w:pos="1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the increase, if any, of Working Capital from the beginning of such period to the end of such period; </w:t>
      </w:r>
      <w:r>
        <w:rPr>
          <w:rFonts w:ascii="Arial" w:cs="Arial" w:eastAsia="Arial" w:hAnsi="Arial"/>
          <w:sz w:val="18"/>
          <w:szCs w:val="18"/>
          <w:i w:val="1"/>
          <w:iCs w:val="1"/>
          <w:color w:val="auto"/>
        </w:rPr>
        <w:t>minus</w:t>
      </w:r>
    </w:p>
    <w:p>
      <w:pPr>
        <w:spacing w:after="0" w:line="265" w:lineRule="exact"/>
        <w:rPr>
          <w:rFonts w:ascii="Arial" w:cs="Arial" w:eastAsia="Arial" w:hAnsi="Arial"/>
          <w:sz w:val="18"/>
          <w:szCs w:val="18"/>
          <w:color w:val="auto"/>
        </w:rPr>
      </w:pPr>
    </w:p>
    <w:p>
      <w:pPr>
        <w:ind w:left="1800" w:hanging="820"/>
        <w:spacing w:after="0"/>
        <w:tabs>
          <w:tab w:leader="none" w:pos="1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amounts paid in connection with the early extinguishment of Swap Contracts that are not included in Consolidated Net Income;</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minus</w:t>
      </w:r>
    </w:p>
    <w:p>
      <w:pPr>
        <w:spacing w:after="0" w:line="265" w:lineRule="exact"/>
        <w:rPr>
          <w:rFonts w:ascii="Arial" w:cs="Arial" w:eastAsia="Arial" w:hAnsi="Arial"/>
          <w:sz w:val="16"/>
          <w:szCs w:val="16"/>
          <w:color w:val="auto"/>
        </w:rPr>
      </w:pPr>
    </w:p>
    <w:p>
      <w:pPr>
        <w:ind w:left="340" w:firstLine="640"/>
        <w:spacing w:after="0" w:line="395" w:lineRule="auto"/>
        <w:tabs>
          <w:tab w:leader="none" w:pos="1846"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amount of Capital Expenditures made in cash during such period, except to the extent financed with the proceeds of Indebtedness, Asset Sales, or Casualty Events (to the extent such proceeds did not increase Consolidated Net Income) of the Credit Parties; </w:t>
      </w:r>
      <w:r>
        <w:rPr>
          <w:rFonts w:ascii="Arial" w:cs="Arial" w:eastAsia="Arial" w:hAnsi="Arial"/>
          <w:sz w:val="16"/>
          <w:szCs w:val="16"/>
          <w:i w:val="1"/>
          <w:iCs w:val="1"/>
          <w:color w:val="auto"/>
        </w:rPr>
        <w:t>minus</w:t>
      </w:r>
    </w:p>
    <w:p>
      <w:pPr>
        <w:sectPr>
          <w:pgSz w:w="11900" w:h="16838" w:orient="portrait"/>
          <w:cols w:equalWidth="0" w:num="1">
            <w:col w:w="11420"/>
          </w:cols>
          <w:pgMar w:left="240" w:top="121" w:right="239" w:bottom="0" w:gutter="0" w:footer="0" w:header="0"/>
        </w:sectPr>
      </w:pPr>
    </w:p>
    <w:bookmarkStart w:id="72" w:name="page73"/>
    <w:bookmarkEnd w:id="72"/>
    <w:p>
      <w:pPr>
        <w:jc w:val="both"/>
        <w:ind w:left="340" w:firstLine="640"/>
        <w:spacing w:after="0" w:line="302" w:lineRule="auto"/>
        <w:tabs>
          <w:tab w:leader="none" w:pos="18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amount of principal payments of the Loans, Other Applicable Indebtedness, and Other First Lien Indebtedness of the Credit Parties (excluding (i) repayments of revolving indebtedness, except to the extent the commitments in respect of such revolving debt are permanently reduced in connection with such repayments and (ii) prepayments of Loans or other Indebtedness, in each case, that reduce the amount of Excess Cash Flow prepayment required to be made with respect to such fiscal year under </w:t>
      </w:r>
      <w:r>
        <w:rPr>
          <w:rFonts w:ascii="Arial" w:cs="Arial" w:eastAsia="Arial" w:hAnsi="Arial"/>
          <w:sz w:val="18"/>
          <w:szCs w:val="18"/>
          <w:u w:val="single" w:color="auto"/>
          <w:color w:val="auto"/>
        </w:rPr>
        <w:t>Section 2.10(a)(iv)(y)</w:t>
      </w:r>
      <w:r>
        <w:rPr>
          <w:rFonts w:ascii="Arial" w:cs="Arial" w:eastAsia="Arial" w:hAnsi="Arial"/>
          <w:sz w:val="18"/>
          <w:szCs w:val="18"/>
          <w:color w:val="auto"/>
        </w:rPr>
        <w:t xml:space="preserve"> (including as a result of </w:t>
      </w:r>
      <w:r>
        <w:rPr>
          <w:rFonts w:ascii="Arial" w:cs="Arial" w:eastAsia="Arial" w:hAnsi="Arial"/>
          <w:sz w:val="18"/>
          <w:szCs w:val="18"/>
          <w:u w:val="single" w:color="auto"/>
          <w:color w:val="auto"/>
        </w:rPr>
        <w:t>Section 2.10(a)(vi)</w:t>
      </w:r>
      <w:r>
        <w:rPr>
          <w:rFonts w:ascii="Arial" w:cs="Arial" w:eastAsia="Arial" w:hAnsi="Arial"/>
          <w:sz w:val="18"/>
          <w:szCs w:val="18"/>
          <w:color w:val="auto"/>
        </w:rPr>
        <w:t xml:space="preserve">)), in each case, except to the extent financed with the proceeds of Indebtedness, Asset Sales, or Casualty Events (to the extent such proceeds did not increase Consolidated Net Income) of the Credit Parties; </w:t>
      </w:r>
      <w:r>
        <w:rPr>
          <w:rFonts w:ascii="Arial" w:cs="Arial" w:eastAsia="Arial" w:hAnsi="Arial"/>
          <w:sz w:val="18"/>
          <w:szCs w:val="18"/>
          <w:i w:val="1"/>
          <w:iCs w:val="1"/>
          <w:color w:val="auto"/>
        </w:rPr>
        <w:t>minus</w:t>
      </w:r>
    </w:p>
    <w:p>
      <w:pPr>
        <w:spacing w:after="0" w:line="192" w:lineRule="exact"/>
        <w:rPr>
          <w:rFonts w:ascii="Arial" w:cs="Arial" w:eastAsia="Arial" w:hAnsi="Arial"/>
          <w:sz w:val="18"/>
          <w:szCs w:val="18"/>
          <w:color w:val="auto"/>
        </w:rPr>
      </w:pPr>
    </w:p>
    <w:p>
      <w:pPr>
        <w:jc w:val="both"/>
        <w:ind w:left="340" w:firstLine="640"/>
        <w:spacing w:after="0" w:line="306" w:lineRule="auto"/>
        <w:tabs>
          <w:tab w:leader="none" w:pos="18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amount of Investments made during such period pursuant to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Sections 10.04(a)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(except to the extent such amount increased Consolidated Net Income),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(h)</w:t>
      </w:r>
      <w:r>
        <w:rPr>
          <w:rFonts w:ascii="Arial" w:cs="Arial" w:eastAsia="Arial" w:hAnsi="Arial"/>
          <w:sz w:val="18"/>
          <w:szCs w:val="18"/>
          <w:color w:val="auto"/>
        </w:rPr>
        <w:t xml:space="preserve"> (to the extent not taken into account in arriving at Consolidated Net Income), </w:t>
      </w:r>
      <w:r>
        <w:rPr>
          <w:rFonts w:ascii="Arial" w:cs="Arial" w:eastAsia="Arial" w:hAnsi="Arial"/>
          <w:sz w:val="18"/>
          <w:szCs w:val="18"/>
          <w:u w:val="single" w:color="auto"/>
          <w:color w:val="auto"/>
        </w:rPr>
        <w:t>(j)</w:t>
      </w:r>
      <w:r>
        <w:rPr>
          <w:rFonts w:ascii="Arial" w:cs="Arial" w:eastAsia="Arial" w:hAnsi="Arial"/>
          <w:sz w:val="18"/>
          <w:szCs w:val="18"/>
          <w:color w:val="auto"/>
        </w:rPr>
        <w:t xml:space="preserve">, </w:t>
      </w:r>
      <w:r>
        <w:rPr>
          <w:rFonts w:ascii="Arial" w:cs="Arial" w:eastAsia="Arial" w:hAnsi="Arial"/>
          <w:sz w:val="18"/>
          <w:szCs w:val="18"/>
          <w:u w:val="single" w:color="auto"/>
          <w:color w:val="auto"/>
        </w:rPr>
        <w:t>(k)</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(o)</w:t>
      </w:r>
      <w:r>
        <w:rPr>
          <w:rFonts w:ascii="Arial" w:cs="Arial" w:eastAsia="Arial" w:hAnsi="Arial"/>
          <w:sz w:val="18"/>
          <w:szCs w:val="18"/>
          <w:color w:val="auto"/>
        </w:rPr>
        <w:t xml:space="preserve">), except to the extent financed with the proceeds of Indebtedness, Asset Sales, or Casualty Events (to the extent such proceeds did not increase Consolidated Net Income) of the Credit Parties; </w:t>
      </w:r>
      <w:r>
        <w:rPr>
          <w:rFonts w:ascii="Arial" w:cs="Arial" w:eastAsia="Arial" w:hAnsi="Arial"/>
          <w:sz w:val="18"/>
          <w:szCs w:val="18"/>
          <w:i w:val="1"/>
          <w:iCs w:val="1"/>
          <w:color w:val="auto"/>
        </w:rPr>
        <w:t>minus</w:t>
      </w:r>
    </w:p>
    <w:p>
      <w:pPr>
        <w:spacing w:after="0" w:line="186" w:lineRule="exact"/>
        <w:rPr>
          <w:rFonts w:ascii="Arial" w:cs="Arial" w:eastAsia="Arial" w:hAnsi="Arial"/>
          <w:sz w:val="18"/>
          <w:szCs w:val="18"/>
          <w:color w:val="auto"/>
        </w:rPr>
      </w:pPr>
    </w:p>
    <w:p>
      <w:pPr>
        <w:ind w:left="340" w:right="20" w:firstLine="640"/>
        <w:spacing w:after="0" w:line="324" w:lineRule="auto"/>
        <w:tabs>
          <w:tab w:leader="none" w:pos="18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Arial" w:cs="Arial" w:eastAsia="Arial" w:hAnsi="Arial"/>
          <w:sz w:val="18"/>
          <w:szCs w:val="18"/>
          <w:i w:val="1"/>
          <w:iCs w:val="1"/>
          <w:color w:val="auto"/>
        </w:rPr>
        <w:t>minus</w:t>
      </w:r>
    </w:p>
    <w:p>
      <w:pPr>
        <w:spacing w:after="0" w:line="170" w:lineRule="exact"/>
        <w:rPr>
          <w:rFonts w:ascii="Arial" w:cs="Arial" w:eastAsia="Arial" w:hAnsi="Arial"/>
          <w:sz w:val="18"/>
          <w:szCs w:val="18"/>
          <w:color w:val="auto"/>
        </w:rPr>
      </w:pPr>
    </w:p>
    <w:p>
      <w:pPr>
        <w:jc w:val="both"/>
        <w:ind w:left="340" w:firstLine="640"/>
        <w:spacing w:after="0" w:line="311" w:lineRule="auto"/>
        <w:tabs>
          <w:tab w:leader="none" w:pos="184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payments made under Support Guaranties to the extent not taken into account in arriving at Consolidated Net Income except to the extent financed with the proceeds of Indebtedness, Asset Sales, or Casualty Events (to the extent such proceeds did not increase Consolidated Net Income) of the Credit Parties; </w:t>
      </w:r>
      <w:r>
        <w:rPr>
          <w:rFonts w:ascii="Arial" w:cs="Arial" w:eastAsia="Arial" w:hAnsi="Arial"/>
          <w:sz w:val="18"/>
          <w:szCs w:val="18"/>
          <w:i w:val="1"/>
          <w:iCs w:val="1"/>
          <w:color w:val="auto"/>
        </w:rPr>
        <w:t>minus</w:t>
      </w:r>
    </w:p>
    <w:p>
      <w:pPr>
        <w:spacing w:after="0" w:line="181" w:lineRule="exact"/>
        <w:rPr>
          <w:rFonts w:ascii="Arial" w:cs="Arial" w:eastAsia="Arial" w:hAnsi="Arial"/>
          <w:sz w:val="18"/>
          <w:szCs w:val="18"/>
          <w:color w:val="auto"/>
        </w:rPr>
      </w:pPr>
    </w:p>
    <w:p>
      <w:pPr>
        <w:jc w:val="both"/>
        <w:ind w:left="340" w:firstLine="640"/>
        <w:spacing w:after="0" w:line="311" w:lineRule="auto"/>
        <w:tabs>
          <w:tab w:leader="none" w:pos="18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any expenses or reserves for liabilities to the extent that any Credit Party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 </w:t>
      </w:r>
      <w:r>
        <w:rPr>
          <w:rFonts w:ascii="Arial" w:cs="Arial" w:eastAsia="Arial" w:hAnsi="Arial"/>
          <w:sz w:val="18"/>
          <w:szCs w:val="18"/>
          <w:i w:val="1"/>
          <w:iCs w:val="1"/>
          <w:color w:val="auto"/>
        </w:rPr>
        <w:t>minus</w:t>
      </w:r>
    </w:p>
    <w:p>
      <w:pPr>
        <w:spacing w:after="0" w:line="181" w:lineRule="exact"/>
        <w:rPr>
          <w:rFonts w:ascii="Arial" w:cs="Arial" w:eastAsia="Arial" w:hAnsi="Arial"/>
          <w:sz w:val="18"/>
          <w:szCs w:val="18"/>
          <w:color w:val="auto"/>
        </w:rPr>
      </w:pPr>
    </w:p>
    <w:p>
      <w:pPr>
        <w:jc w:val="both"/>
        <w:ind w:left="340" w:firstLine="640"/>
        <w:spacing w:after="0" w:line="311" w:lineRule="auto"/>
        <w:tabs>
          <w:tab w:leader="none" w:pos="189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extraordinary, non-recurring, or unusual losses or charges (together with any related taxes, fees, and expenses, and for the avoidance of doubt, including the Litigation Settlement Expense) paid in cash during such period, to the extent not taken into account in arriving at Consolidated Net Income.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Information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12.07(b)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xml:space="preserve">” shall mean any of the following Taxes imposed on or with respect to any Agent or Lender or required to be withheld or deducted from any payment to any Agent or Lender: (a) income, franchise, branch profits or other similar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 (b) in the case of any Lender, other than an assignee pursuant to a request by Borrower under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the Credit Parties with respect to such withholding Tax pursuant to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(c) Taxes attributable to such Lender’s failure to comply with </w:t>
      </w:r>
      <w:r>
        <w:rPr>
          <w:rFonts w:ascii="Arial" w:cs="Arial" w:eastAsia="Arial" w:hAnsi="Arial"/>
          <w:sz w:val="16"/>
          <w:szCs w:val="16"/>
          <w:u w:val="single" w:color="auto"/>
          <w:color w:val="auto"/>
        </w:rPr>
        <w:t>Sections 5.06(b)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(d) any Taxes imposed under FATCA.</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any Term Loan Extension Request.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Tranche</w:t>
      </w:r>
      <w:r>
        <w:rPr>
          <w:rFonts w:ascii="Arial" w:cs="Arial" w:eastAsia="Arial" w:hAnsi="Arial"/>
          <w:sz w:val="18"/>
          <w:szCs w:val="18"/>
          <w:color w:val="auto"/>
        </w:rPr>
        <w:t>” shall mean all Extended Term Loans of the same tranche that are established pursuant to the same Extension Amendment (or any subsequent Extension Amendment to the extent such Extension Amendment expressly provides that the Extended Term Loans provided for therein are intended to be a part of any previously established Extension Tranche).</w:t>
      </w:r>
    </w:p>
    <w:p>
      <w:pPr>
        <w:spacing w:after="0" w:line="17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6"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w:t>
      </w:r>
    </w:p>
    <w:p>
      <w:pPr>
        <w:sectPr>
          <w:pgSz w:w="11900" w:h="16838" w:orient="portrait"/>
          <w:cols w:equalWidth="0" w:num="1">
            <w:col w:w="11420"/>
          </w:cols>
          <w:pgMar w:left="240" w:top="152" w:right="239" w:bottom="0" w:gutter="0" w:footer="0" w:header="0"/>
        </w:sectPr>
      </w:pPr>
    </w:p>
    <w:bookmarkStart w:id="73" w:name="page74"/>
    <w:bookmarkEnd w:id="73"/>
    <w:p>
      <w:pPr>
        <w:spacing w:after="0"/>
        <w:rPr>
          <w:sz w:val="20"/>
          <w:szCs w:val="20"/>
          <w:color w:val="auto"/>
        </w:rPr>
      </w:pPr>
      <w:r>
        <w:rPr>
          <w:rFonts w:ascii="Arial" w:cs="Arial" w:eastAsia="Arial" w:hAnsi="Arial"/>
          <w:sz w:val="18"/>
          <w:szCs w:val="18"/>
          <w:color w:val="auto"/>
        </w:rPr>
        <w:t>able buyer, neither of which is under any compulsion to complete the transaction.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Shortfall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 Section 1471(b) of the Code (or any amended or successor version described above), and any intergovernmental agreements (and any related laws, regulations or official guidance) implementing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xml:space="preserve">” shall mean,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amended and restated fee letter agreement dated as of October 5, 2018, by and among the Borrower and the Lead Arrangers.</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Maturity Date</w:t>
      </w:r>
      <w:r>
        <w:rPr>
          <w:rFonts w:ascii="Arial" w:cs="Arial" w:eastAsia="Arial" w:hAnsi="Arial"/>
          <w:sz w:val="17"/>
          <w:szCs w:val="17"/>
          <w:color w:val="auto"/>
        </w:rPr>
        <w:t>” shall mean the latest of the Term Facility Maturity Date, the latest final maturity date applicable to any Extended Term Loans, the latest final maturity date applicable to any Incremental Term Loans and the latest final maturity date applicable to any Other Term Loans.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Amounts</w:t>
      </w:r>
      <w:r>
        <w:rPr>
          <w:rFonts w:ascii="Arial" w:cs="Arial" w:eastAsia="Arial" w:hAnsi="Arial"/>
          <w:sz w:val="18"/>
          <w:szCs w:val="18"/>
          <w:color w:val="auto"/>
        </w:rPr>
        <w:t>” has the meaning set forth in Section 1.05(a).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shall mean the date of the making of any Loan hereunder (including the Closing Date).</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18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Gaming Approval</w:t>
      </w:r>
      <w:r>
        <w:rPr>
          <w:rFonts w:ascii="Arial" w:cs="Arial" w:eastAsia="Arial" w:hAnsi="Arial"/>
          <w:sz w:val="17"/>
          <w:szCs w:val="17"/>
          <w:color w:val="auto"/>
        </w:rPr>
        <w:t>” shall mean any and all approvals, authorizations, permits, consents, rulings, orders or directives of any Governmental Authority (including, without limitation, any Gaming Authority) (a) necessary to enable Borrower or any of its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 (b) required by any Gaming Law or (c) necessary as is contemplated on the Closing Date (after giving effect to the Transactions), to accomplish the financing and other transactions contemplated hereby after giving effect to the Transactions.</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xml:space="preserve">” shall mean the guarantee of each Guarantor pursuant to </w:t>
      </w:r>
      <w:r>
        <w:rPr>
          <w:rFonts w:ascii="Arial" w:cs="Arial" w:eastAsia="Arial" w:hAnsi="Arial"/>
          <w:sz w:val="18"/>
          <w:szCs w:val="18"/>
          <w:u w:val="single" w:color="auto"/>
          <w:color w:val="auto"/>
        </w:rPr>
        <w:t>Article 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74" w:name="page75"/>
    <w:bookmarkEnd w:id="74"/>
    <w:p>
      <w:pPr>
        <w:spacing w:after="0" w:line="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Guarantors</w:t>
      </w:r>
      <w:r>
        <w:rPr>
          <w:rFonts w:ascii="Arial" w:cs="Arial" w:eastAsia="Arial" w:hAnsi="Arial"/>
          <w:sz w:val="18"/>
          <w:szCs w:val="18"/>
          <w:color w:val="auto"/>
        </w:rPr>
        <w:t xml:space="preserve">” shall mean Asia Guarantor, Holdings Guarantor, and each Additional Credit Party that may hereafter execute a Joinder Agreement pursuant to </w:t>
      </w:r>
      <w:r>
        <w:rPr>
          <w:rFonts w:ascii="Arial" w:cs="Arial" w:eastAsia="Arial" w:hAnsi="Arial"/>
          <w:sz w:val="18"/>
          <w:szCs w:val="18"/>
          <w:u w:val="single" w:color="auto"/>
          <w:color w:val="auto"/>
        </w:rPr>
        <w:t>Section 9.11</w:t>
      </w:r>
      <w:r>
        <w:rPr>
          <w:rFonts w:ascii="Arial" w:cs="Arial" w:eastAsia="Arial" w:hAnsi="Arial"/>
          <w:sz w:val="18"/>
          <w:szCs w:val="18"/>
          <w:color w:val="auto"/>
        </w:rPr>
        <w:t>, together with their successors and permitted assigns, and “</w:t>
      </w:r>
      <w:r>
        <w:rPr>
          <w:rFonts w:ascii="Arial" w:cs="Arial" w:eastAsia="Arial" w:hAnsi="Arial"/>
          <w:sz w:val="18"/>
          <w:szCs w:val="18"/>
          <w:b w:val="1"/>
          <w:bCs w:val="1"/>
          <w:color w:val="auto"/>
        </w:rPr>
        <w:t>Guarantor</w:t>
      </w:r>
      <w:r>
        <w:rPr>
          <w:rFonts w:ascii="Arial" w:cs="Arial" w:eastAsia="Arial" w:hAnsi="Arial"/>
          <w:sz w:val="18"/>
          <w:szCs w:val="18"/>
          <w:color w:val="auto"/>
        </w:rPr>
        <w:t xml:space="preserve">” shall mean any one of them;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notwithstanding the foregoing, Guarantors shall not include any Person that has been released as a Guarantor in accordance with the terms of the Credit Documents.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Holdings Guarantor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5.02(a)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Equivalent Debt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“Incremental Equivalent Prepayment Amount” </w:t>
      </w:r>
      <w:r>
        <w:rPr>
          <w:rFonts w:ascii="Arial" w:cs="Arial" w:eastAsia="Arial" w:hAnsi="Arial"/>
          <w:sz w:val="18"/>
          <w:szCs w:val="18"/>
          <w:color w:val="auto"/>
        </w:rPr>
        <w:t>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10.01(m)</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Joinder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Incremental Loan Amount</w:t>
      </w:r>
      <w:r>
        <w:rPr>
          <w:rFonts w:ascii="Arial" w:cs="Arial" w:eastAsia="Arial" w:hAnsi="Arial"/>
          <w:sz w:val="16"/>
          <w:szCs w:val="16"/>
          <w:color w:val="auto"/>
        </w:rPr>
        <w:t xml:space="preserve">” shall mean (a) the Shared Fixed Incremental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of: (i) the principal amount of any optional prepayment of any Term Loans pursuant to Section 2.09(a) and (ii) the cash amount paid in respect of any Term Loans in connection with assignments to Borrower or any of its Subsidiaries pursuant to Section 13.05(d) (in each case for this clause (b), excluding any prepayments funded with the proceeds of long-term Indebtedness) (the “</w:t>
      </w:r>
      <w:r>
        <w:rPr>
          <w:rFonts w:ascii="Arial" w:cs="Arial" w:eastAsia="Arial" w:hAnsi="Arial"/>
          <w:sz w:val="16"/>
          <w:szCs w:val="16"/>
          <w:b w:val="1"/>
          <w:bCs w:val="1"/>
          <w:color w:val="auto"/>
        </w:rPr>
        <w:t>Incremental Prepayment Amount</w:t>
      </w:r>
      <w:r>
        <w:rPr>
          <w:rFonts w:ascii="Arial" w:cs="Arial" w:eastAsia="Arial" w:hAnsi="Arial"/>
          <w:sz w:val="16"/>
          <w:szCs w:val="16"/>
          <w:color w:val="auto"/>
        </w:rPr>
        <w:t xml:space="preserve">”) minus the aggregate principal amount of all Incremental Equivalent Debt incurred or issued in reliance on the Incremental Equivalent Prepayment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(c) any additional or other amount, so long as, solely in this case of this clause (c), the Consolidated First Lien Secured Leverage Ratio does not exceed 4.00 to 1.00, determined on a Pro Forma Basis as of the most recent Calculation Date (it being understood that Borrower may elect whether any Incremental Loan Amount is made in reliance on clause (a), (b) or (c));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such purpose, if clauses (a) and/or (b), on the one hand, and clause (c), on the other hand, are utilized on the same date, Consolidated Indebtedness will not include any Indebtedness incurred under clauses (a) and/or (b) on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the proceeds of the Term Loans made under the Incremental Term Loan Commitments then being incurred are to be used primarily to fund a Limited Condition Transaction substantially concurrently upon the receipt thereof (including repayment of Indebtedness of a Person acquired, or that is secured by the assets acquired, in a Permitted Acquisition or other Acquisition), at the election of Borrower, the Consolidated First Lien Secured Leverage Ratio may be tested for purposes of determining the Incremental Loan Amount as of the time the acquisition agreement with respect to such Permitted Acquisition or other Acquisition is entered into, and not at the time such Incremental Term Loan Commitments are obtained (and, in any such case, at the election of Borrower may also be tested at the time such Incremental Term Loan Commitments are obtained). It is understood and agreed that (I) Borrower may elect to use either amounts under clause (a), (b) or (c) above and if each are available and Borrower does not make an election, Borrower will be deemed to have elected to use amounts under clause (c), (b) and (a) (in such order) above and (II) Indebtedness incurred in reliance on amounts under clauses (a) and (b) above shall be reclassified as incurred under clause (c) above as Borrower may elect from time to time if Borrower meets the applicable Consolidated First Lien Secured Leverage Ratio at such time on a Pro Forma Basis.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Prepayment Amount</w:t>
      </w:r>
      <w:r>
        <w:rPr>
          <w:rFonts w:ascii="Arial" w:cs="Arial" w:eastAsia="Arial" w:hAnsi="Arial"/>
          <w:sz w:val="18"/>
          <w:szCs w:val="18"/>
          <w:color w:val="auto"/>
        </w:rPr>
        <w:t>” shall have the meaning assigned thereto in the definition of “Incremental Loan Amount”.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Facility Loan Commitments</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Facility Loans</w:t>
      </w:r>
      <w:r>
        <w:rPr>
          <w:rFonts w:ascii="Arial" w:cs="Arial" w:eastAsia="Arial" w:hAnsi="Arial"/>
          <w:sz w:val="18"/>
          <w:szCs w:val="18"/>
          <w:color w:val="auto"/>
        </w:rPr>
        <w:t xml:space="preserve">” shall have the meaning assigned thereto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Incremental Term Loan Commitments</w:t>
      </w:r>
      <w:r>
        <w:rPr>
          <w:rFonts w:ascii="Arial" w:cs="Arial" w:eastAsia="Arial" w:hAnsi="Arial"/>
          <w:sz w:val="17"/>
          <w:szCs w:val="17"/>
          <w:color w:val="auto"/>
        </w:rPr>
        <w:t>” shall mean Incremental Term Facility Loan Commitments and New Term Loan Commitments.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Incremental Term Loans</w:t>
      </w:r>
      <w:r>
        <w:rPr>
          <w:rFonts w:ascii="Arial" w:cs="Arial" w:eastAsia="Arial" w:hAnsi="Arial"/>
          <w:sz w:val="18"/>
          <w:szCs w:val="18"/>
          <w:color w:val="auto"/>
        </w:rPr>
        <w:t>” shall mean Incremental Term Facility Loans and New Term Loans.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Incurrence-Based Amounts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6" w:lineRule="auto"/>
        <w:tabs>
          <w:tab w:leader="none" w:pos="316"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w:t>
      </w:r>
    </w:p>
    <w:p>
      <w:pPr>
        <w:sectPr>
          <w:pgSz w:w="11900" w:h="16865" w:orient="portrait"/>
          <w:cols w:equalWidth="0" w:num="1">
            <w:col w:w="11420"/>
          </w:cols>
          <w:pgMar w:left="240" w:top="189" w:right="239" w:bottom="0" w:gutter="0" w:footer="0" w:header="0"/>
        </w:sectPr>
      </w:pPr>
    </w:p>
    <w:bookmarkStart w:id="75" w:name="page76"/>
    <w:bookmarkEnd w:id="75"/>
    <w:p>
      <w:pPr>
        <w:jc w:val="both"/>
        <w:spacing w:after="0" w:line="253" w:lineRule="auto"/>
        <w:rPr>
          <w:sz w:val="20"/>
          <w:szCs w:val="20"/>
          <w:color w:val="auto"/>
        </w:rPr>
      </w:pPr>
      <w:r>
        <w:rPr>
          <w:rFonts w:ascii="Arial" w:cs="Arial" w:eastAsia="Arial" w:hAnsi="Arial"/>
          <w:sz w:val="18"/>
          <w:szCs w:val="18"/>
          <w:color w:val="auto"/>
        </w:rPr>
        <w:t>respect of Disqualified Capital Stock; and (j) all Contingent Obligations of such Person in respect of Indebtedness of others of the kinds referred to in clauses (a) 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employee deferred compensation and benefit plans and (z) any obligations of such Person in respect of Support Guaranties shall not constitute Indebtedness.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13.03(b)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has the meaning set forth in the definition of “Perfection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Intercompany Indebtedness</w:t>
      </w:r>
      <w:r>
        <w:rPr>
          <w:rFonts w:ascii="Arial" w:cs="Arial" w:eastAsia="Arial" w:hAnsi="Arial"/>
          <w:sz w:val="17"/>
          <w:szCs w:val="17"/>
          <w:color w:val="auto"/>
        </w:rPr>
        <w:t>” shall mean unsecured Indebtedness (including unsecured Indebtedness convertible into or exchangeable or exercisable for any Equity Interests) of Borrower or any other Credit Party owed to any Affiliate of Borrower (other than a Credit Party)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6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as to each LIBOR Loan, the period commencing on the date such LIBOR Loan is disbursed or converted to or continued as a LIBOR Loan and, subject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jc w:val="both"/>
        <w:ind w:left="660" w:firstLine="645"/>
        <w:spacing w:after="0" w:line="264" w:lineRule="auto"/>
        <w:tabs>
          <w:tab w:leader="none" w:pos="165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foregoing,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w:t>
      </w:r>
    </w:p>
    <w:p>
      <w:pPr>
        <w:spacing w:after="0" w:line="177"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1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Investments</w:t>
      </w:r>
      <w:r>
        <w:rPr>
          <w:rFonts w:ascii="Arial" w:cs="Arial" w:eastAsia="Arial" w:hAnsi="Arial"/>
          <w:sz w:val="16"/>
          <w:szCs w:val="16"/>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the avoidance of doubt, it is understood and agreed that any payments made in respect of Support Guaranties shall not constitute Investments.</w:t>
      </w:r>
    </w:p>
    <w:p>
      <w:pPr>
        <w:spacing w:after="0" w:line="16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Licensing Agreements</w:t>
      </w:r>
      <w:r>
        <w:rPr>
          <w:rFonts w:ascii="Arial" w:cs="Arial" w:eastAsia="Arial" w:hAnsi="Arial"/>
          <w:sz w:val="18"/>
          <w:szCs w:val="18"/>
          <w:color w:val="auto"/>
        </w:rPr>
        <w:t>” shall mean (a) that certain 2014 Intellectual Property Licensing Agreement, dated as of November 20, 2014, among Holdings Guarantor, Borrower, and Wynn Massachusetts, (b) that certain 2015 Intellectual Property Licensing Agreement, dated as of February 26, 2015, among Borrower, Holdings Guarantor, and Wynn Las Vegas, (c) that certain Intellectual Property License Agreement, dated as of September 19, 2009, among Borrower, Holdings Guarantor, and Wynn Macau, Limited, (d) that certain Amended and Restated Intellectual Property License Agreement, dated as of September 19, 2009, among Borrower, Holdings Guarantor, and Wynn Macau, and (e) any other licensing agreements in form and substance substantially similar to any agreement described in clauses (a) through (d).</w:t>
      </w:r>
    </w:p>
    <w:p>
      <w:pPr>
        <w:spacing w:after="0" w:line="18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Licensing Fees</w:t>
      </w:r>
      <w:r>
        <w:rPr>
          <w:rFonts w:ascii="Arial" w:cs="Arial" w:eastAsia="Arial" w:hAnsi="Arial"/>
          <w:sz w:val="18"/>
          <w:szCs w:val="18"/>
          <w:color w:val="auto"/>
        </w:rPr>
        <w:t>” shall mean any fees payable by a Subsidiary or Affiliate (other than a Credit Party) to a Credit Party pursuant to any and all IP Licensing Agreements.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Agreements</w:t>
      </w:r>
      <w:r>
        <w:rPr>
          <w:rFonts w:ascii="Arial" w:cs="Arial" w:eastAsia="Arial" w:hAnsi="Arial"/>
          <w:sz w:val="18"/>
          <w:szCs w:val="18"/>
          <w:color w:val="auto"/>
        </w:rPr>
        <w:t xml:space="preserve">” shall mean each Joinder Agreement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attached hereto or such other form as is reasonably acceptable to Administrative Agent and each Joinder Agreement to be entered into pursuant to the Pledge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a Credit Party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Junior Financing</w:t>
      </w:r>
      <w:r>
        <w:rPr>
          <w:rFonts w:ascii="Arial" w:cs="Arial" w:eastAsia="Arial" w:hAnsi="Arial"/>
          <w:sz w:val="16"/>
          <w:szCs w:val="16"/>
          <w:color w:val="auto"/>
        </w:rPr>
        <w:t>” shall mean unsecured Indebtedness (including unsecured Indebtedness convertible into or exchangeable or exercisable for any Equity Interests) of all or any of the Credit Parties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w:t>
      </w:r>
    </w:p>
    <w:p>
      <w:pPr>
        <w:sectPr>
          <w:pgSz w:w="11900" w:h="16838" w:orient="portrait"/>
          <w:cols w:equalWidth="0" w:num="1">
            <w:col w:w="11420"/>
          </w:cols>
          <w:pgMar w:left="240" w:top="125" w:right="239" w:bottom="0" w:gutter="0" w:footer="0" w:header="0"/>
        </w:sectPr>
      </w:pPr>
    </w:p>
    <w:bookmarkStart w:id="76" w:name="page77"/>
    <w:bookmarkEnd w:id="76"/>
    <w:p>
      <w:pPr>
        <w:jc w:val="both"/>
        <w:spacing w:after="0" w:line="257" w:lineRule="auto"/>
        <w:rPr>
          <w:sz w:val="20"/>
          <w:szCs w:val="20"/>
          <w:color w:val="auto"/>
        </w:rPr>
      </w:pPr>
      <w:r>
        <w:rPr>
          <w:rFonts w:ascii="Arial" w:cs="Arial" w:eastAsia="Arial" w:hAnsi="Arial"/>
          <w:sz w:val="18"/>
          <w:szCs w:val="18"/>
          <w:color w:val="auto"/>
        </w:rPr>
        <w:t>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91 days after the Final Maturity Date then in effect at the time of issuance (excluding bridge facilities allowing extensions on customary terms to at least 91 days after such Final Maturity Date).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Prepayments</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10.09</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Election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LCT Test Date</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Lead Arrangers</w:t>
      </w:r>
      <w:r>
        <w:rPr>
          <w:rFonts w:ascii="Arial" w:cs="Arial" w:eastAsia="Arial" w:hAnsi="Arial"/>
          <w:sz w:val="18"/>
          <w:szCs w:val="18"/>
          <w:color w:val="auto"/>
        </w:rPr>
        <w:t>” shall mean, collectively, Deutsche Bank Securities Inc., Merrill Lynch, Pierce, Fenner &amp; Smith, Incorporated, Fifth Third Bank, JPMorgan Chase Bank, N.A., SunTrust Robinson Humphrey, Inc., and Goldman Sachs Bank USA, in their capacities as joint lead arrangers and joint bookrunners hereunder.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Insolvency Event</w:t>
      </w:r>
      <w:r>
        <w:rPr>
          <w:rFonts w:ascii="Arial" w:cs="Arial" w:eastAsia="Arial" w:hAnsi="Arial"/>
          <w:sz w:val="16"/>
          <w:szCs w:val="16"/>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(b) any Lender providing an Incremental Term Loan Commitment pursuant to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any Person that becomes a Lender from time to time party hereto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and (c) any Person that becomes a “Lender” hereunder pursuant to an Assignment Agreement, in each case, other than any such Person that ceases to be a Lender pursuant to an Assignment Agreement or a Borrower Assignment Agreement.</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Base Rate</w:t>
      </w:r>
      <w:r>
        <w:rPr>
          <w:rFonts w:ascii="Arial" w:cs="Arial" w:eastAsia="Arial" w:hAnsi="Arial"/>
          <w:sz w:val="16"/>
          <w:szCs w:val="16"/>
          <w:color w:val="auto"/>
        </w:rPr>
        <w:t xml:space="preserve">” shall mean, with respect to any LIBOR Loan </w:t>
      </w:r>
      <w:r>
        <w:rPr>
          <w:rFonts w:ascii="Arial" w:cs="Arial" w:eastAsia="Arial" w:hAnsi="Arial"/>
          <w:sz w:val="15"/>
          <w:szCs w:val="15"/>
          <w:color w:val="auto"/>
        </w:rPr>
        <w:t>for any Interest Period, the rate per annum e</w:t>
      </w:r>
      <w:r>
        <w:rPr>
          <w:rFonts w:ascii="Arial" w:cs="Arial" w:eastAsia="Arial" w:hAnsi="Arial"/>
          <w:sz w:val="16"/>
          <w:szCs w:val="16"/>
          <w:color w:val="auto"/>
        </w:rPr>
        <w:t>qual to the Intercontinental Exchange Benchmark Administration Ltd. LIBOR (“</w:t>
      </w:r>
      <w:r>
        <w:rPr>
          <w:rFonts w:ascii="Arial" w:cs="Arial" w:eastAsia="Arial" w:hAnsi="Arial"/>
          <w:sz w:val="16"/>
          <w:szCs w:val="16"/>
          <w:b w:val="1"/>
          <w:bCs w:val="1"/>
          <w:color w:val="auto"/>
        </w:rPr>
        <w:t>ICE LIBOR</w:t>
      </w:r>
      <w:r>
        <w:rPr>
          <w:rFonts w:ascii="Arial" w:cs="Arial" w:eastAsia="Arial" w:hAnsi="Arial"/>
          <w:sz w:val="16"/>
          <w:szCs w:val="16"/>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Rate</w:t>
      </w:r>
      <w:r>
        <w:rPr>
          <w:rFonts w:ascii="Arial" w:cs="Arial" w:eastAsia="Arial" w:hAnsi="Arial"/>
          <w:sz w:val="17"/>
          <w:szCs w:val="17"/>
          <w:color w:val="auto"/>
        </w:rPr>
        <w:t xml:space="preserve">” shall mean, for any LIBOR Loan for any Interest Period therefor,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LIBO Rate shall not be less than 0%. Notwithstanding the foregoing, for purposes of clause (iii) of the definition of “Alternate Base Rate”, the rates referred to above shall be the rates as of 11:00 a.m., London, England time, on the date of determination (rather than the second Business Day preceding the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License Revocation</w:t>
      </w:r>
      <w:r>
        <w:rPr>
          <w:rFonts w:ascii="Arial" w:cs="Arial" w:eastAsia="Arial" w:hAnsi="Arial"/>
          <w:sz w:val="17"/>
          <w:szCs w:val="17"/>
          <w:color w:val="auto"/>
        </w:rPr>
        <w:t>” shall mean the revocation, failure to renew or suspension of, or the appointment of a receiver, supervisor or similar official with respect to, any Gaming License covering any Gaming Facility owned, leased, operated or used by Borrower or any of its Subsidiaries.</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Limited Condition Transaction</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1.07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Litigation Settlement Expense</w:t>
      </w:r>
      <w:r>
        <w:rPr>
          <w:rFonts w:ascii="Arial" w:cs="Arial" w:eastAsia="Arial" w:hAnsi="Arial"/>
          <w:sz w:val="18"/>
          <w:szCs w:val="18"/>
          <w:color w:val="auto"/>
        </w:rPr>
        <w:t>” shall mean any loss, charge, or expense related to that certain Settlement Agreement and Mutual Release entered into by and between Wynn Resorts, Limited along with Stephen A. Wynn, Linda Chen, Russell Goldsmith, Ray R. Irani, Robert J. Miller, John A. Moran, Marc D. Schorr, Alvin V. Shoemaker, D. Boone Wayson, Kimmarie Sinatra, and Allan Zeman on the one hand and Universal Entertainment Corp. and Aruze USA, Inc. on the other hand.</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Term Loans.</w:t>
      </w:r>
    </w:p>
    <w:p>
      <w:pPr>
        <w:sectPr>
          <w:pgSz w:w="11900" w:h="16838" w:orient="portrait"/>
          <w:cols w:equalWidth="0" w:num="1">
            <w:col w:w="11420"/>
          </w:cols>
          <w:pgMar w:left="240" w:top="125" w:right="239" w:bottom="0" w:gutter="0" w:footer="0" w:header="0"/>
        </w:sectPr>
      </w:pPr>
    </w:p>
    <w:bookmarkStart w:id="77" w:name="page78"/>
    <w:bookmarkEnd w:id="77"/>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Agreement or IP Licensing Agreement Initial Fiscal Quarter</w:t>
      </w:r>
      <w:r>
        <w:rPr>
          <w:rFonts w:ascii="Arial" w:cs="Arial" w:eastAsia="Arial" w:hAnsi="Arial"/>
          <w:sz w:val="18"/>
          <w:szCs w:val="18"/>
          <w:color w:val="auto"/>
        </w:rPr>
        <w:t>” shall mean for any Management Agreement or IP Licensing Agreement entered into by a Credit Party after the Closing Date, the first full fiscal quarter after the date such Management Agreement or IP Licensing Agreement, as applicable, is entered into by such Credit Party.</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 Agreements</w:t>
      </w:r>
      <w:r>
        <w:rPr>
          <w:rFonts w:ascii="Arial" w:cs="Arial" w:eastAsia="Arial" w:hAnsi="Arial"/>
          <w:sz w:val="16"/>
          <w:szCs w:val="16"/>
          <w:color w:val="auto"/>
        </w:rPr>
        <w:t>” shall mean (a) that certain Management Fee and Corporate Allocation Agreement, dated as of November 20, 2014, between Wynn Massachusetts and Borrower, (b) that certain Management Agreement, dated December 14, 2004, between Wynn Las Vegas and Borrower,</w:t>
      </w:r>
    </w:p>
    <w:p>
      <w:pPr>
        <w:spacing w:after="0" w:line="1" w:lineRule="exact"/>
        <w:rPr>
          <w:sz w:val="20"/>
          <w:szCs w:val="20"/>
          <w:color w:val="auto"/>
        </w:rPr>
      </w:pPr>
    </w:p>
    <w:p>
      <w:pPr>
        <w:jc w:val="both"/>
        <w:ind w:firstLine="8"/>
        <w:spacing w:after="0" w:line="255" w:lineRule="auto"/>
        <w:tabs>
          <w:tab w:leader="none" w:pos="25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that certain Corporate Allocation Agreement, dated as of September 19, 2009, between Wynn Macau, Limited and Borrower, (d) that certain Amended and Restated Corporate Allocation Agreement, dated as of September 19, 2009, between Wynn Macau and Borrower, and (e) any other management agreements in form and substance substantially similar to any agreement described in clauses (a) through (d).</w:t>
      </w:r>
    </w:p>
    <w:p>
      <w:pPr>
        <w:spacing w:after="0" w:line="18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Fees</w:t>
      </w:r>
      <w:r>
        <w:rPr>
          <w:rFonts w:ascii="Arial" w:cs="Arial" w:eastAsia="Arial" w:hAnsi="Arial"/>
          <w:sz w:val="18"/>
          <w:szCs w:val="18"/>
          <w:color w:val="auto"/>
        </w:rPr>
        <w:t>” shall mean any fees, costs, expenses, or reimbursements payable by a Subsidiary to a Credit Party (other than a Credit Party to a Credit Party) pursuant to any and all Management Agreements.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a material adverse effect on the business, assets, financial condition or results of operations of the Borrower and its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that no litigation challenging the issuance of a Gaming License (whether in Nevada, Massachusetts, Macau, or otherwise) or any matters arising therefrom, related thereto or in connection therewith shall constitute, result or otherwise have (or reasonably be expected to constitute, result or otherwise have) a Material Adverse Effect.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13.19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firstLine="645"/>
        <w:spacing w:after="0" w:line="283" w:lineRule="auto"/>
        <w:tabs>
          <w:tab w:leader="none" w:pos="17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in the case of any Asset Sale pursuant to </w:t>
      </w:r>
      <w:r>
        <w:rPr>
          <w:rFonts w:ascii="Arial" w:cs="Arial" w:eastAsia="Arial" w:hAnsi="Arial"/>
          <w:sz w:val="16"/>
          <w:szCs w:val="16"/>
          <w:u w:val="single" w:color="auto"/>
          <w:color w:val="auto"/>
        </w:rPr>
        <w:t>Section 10.05(c)</w:t>
      </w:r>
      <w:r>
        <w:rPr>
          <w:rFonts w:ascii="Arial" w:cs="Arial" w:eastAsia="Arial" w:hAnsi="Arial"/>
          <w:sz w:val="16"/>
          <w:szCs w:val="16"/>
          <w:color w:val="auto"/>
        </w:rPr>
        <w:t>, the aggregate amount of all cash payments (including any cash payments received by way of deferred payment of principal pursuant to a note or otherwise, but only as and when received) received by any Credit Party directly or indirectly in connection with such Asset Sale, net (without duplication) of (A) the amount of all reasonable fees and expenses and transaction costs paid by or on behalf of any Company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amounts applied by such Credit Party to repay Indebtedness that is secured by a Permitted Lien on the subject Property required to be repaid as a condition to the purchase or sale of such Property or that are contributed by such Credit Party to its Subsidiaries to repay Indebtedness of such Subsidiaries; (D) amounts required to be paid to any Person (other than any Company) owning a beneficial interest in the subject Property; and</w:t>
      </w:r>
    </w:p>
    <w:p>
      <w:pPr>
        <w:spacing w:after="0" w:line="5" w:lineRule="exact"/>
        <w:rPr>
          <w:rFonts w:ascii="Arial" w:cs="Arial" w:eastAsia="Arial" w:hAnsi="Arial"/>
          <w:sz w:val="16"/>
          <w:szCs w:val="16"/>
          <w:color w:val="auto"/>
        </w:rPr>
      </w:pPr>
    </w:p>
    <w:p>
      <w:pPr>
        <w:jc w:val="both"/>
        <w:ind w:left="660" w:hanging="4"/>
        <w:spacing w:after="0" w:line="252" w:lineRule="auto"/>
        <w:tabs>
          <w:tab w:leader="none" w:pos="958"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w:t>
      </w:r>
    </w:p>
    <w:p>
      <w:pPr>
        <w:spacing w:after="0" w:line="193" w:lineRule="exact"/>
        <w:rPr>
          <w:rFonts w:ascii="Arial" w:cs="Arial" w:eastAsia="Arial" w:hAnsi="Arial"/>
          <w:sz w:val="18"/>
          <w:szCs w:val="18"/>
          <w:color w:val="auto"/>
        </w:rPr>
      </w:pPr>
    </w:p>
    <w:p>
      <w:pPr>
        <w:jc w:val="both"/>
        <w:ind w:left="660" w:firstLine="645"/>
        <w:spacing w:after="0" w:line="286" w:lineRule="auto"/>
        <w:tabs>
          <w:tab w:leader="none" w:pos="1720" w:val="left"/>
        </w:tabs>
        <w:numPr>
          <w:ilvl w:val="1"/>
          <w:numId w:val="49"/>
        </w:numPr>
        <w:rPr>
          <w:rFonts w:ascii="Arial" w:cs="Arial" w:eastAsia="Arial" w:hAnsi="Arial"/>
          <w:sz w:val="16"/>
          <w:szCs w:val="16"/>
          <w:color w:val="auto"/>
        </w:rPr>
      </w:pPr>
      <w:r>
        <w:rPr>
          <w:rFonts w:ascii="Arial" w:cs="Arial" w:eastAsia="Arial" w:hAnsi="Arial"/>
          <w:sz w:val="16"/>
          <w:szCs w:val="16"/>
          <w:color w:val="auto"/>
        </w:rPr>
        <w:t xml:space="preserve">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w:t>
      </w:r>
      <w:r>
        <w:rPr>
          <w:rFonts w:ascii="Arial" w:cs="Arial" w:eastAsia="Arial" w:hAnsi="Arial"/>
          <w:sz w:val="16"/>
          <w:szCs w:val="16"/>
          <w:u w:val="single" w:color="auto"/>
          <w:color w:val="auto"/>
        </w:rPr>
        <w:t>Section 10.05(l)</w:t>
      </w:r>
      <w:r>
        <w:rPr>
          <w:rFonts w:ascii="Arial" w:cs="Arial" w:eastAsia="Arial" w:hAnsi="Arial"/>
          <w:sz w:val="16"/>
          <w:szCs w:val="16"/>
          <w:color w:val="auto"/>
        </w:rPr>
        <w:t xml:space="preserve">) received by the Person whose Property was subject to such Casualty Event in respect of such Casualty Event net of (A) fees and expenses incurred by or on behalf of any Company in connection with recovery thereof, (B) repayments of Indebtedness (other than Indebtedness hereunder) to the extent secured by a Lien on such Property that is permitted by the Credit Documents and that is not junior to the Lien thereon securing the Obligations, and (C) any Taxes paid or payable by or on behalf of any Company in respect of the amount so recovered (after application of all credits and other offsets arising from such Casualty Event) and amounts required to be paid to any Person (other than any Company) owning a beneficial interest in the subject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and</w:t>
      </w:r>
    </w:p>
    <w:p>
      <w:pPr>
        <w:sectPr>
          <w:pgSz w:w="11900" w:h="16838" w:orient="portrait"/>
          <w:cols w:equalWidth="0" w:num="1">
            <w:col w:w="11420"/>
          </w:cols>
          <w:pgMar w:left="240" w:top="189" w:right="239" w:bottom="0" w:gutter="0" w:footer="0" w:header="0"/>
        </w:sectPr>
      </w:pPr>
    </w:p>
    <w:bookmarkStart w:id="78" w:name="page79"/>
    <w:bookmarkEnd w:id="78"/>
    <w:p>
      <w:pPr>
        <w:jc w:val="both"/>
        <w:ind w:left="660" w:firstLine="645"/>
        <w:spacing w:after="0" w:line="286" w:lineRule="auto"/>
        <w:tabs>
          <w:tab w:leader="none" w:pos="1769"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Nevada Collateral Agent</w:t>
      </w:r>
      <w:r>
        <w:rPr>
          <w:rFonts w:ascii="Arial" w:cs="Arial" w:eastAsia="Arial" w:hAnsi="Arial"/>
          <w:sz w:val="18"/>
          <w:szCs w:val="18"/>
          <w:color w:val="auto"/>
        </w:rPr>
        <w:t>” shall mean Bank of America, N.A., as collateral agent under the Collateral Agency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 Commitments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Term Loans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or any Credit Swap Contract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8.22(b)(v)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Market Assignment and Assumption Agreement</w:t>
      </w:r>
      <w:r>
        <w:rPr>
          <w:rFonts w:ascii="Arial" w:cs="Arial" w:eastAsia="Arial" w:hAnsi="Arial"/>
          <w:sz w:val="18"/>
          <w:szCs w:val="18"/>
          <w:color w:val="auto"/>
        </w:rPr>
        <w:t xml:space="preserve">” shall mean an Open Market Assignment and Assumption Agreement substantially in the form attached as </w:t>
      </w:r>
      <w:r>
        <w:rPr>
          <w:rFonts w:ascii="Arial" w:cs="Arial" w:eastAsia="Arial" w:hAnsi="Arial"/>
          <w:sz w:val="18"/>
          <w:szCs w:val="18"/>
          <w:u w:val="single" w:color="auto"/>
          <w:color w:val="auto"/>
        </w:rPr>
        <w:t>Exhibit L</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xml:space="preserve">” shall mean Indebtedness incurred pursuant to </w:t>
      </w:r>
      <w:r>
        <w:rPr>
          <w:rFonts w:ascii="Arial" w:cs="Arial" w:eastAsia="Arial" w:hAnsi="Arial"/>
          <w:sz w:val="18"/>
          <w:szCs w:val="18"/>
          <w:u w:val="single" w:color="auto"/>
          <w:color w:val="auto"/>
        </w:rPr>
        <w:t>Section 10.01(c)</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First Lien Indebtedness</w:t>
      </w:r>
      <w:r>
        <w:rPr>
          <w:rFonts w:ascii="Arial" w:cs="Arial" w:eastAsia="Arial" w:hAnsi="Arial"/>
          <w:sz w:val="18"/>
          <w:szCs w:val="18"/>
          <w:color w:val="auto"/>
        </w:rPr>
        <w:t xml:space="preserve">” shall mean outstanding Indebtedness that is not incurred under this Agreement and that (a)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Obligations and (b) is Permitted First Priority Refinancing Debt, Permitted First Lien Indebtedness, or Incremental Equivalent Debt.</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Junior Indebtedness</w:t>
      </w:r>
      <w:r>
        <w:rPr>
          <w:rFonts w:ascii="Arial" w:cs="Arial" w:eastAsia="Arial" w:hAnsi="Arial"/>
          <w:sz w:val="18"/>
          <w:szCs w:val="18"/>
          <w:color w:val="auto"/>
        </w:rPr>
        <w:t xml:space="preserve">” shall mean Permitted Unsecured Indebtedness, Permitted Second Lien Indebtedness, Permitted Unsecured Refinancing Debt, Permitted Second Priority Refinancing Debt, Indebtedness incurred pursuant to </w:t>
      </w:r>
      <w:r>
        <w:rPr>
          <w:rFonts w:ascii="Arial" w:cs="Arial" w:eastAsia="Arial" w:hAnsi="Arial"/>
          <w:sz w:val="18"/>
          <w:szCs w:val="18"/>
          <w:u w:val="single" w:color="auto"/>
          <w:color w:val="auto"/>
        </w:rPr>
        <w:t>Section 10.01(n)</w:t>
      </w:r>
      <w:r>
        <w:rPr>
          <w:rFonts w:ascii="Arial" w:cs="Arial" w:eastAsia="Arial" w:hAnsi="Arial"/>
          <w:sz w:val="18"/>
          <w:szCs w:val="18"/>
          <w:color w:val="auto"/>
        </w:rPr>
        <w:t>, or Incremental Equivalent Debt that is secured by a Lien on Collateral junior to the Liens securing the Obligations or that is unsecured.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5.06(e)</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shall mean one or more Tranches of term loan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or the Secured Obligations (as defined in the Pledge Agreement), the payment in full of all of such obligations and (b) with respect to the Obligations or the Secured Obligations (as defined in the Pledge Agreement), the irrevocable termination of all Commitments, the payment in full in cash of all Obligations (in each case, except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For purposes of this definition, “</w:t>
      </w:r>
      <w:r>
        <w:rPr>
          <w:rFonts w:ascii="Arial" w:cs="Arial" w:eastAsia="Arial" w:hAnsi="Arial"/>
          <w:sz w:val="17"/>
          <w:szCs w:val="17"/>
          <w:b w:val="1"/>
          <w:bCs w:val="1"/>
          <w:color w:val="auto"/>
        </w:rPr>
        <w:t>Unasserted Obligations</w:t>
      </w:r>
      <w:r>
        <w:rPr>
          <w:rFonts w:ascii="Arial" w:cs="Arial" w:eastAsia="Arial" w:hAnsi="Arial"/>
          <w:sz w:val="17"/>
          <w:szCs w:val="17"/>
          <w:color w:val="auto"/>
        </w:rPr>
        <w:t>” shall mean, at any time, contingent indemnity obligations in respect of which no claim or demand for payment has been made at such time.</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ectPr>
          <w:pgSz w:w="11900" w:h="16838" w:orient="portrait"/>
          <w:cols w:equalWidth="0" w:num="1">
            <w:col w:w="11420"/>
          </w:cols>
          <w:pgMar w:left="240" w:top="125" w:right="239" w:bottom="0" w:gutter="0" w:footer="0" w:header="0"/>
        </w:sectPr>
      </w:pPr>
    </w:p>
    <w:bookmarkStart w:id="79" w:name="page80"/>
    <w:bookmarkEnd w:id="79"/>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that certain Perfection Certificate, dated as of the Closing Date (the “</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w:t>
      </w:r>
      <w:r>
        <w:rPr>
          <w:rFonts w:ascii="Arial" w:cs="Arial" w:eastAsia="Arial" w:hAnsi="Arial"/>
          <w:sz w:val="18"/>
          <w:szCs w:val="18"/>
          <w:u w:val="single" w:color="auto"/>
          <w:color w:val="auto"/>
        </w:rPr>
        <w:t>Section 9.04(h)</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shall mean any acquisition, whether by purchase, merger, consolidation, or otherwise, by a Credit Party of all or substantially all of the business, property or assets of, or Equity Interests in, a Person or any division or line of business of a Person so long as (a) immediately after a binding contract with respect thereto is entered into between such Credit Party and the seller with respect thereto and after giving pro forma effect to such acquisition and related transactions, no Event of Default has occurred and is continuing or would result therefrom and, immediately after giving effect thereto the Consolidated Secured Leverage Ratio calculated on a Pro Forma Basis shall not exceed 5.00 to 1.00 as of the most recent Calculation Date,</w:t>
      </w:r>
    </w:p>
    <w:p>
      <w:pPr>
        <w:spacing w:after="0" w:line="2" w:lineRule="exact"/>
        <w:rPr>
          <w:sz w:val="20"/>
          <w:szCs w:val="20"/>
          <w:color w:val="auto"/>
        </w:rPr>
      </w:pPr>
    </w:p>
    <w:p>
      <w:pPr>
        <w:jc w:val="both"/>
        <w:ind w:firstLine="8"/>
        <w:spacing w:after="0" w:line="255" w:lineRule="auto"/>
        <w:tabs>
          <w:tab w:leader="none" w:pos="263"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immediately after giving effect thereto, Borrower shall be in compliance with </w:t>
      </w:r>
      <w:r>
        <w:rPr>
          <w:rFonts w:ascii="Arial" w:cs="Arial" w:eastAsia="Arial" w:hAnsi="Arial"/>
          <w:sz w:val="18"/>
          <w:szCs w:val="18"/>
          <w:u w:val="single" w:color="auto"/>
          <w:color w:val="auto"/>
        </w:rPr>
        <w:t>Section 10.11</w:t>
      </w:r>
      <w:r>
        <w:rPr>
          <w:rFonts w:ascii="Arial" w:cs="Arial" w:eastAsia="Arial" w:hAnsi="Arial"/>
          <w:sz w:val="18"/>
          <w:szCs w:val="18"/>
          <w:color w:val="auto"/>
        </w:rPr>
        <w:t>, and (c) with respect to a Permitted Acquisition in excess of $50.0 million, Borrower has delivered to Administrative Agent an Officer’s Certificate to the effect set forth in clauses (a) through (c) above, together with all relevant financial information for the Person or assets to be acquired.</w:t>
      </w:r>
    </w:p>
    <w:p>
      <w:pPr>
        <w:spacing w:after="0" w:line="1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Business</w:t>
      </w:r>
      <w:r>
        <w:rPr>
          <w:rFonts w:ascii="Arial" w:cs="Arial" w:eastAsia="Arial" w:hAnsi="Arial"/>
          <w:sz w:val="18"/>
          <w:szCs w:val="18"/>
          <w:color w:val="auto"/>
        </w:rPr>
        <w:t>” shall mean any business of the type in which the Credit Parties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7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a Credit Party acquiring such assets, in each case, in its good faith judgment.</w:t>
      </w:r>
    </w:p>
    <w:p>
      <w:pPr>
        <w:spacing w:after="0" w:line="18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First Lien Indebtedness</w:t>
      </w:r>
      <w:r>
        <w:rPr>
          <w:rFonts w:ascii="Arial" w:cs="Arial" w:eastAsia="Arial" w:hAnsi="Arial"/>
          <w:sz w:val="16"/>
          <w:szCs w:val="16"/>
          <w:color w:val="auto"/>
        </w:rPr>
        <w:t xml:space="preserve">” shall mean any Indebtedness of Borrower (and Contingent Obligations of the Guarantors in respect thereof) that (a) is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to the Liens securing the Obligations and the obligations in respect of any Permitted First Priority Refinancing Debt and is not secured by any property or assets other than the Collateral, (b) the holders of such Indebtedness (or their representative) and Administrative Agent shall be party 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maturity, amortization, pricing, fees, rate floors, premiums, optional prepayment or optional redemption provisions) applicable to any such Indebtedness shall be (as determined by Borrower in good faith) substantially consistent with those applicable to any then-existing Term Facility Loans as existing on the date of incurrence of such Indebtedness except, to the extent such terms (A) at the option of Borrower (1) reflect market terms and conditions (taken as a whole) at the time of incurrence or issuance (as determined by Borrower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financial maintenance covenant is added for the benefit of any such Indebtedness, such financial maintenance covenant shall also be applicable to the Term Facility Loans (except to the extent such financial maintenance covenant applies only to periods after the Final Maturity Date applicable to the Term Facility Loans) or (2) are not materially more restrictive to Borrower (as determined by Borrower in good faith), when taken as a whole, than the terms of the Term Facility Loans (other than, in the case of any bridge facility, covenants, defaults and remedy provisions customary for bridge financings and except for covenants or other provisions applicable only to periods after the Final Maturity Date applicable to the Term Facility Loans) (it being understood that any such Indebtedness may provide for the ability to participate (i) with respect to any borrowings, voluntary prepayments or voluntary commitment reductions, on a pro rata basis or less than pro rata basis with the applicable Loans or facility and (ii) with respect to any mandatory prepayments, on a pro rata basis or less than pro rata basis with the applicable Loans (and on a greater than pro rata basis with respect to prepayments of any such Indebtedness with the proceeds of permitted refinancing Indebtedness), or (B) are (1) added to the Term Facility Loans,</w:t>
      </w:r>
    </w:p>
    <w:p>
      <w:pPr>
        <w:spacing w:after="0" w:line="3" w:lineRule="exact"/>
        <w:rPr>
          <w:sz w:val="20"/>
          <w:szCs w:val="20"/>
          <w:color w:val="auto"/>
        </w:rPr>
      </w:pPr>
    </w:p>
    <w:p>
      <w:pPr>
        <w:jc w:val="both"/>
        <w:ind w:firstLine="8"/>
        <w:spacing w:after="0" w:line="268" w:lineRule="auto"/>
        <w:tabs>
          <w:tab w:leader="none" w:pos="267"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applicable only after the Final Maturity Date applicable to the Term Facility Loans, or (3) otherwise reasonably satisfactory to Administrative Agent (it being understood that to the extent any financial maintenance covenant is added for the benefit of any such Indebtedness, no consent shall be required from Administrative Agent or any of the Lenders to the extent that such financial maintenance covenant (together with any related “equity cure” provisions) is also added for the benefit of any corresponding Term Facility Loans), and (f) other than in the case of a revolving facility or Indebtedness incurred pursuant to the Bridge Commitment Letter (in which case the stated maturity thereof may be no less than 364 days),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First Priority Refinancing Debt</w:t>
      </w:r>
      <w:r>
        <w:rPr>
          <w:rFonts w:ascii="Arial" w:cs="Arial" w:eastAsia="Arial" w:hAnsi="Arial"/>
          <w:sz w:val="18"/>
          <w:szCs w:val="18"/>
          <w:color w:val="auto"/>
        </w:rPr>
        <w:t xml:space="preserve">” shall mean any secured Indebtedness incurred by Borrower (and Contingent Obligations of the Guarantors in respect thereof) in the form of one or more series of senior 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is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(but without regard to the control of remedies) with the Obligations and is not secured by any property or assets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w:t>
      </w:r>
    </w:p>
    <w:p>
      <w:pPr>
        <w:sectPr>
          <w:pgSz w:w="11900" w:h="16838" w:orient="portrait"/>
          <w:cols w:equalWidth="0" w:num="1">
            <w:col w:w="11420"/>
          </w:cols>
          <w:pgMar w:left="240" w:top="121" w:right="239" w:bottom="134" w:gutter="0" w:footer="0" w:header="0"/>
        </w:sectPr>
      </w:pPr>
    </w:p>
    <w:bookmarkStart w:id="80" w:name="page81"/>
    <w:bookmarkEnd w:id="80"/>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Junior Debt Conditions</w:t>
      </w:r>
      <w:r>
        <w:rPr>
          <w:rFonts w:ascii="Arial" w:cs="Arial" w:eastAsia="Arial" w:hAnsi="Arial"/>
          <w:sz w:val="16"/>
          <w:szCs w:val="16"/>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 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 (91) days after the Final Maturity Date then in effect at the time of issuance (excluding bridge facilities allowing extensions on customary terms to at least ninety-one (91) days after such Final Maturity Date) and</w:t>
      </w:r>
    </w:p>
    <w:p>
      <w:pPr>
        <w:spacing w:after="0" w:line="2" w:lineRule="exact"/>
        <w:rPr>
          <w:sz w:val="20"/>
          <w:szCs w:val="20"/>
          <w:color w:val="auto"/>
        </w:rPr>
      </w:pPr>
    </w:p>
    <w:p>
      <w:pPr>
        <w:ind w:left="660" w:right="4420" w:hanging="652"/>
        <w:spacing w:after="0" w:line="490" w:lineRule="auto"/>
        <w:tabs>
          <w:tab w:leader="none" w:pos="31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not at any time guaranteed by any Subsidiaries other than Subsidiaries that are Guarantors. “</w:t>
      </w:r>
      <w:r>
        <w:rPr>
          <w:rFonts w:ascii="Arial" w:cs="Arial" w:eastAsia="Arial" w:hAnsi="Arial"/>
          <w:sz w:val="18"/>
          <w:szCs w:val="18"/>
          <w:b w:val="1"/>
          <w:bCs w:val="1"/>
          <w:color w:val="auto"/>
        </w:rPr>
        <w:t>Permitted Liens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shall mean, with respect to any Indebtedness, any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premium or other payment required to be paid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fees and expenses of Borrower or any Guarantor incurred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and (c) the obligors on such refinancing Indebtedness shall be the obligors on such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6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Second Lien Indebtedness</w:t>
      </w:r>
      <w:r>
        <w:rPr>
          <w:rFonts w:ascii="Arial" w:cs="Arial" w:eastAsia="Arial" w:hAnsi="Arial"/>
          <w:sz w:val="18"/>
          <w:szCs w:val="18"/>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Second Priority Refinancing Debt</w:t>
      </w:r>
      <w:r>
        <w:rPr>
          <w:rFonts w:ascii="Arial" w:cs="Arial" w:eastAsia="Arial" w:hAnsi="Arial"/>
          <w:sz w:val="17"/>
          <w:szCs w:val="17"/>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other than the Collateral, (b) such Indebtedness constitutes Credit Agreement Refinancing Indebtedness (</w:t>
      </w:r>
      <w:r>
        <w:rPr>
          <w:rFonts w:ascii="Arial" w:cs="Arial" w:eastAsia="Arial" w:hAnsi="Arial"/>
          <w:sz w:val="17"/>
          <w:szCs w:val="17"/>
          <w:i w:val="1"/>
          <w:iCs w:val="1"/>
          <w:color w:val="auto"/>
        </w:rPr>
        <w:t>provided</w:t>
      </w:r>
      <w:r>
        <w:rPr>
          <w:rFonts w:ascii="Arial" w:cs="Arial" w:eastAsia="Arial" w:hAnsi="Arial"/>
          <w:sz w:val="17"/>
          <w:szCs w:val="17"/>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Indebtedness</w:t>
      </w:r>
      <w:r>
        <w:rPr>
          <w:rFonts w:ascii="Arial" w:cs="Arial" w:eastAsia="Arial" w:hAnsi="Arial"/>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shall mean unsecured Indebtedness incurred by a Credit Party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constitutes Credit Agreement Refinancing Indebtedness and (b) meets the Permitted Junior Debt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 Agreement</w:t>
      </w:r>
      <w:r>
        <w:rPr>
          <w:rFonts w:ascii="Arial" w:cs="Arial" w:eastAsia="Arial" w:hAnsi="Arial"/>
          <w:sz w:val="18"/>
          <w:szCs w:val="18"/>
          <w:color w:val="auto"/>
        </w:rPr>
        <w:t xml:space="preserve">” shall mean a pledge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among the Credit Parties and Collateral Agent, as the same may be amended in accordance with the terms thereof and hereof.</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set forth in the Pledge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xml:space="preserve">” shall mean, with respect to compliance with any test or covenant or calculation of any ratio hereunder, the determination or calculation of such test, covenant or ratio (including in connection with Specified Transactions)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 real property interests, trademarks, trade names, equipment and proceeds of the foregoing and, with respect to any Person, Equity Interests or other ownership interests of any other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PTE</w:t>
      </w:r>
      <w:r>
        <w:rPr>
          <w:rFonts w:ascii="Arial" w:cs="Arial" w:eastAsia="Arial" w:hAnsi="Arial"/>
          <w:sz w:val="16"/>
          <w:szCs w:val="16"/>
          <w:color w:val="auto"/>
        </w:rPr>
        <w:t>” means a prohibited transaction class exemption issued by the U.S. Department of Labor, as any such exemption may be amended from time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to time.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9.04</w:t>
      </w:r>
      <w:r>
        <w:rPr>
          <w:rFonts w:ascii="Arial" w:cs="Arial" w:eastAsia="Arial" w:hAnsi="Arial"/>
          <w:sz w:val="18"/>
          <w:szCs w:val="18"/>
          <w:color w:val="auto"/>
        </w:rPr>
        <w:t>.</w:t>
      </w:r>
    </w:p>
    <w:p>
      <w:pPr>
        <w:sectPr>
          <w:pgSz w:w="11900" w:h="16838" w:orient="portrait"/>
          <w:cols w:equalWidth="0" w:num="1">
            <w:col w:w="11420"/>
          </w:cols>
          <w:pgMar w:left="240" w:top="121" w:right="239" w:bottom="0" w:gutter="0" w:footer="0" w:header="0"/>
        </w:sectPr>
      </w:pPr>
    </w:p>
    <w:bookmarkStart w:id="81" w:name="page82"/>
    <w:bookmarkEnd w:id="81"/>
    <w:p>
      <w:pPr>
        <w:spacing w:after="0" w:line="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37"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Contingent Obligation</w:t>
      </w:r>
      <w:r>
        <w:rPr>
          <w:rFonts w:ascii="Arial" w:cs="Arial" w:eastAsia="Arial" w:hAnsi="Arial"/>
          <w:sz w:val="17"/>
          <w:szCs w:val="17"/>
          <w:color w:val="auto"/>
        </w:rPr>
        <w:t xml:space="preserve">” shall mean Contingent Obligations permitted by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in respect of (a) Indebtedness of any Joint Venture in which any Credit Party owns (directly or indirectly) at least 25% of the Equity Interest of such Joint Venture or (b) Indebtedness of Facilities (and properties ancillary or related thereto) with respect to which any Credit Party (directly or indirectly through Subsidiaries) entered into a management or similar contract and such contract remains in full force and effect at the time such Contingent Obligations are incurred.</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Act of Terrorism</w:t>
      </w:r>
      <w:r>
        <w:rPr>
          <w:rFonts w:ascii="Arial" w:cs="Arial" w:eastAsia="Arial" w:hAnsi="Arial"/>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xml:space="preserve">”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2.08(c)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13.03(b)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12.06(b)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Repricing Transaction</w:t>
      </w:r>
      <w:r>
        <w:rPr>
          <w:rFonts w:ascii="Arial" w:cs="Arial" w:eastAsia="Arial" w:hAnsi="Arial"/>
          <w:sz w:val="16"/>
          <w:szCs w:val="16"/>
          <w:color w:val="auto"/>
        </w:rPr>
        <w:t>” shall mean (i) the incurrence by Borrower of a new tranche of replacement term loans under this Agreement (including by way of conversion of Term Facility Loans into any such new tranche of replacement term loans) (x) having an effective interest rate margin for the respective Type of such replacement term loan that is less than the Applicable Margin for Term Facility Loans of the respective Type (with the comparative determinations of such margins to be made by Administrative Agent (consistent with generally acceptable financial practices) and to be made after taking into</w:t>
      </w:r>
    </w:p>
    <w:p>
      <w:pPr>
        <w:sectPr>
          <w:pgSz w:w="11900" w:h="16876" w:orient="portrait"/>
          <w:cols w:equalWidth="0" w:num="1">
            <w:col w:w="11420"/>
          </w:cols>
          <w:pgMar w:left="240" w:top="189" w:right="239" w:bottom="0" w:gutter="0" w:footer="0" w:header="0"/>
        </w:sectPr>
      </w:pPr>
    </w:p>
    <w:bookmarkStart w:id="82" w:name="page83"/>
    <w:bookmarkEnd w:id="82"/>
    <w:p>
      <w:pPr>
        <w:jc w:val="both"/>
        <w:spacing w:after="0" w:line="284" w:lineRule="auto"/>
        <w:rPr>
          <w:sz w:val="20"/>
          <w:szCs w:val="20"/>
          <w:color w:val="auto"/>
        </w:rPr>
      </w:pPr>
      <w:r>
        <w:rPr>
          <w:rFonts w:ascii="Arial" w:cs="Arial" w:eastAsia="Arial" w:hAnsi="Arial"/>
          <w:sz w:val="16"/>
          <w:szCs w:val="16"/>
          <w:color w:val="auto"/>
        </w:rPr>
        <w:t>account all upfront or similar fees or original issue discount (amortized assuming a 4-year life to maturity (or, if less, the stated life to maturity at the time of incurrence of the applicable Indebtedness) of such tranche of replacement term loans or Term Facility Loans, as the case may be) payable to all Lenders holding such replacement term loans or Term Facility Loans, as the case may be, but exclusive of any arrangement, structuring, or other fees payable in connection therewith that are not shared with all Lenders (in their capacity as such) holding such tranche of replacement term loans or Term Facility Loans, as the case may be, after giving effect to the syndication thereof) (excluding any such loans incurred in connection with a Change of Control or a Transformative Acquisition and any such loan that is not made for the primary purposes of reducing overall yield) and (y) the proceeds of which are used to repay, in whole or in part, principal of outstanding Term Facility Loans (it being understood that a conversion of Term Facility Loans into any such new tranche of replacement term loans shall constitute a repayment of principal of outstanding Term Facility Loans), (ii) any amendment, waiver, or other modification to this Agreement which would have the effect of reducing the Applicable Margin for Term Facility Loans (with the determination of such effective reduction to be made in accordance with the applicable provisions set forth in the parenthetical appearing in preceding clause (i)(x)), excluding any such amendment, waiver, or modification entered into in connection with a Change of Control or a Transformative Acquisition, and/or (iii) the incurrence by Borrower or any of its Subsidiaries of (x) any Incremental Term Loans, (y) any other term loans (which, for the avoidance of doubt, does not include bonds) other than under this Agreement, or (z) any other bank debt other than under this Agreement (such other term loans referred to in clause (y) above in this clause (iii) and such other bank debt referred to in clause (z) above in this clause (iii) are individually referred to as “</w:t>
      </w:r>
      <w:r>
        <w:rPr>
          <w:rFonts w:ascii="Arial" w:cs="Arial" w:eastAsia="Arial" w:hAnsi="Arial"/>
          <w:sz w:val="16"/>
          <w:szCs w:val="16"/>
          <w:b w:val="1"/>
          <w:bCs w:val="1"/>
          <w:color w:val="auto"/>
        </w:rPr>
        <w:t>Other Debt</w:t>
      </w:r>
      <w:r>
        <w:rPr>
          <w:rFonts w:ascii="Arial" w:cs="Arial" w:eastAsia="Arial" w:hAnsi="Arial"/>
          <w:sz w:val="16"/>
          <w:szCs w:val="16"/>
          <w:color w:val="auto"/>
        </w:rPr>
        <w:t>”), the proceeds of which are used in whole or in part to prepay outstanding Term Facility Loans (except to the extent any such Incremental Term Loans or Other Debt is incurred in connection with a Change of Control or a Transformative Acquisition) if such Incremental Term Loans or Other Debt has an effective interest rate margin for the respective Type of such replacement term loan that is less than the Applicable Margin for Term Facility Loans at the time of the prepayment thereof (with the comparative determination of such margins to be made by Administrative Agent (consistent with generally acceptable financial practices) taking into account all upfront or similar fees or original issue discount (amortized assuming a 4-year life to maturity (or, if less, the stated life to maturity at the time of incurrence of the applicable Indebtedness) of such Incremental Term Loans or Other Debt) payable to all lenders holding such Incremental Term Loans or Other Debt, as the case may be, but exclusive of any arrangement, structuring or other fees payable in connection therewith that are not shared with all Lenders (in their capacity as such) holding such Incremental Term Loans or Other Debt, as the case may be, after giving effect to the syndication thereof). Any such determination by Administrative Agent as contemplated by preceding clauses (i)(x), (ii), and (iii) shall be conclusive and binding on all Lenders holding Term Facility Loans.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Lenders</w:t>
      </w:r>
      <w:r>
        <w:rPr>
          <w:rFonts w:ascii="Arial" w:cs="Arial" w:eastAsia="Arial" w:hAnsi="Arial"/>
          <w:sz w:val="18"/>
          <w:szCs w:val="18"/>
          <w:color w:val="auto"/>
        </w:rPr>
        <w:t>” shall mean, as of any date of determination: (a) prior to the Closing Date, Lenders holding more than 50% of the aggregate amount of the Commitments; and (b) thereafter, Non-Defaulting Lenders the sum of whose outstanding Loans and unutilized Commitments then outstanding represents more than 50% of the aggregate sum (without duplication) of all outstanding Loans of all Non-Defaulting Lenders and all unutilized Commitments of all Non-Defaulting Lenders.</w:t>
      </w:r>
    </w:p>
    <w:p>
      <w:pPr>
        <w:spacing w:after="0" w:line="18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Tranche Lenders</w:t>
      </w:r>
      <w:r>
        <w:rPr>
          <w:rFonts w:ascii="Arial" w:cs="Arial" w:eastAsia="Arial" w:hAnsi="Arial"/>
          <w:sz w:val="17"/>
          <w:szCs w:val="17"/>
          <w:color w:val="auto"/>
        </w:rPr>
        <w:t>” shall mean: (a) with respect to Term Facility Loans, Non-Defaulting Lenders having more than 50% of the aggregate sum of the Term Facility Loans and unutilized Term Facility Commitments of all Non-Defaulting Lenders then outstanding; (b) with respect to Lenders having Incremental Term Loans or Incremental Term Loan Commitments, Lenders having more than 50% of the aggregate sum of the Incremental Term Loans and unutilized Incremental Term Loan Commitments then outstanding, (c) for each Extension Tranche, if applicable, with respect to Lenders having Extended Term Loans or commitments in respect of Extended Term Loans, in each case, in respect of such Extension Tranche, Non-Defaulting Lenders having more than 50% of the aggregate sum of such Extended Term Loans and commitments of all Non-Defaulting Lenders in respect thereof, as applicable, then outstanding; and (d) for each Tranche of Other Term Loans, Non-Defaulting Lenders having more than 50% of the aggregate sum of such Other Term Loans and unutilized Other Term Loan Commitments of all Non-Defaulting Lenders then outstanding.</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Requirement</w:t>
      </w:r>
      <w:r>
        <w:rPr>
          <w:rFonts w:ascii="Arial" w:cs="Arial" w:eastAsia="Arial" w:hAnsi="Arial"/>
          <w:sz w:val="16"/>
          <w:szCs w:val="16"/>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12.06(a)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 Interests or Equity Rights (other than any payment made relating to any Transfer Agreement) in any Credit Party, but excluding dividends, payments, or distributions paid through the issuance of additional shares of Qualified Capital Stock and any redemption, retirement, or exchange of any Qualified Capital Stock in such Credit Party through, or with the proceeds of, the issuance of Qualified Capital Stock in any Credit Party.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9.04 Financials</w:t>
      </w:r>
      <w:r>
        <w:rPr>
          <w:rFonts w:ascii="Arial" w:cs="Arial" w:eastAsia="Arial" w:hAnsi="Arial"/>
          <w:sz w:val="17"/>
          <w:szCs w:val="17"/>
          <w:color w:val="auto"/>
        </w:rPr>
        <w:t xml:space="preserve">” shall mean the financial statements delivered, or required to be delivered, pursuant to Section 9.04(a) or (b), together with the accompanying certificate of a Responsible Officer of Borrower delivered, or required to be delivered, pursuant to </w:t>
      </w:r>
      <w:r>
        <w:rPr>
          <w:rFonts w:ascii="Arial" w:cs="Arial" w:eastAsia="Arial" w:hAnsi="Arial"/>
          <w:sz w:val="17"/>
          <w:szCs w:val="17"/>
          <w:u w:val="single" w:color="auto"/>
          <w:color w:val="auto"/>
        </w:rPr>
        <w:t>Section 9.04(c)</w:t>
      </w:r>
      <w:r>
        <w:rPr>
          <w:rFonts w:ascii="Arial" w:cs="Arial" w:eastAsia="Arial" w:hAnsi="Arial"/>
          <w:sz w:val="17"/>
          <w:szCs w:val="17"/>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mean the Agents, the Lenders, and any Swap Provider that is party to a Credit Swap Contract.</w:t>
      </w:r>
    </w:p>
    <w:p>
      <w:pPr>
        <w:sectPr>
          <w:pgSz w:w="11900" w:h="16838" w:orient="portrait"/>
          <w:cols w:equalWidth="0" w:num="1">
            <w:col w:w="11420"/>
          </w:cols>
          <w:pgMar w:left="240" w:top="125" w:right="239" w:bottom="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shall mean the Pledge Agreement, the Collateral Agency Agreement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Shared Fixed Incremental Amount</w:t>
      </w:r>
      <w:r>
        <w:rPr>
          <w:rFonts w:ascii="Arial" w:cs="Arial" w:eastAsia="Arial" w:hAnsi="Arial"/>
          <w:sz w:val="16"/>
          <w:szCs w:val="16"/>
          <w:color w:val="auto"/>
        </w:rPr>
        <w:t xml:space="preserve">” shall mean, as of any date of determination, (a) $250.0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(b)(i) the aggregate principal amount of all Incremental Term Loan Commitments incurred or issued in reliance on the Shared Fixed Incremental Amount and (ii) the aggregate principal amount of all Incremental Equivalent Debt incurred or issued in reliance on Section 10.01(m) in reliance on the Shared Fixed Incremental Amount.</w:t>
      </w:r>
    </w:p>
    <w:p>
      <w:pPr>
        <w:spacing w:after="0" w:line="14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2" w:lineRule="exact"/>
        <w:rPr>
          <w:sz w:val="20"/>
          <w:szCs w:val="20"/>
          <w:color w:val="auto"/>
        </w:rPr>
      </w:pPr>
    </w:p>
    <w:p>
      <w:pPr>
        <w:jc w:val="both"/>
        <w:ind w:firstLine="8"/>
        <w:spacing w:after="0" w:line="292" w:lineRule="auto"/>
        <w:tabs>
          <w:tab w:leader="none" w:pos="248" w:val="left"/>
        </w:tabs>
        <w:numPr>
          <w:ilvl w:val="0"/>
          <w:numId w:val="55"/>
        </w:numPr>
        <w:rPr>
          <w:rFonts w:ascii="Arial" w:cs="Arial" w:eastAsia="Arial" w:hAnsi="Arial"/>
          <w:sz w:val="16"/>
          <w:szCs w:val="16"/>
          <w:color w:val="auto"/>
        </w:rPr>
      </w:pPr>
      <w:r>
        <w:rPr>
          <w:rFonts w:ascii="Arial" w:cs="Arial" w:eastAsia="Arial" w:hAnsi="Arial"/>
          <w:sz w:val="16"/>
          <w:szCs w:val="16"/>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without duplication.</w:t>
      </w:r>
    </w:p>
    <w:p>
      <w:pPr>
        <w:spacing w:after="0" w:line="15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mean any (a) incurrence or repayment of Indebtedness (other than for working capital purposes), (b) Investment or other action that results in a Person becoming a Guarantor, (c) Permitted Acquisition or other Acquisition, (d) Asset Sale, and (e) Acquisition or Investment constituting an acquisition of assets constituting a business unit, line of business or division of another Person.</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xml:space="preserve">” shall mean each Subordination Agreement, substantially in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among the Administrative Agent, the applicable Credit Parties and the providers of any Intercompany Indebtedness.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7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Substituted Consolidated EBITDA</w:t>
      </w:r>
      <w:r>
        <w:rPr>
          <w:rFonts w:ascii="Arial" w:cs="Arial" w:eastAsia="Arial" w:hAnsi="Arial"/>
          <w:sz w:val="18"/>
          <w:szCs w:val="18"/>
          <w:color w:val="auto"/>
        </w:rPr>
        <w:t>” shall mean with respect to any fiscal quarter, the greater of Consolidated EBITDA relating to any Management Agreement or IP Licensing Agreement for such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Supermajority Lenders</w:t>
      </w:r>
      <w:r>
        <w:rPr>
          <w:rFonts w:ascii="Arial" w:cs="Arial" w:eastAsia="Arial" w:hAnsi="Arial"/>
          <w:sz w:val="18"/>
          <w:szCs w:val="18"/>
          <w:color w:val="auto"/>
        </w:rPr>
        <w:t>” shall mean, as of any date of determination: (a) prior to the Closing Date, Lenders holding more than 66 2/3% of the aggregate amount of the Commitments; and (b) thereafter, Non-Defaulting Lenders the sum of whose outstanding Loans and unutilized Commitments then outstanding represents more than 66 2/3% of the aggregate sum (without duplication) of all outstanding Loans of all Non-Defaulting Lenders and all unutilized Commitments of all Non-Defaulting Lenders.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Supplemental Credit Party Financial Information</w:t>
      </w:r>
      <w:r>
        <w:rPr>
          <w:rFonts w:ascii="Arial" w:cs="Arial" w:eastAsia="Arial" w:hAnsi="Arial"/>
          <w:sz w:val="17"/>
          <w:szCs w:val="17"/>
          <w:color w:val="auto"/>
        </w:rPr>
        <w:t>” shall mean a presentation of the revenues and Consolidated EBITDA of the Credit Parties for the period presented as well as the amount of cash and cash equivalents and outstanding Indebtedness of the Credit Parties as of the last day of the period presented, in each case in the form to be reasonably agreed between the Borrower and the Administrative Agent.</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 Guaranties</w:t>
      </w:r>
      <w:r>
        <w:rPr>
          <w:rFonts w:ascii="Arial" w:cs="Arial" w:eastAsia="Arial" w:hAnsi="Arial"/>
          <w:sz w:val="18"/>
          <w:szCs w:val="18"/>
          <w:color w:val="auto"/>
        </w:rPr>
        <w:t>” shall mean (a) that certain Completion Guaranty, dated as of November 20, 2014, between Borrower and DB, (b) that certain Recourse Indemnity Agreement, dated as of July 25, 2018, among Borrower, PPF Retail, LLC, a Delaware limited liability company, and Crown Retail Services, LLC, a New York limited liability company, in favor of United Overseas Bank Limited, New York Agency, (c) that certain Hazardous Materials Indemnity Agreement, dated as of July 25, 2018, among Borrower, Wynn/CA Plaza Property Owner, LLC, a Nevada limited liability company, and Wynn/CA Property Owner, LLC, a Nevada limited liability company, for the benefit of United Overseas Bank Limited, New York Agency and (d) any other completion guaranties or other guaranties in form and substance substantially similar to any agreement described in clauses (a) through (c) that is provided by a Credit Party in support of obligations of its Subsidiaries or Joint Ventures.</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any Credit Party.</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Provider</w:t>
      </w:r>
      <w:r>
        <w:rPr>
          <w:rFonts w:ascii="Arial" w:cs="Arial" w:eastAsia="Arial" w:hAnsi="Arial"/>
          <w:sz w:val="17"/>
          <w:szCs w:val="17"/>
          <w:color w:val="auto"/>
        </w:rPr>
        <w:t xml:space="preserve">” shall mean any Person that is a party to a Swap Contract with Borrower and/or any of the Guarantors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w:t>
      </w:r>
      <w:r>
        <w:rPr>
          <w:rFonts w:ascii="Arial" w:cs="Arial" w:eastAsia="Arial" w:hAnsi="Arial"/>
          <w:sz w:val="17"/>
          <w:szCs w:val="17"/>
          <w:u w:val="single" w:color="auto"/>
          <w:color w:val="auto"/>
        </w:rPr>
        <w:t>Section 12.03</w:t>
      </w:r>
      <w:r>
        <w:rPr>
          <w:rFonts w:ascii="Arial" w:cs="Arial" w:eastAsia="Arial" w:hAnsi="Arial"/>
          <w:sz w:val="17"/>
          <w:szCs w:val="17"/>
          <w:color w:val="auto"/>
        </w:rPr>
        <w:t>.</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T/C Percentage</w:t>
      </w:r>
      <w:r>
        <w:rPr>
          <w:rFonts w:ascii="Arial" w:cs="Arial" w:eastAsia="Arial" w:hAnsi="Arial"/>
          <w:sz w:val="16"/>
          <w:szCs w:val="16"/>
          <w:color w:val="auto"/>
        </w:rPr>
        <w:t xml:space="preserve">” of any Lender with respect to a Tranche of Commitments at any time shall mean a fraction (expressed as a percentage) the numerator of which is the Commitment under such Tranche of such Lender at such time and the denominator of which is the total Commitments under such Tranche at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T/C Percentage of any Lender with respect to a Tranche of Commitments is to be determined after the</w:t>
      </w:r>
    </w:p>
    <w:p>
      <w:pPr>
        <w:sectPr>
          <w:pgSz w:w="11900" w:h="16838" w:orient="portrait"/>
          <w:cols w:equalWidth="0" w:num="1">
            <w:col w:w="11420"/>
          </w:cols>
          <w:pgMar w:left="240" w:top="121" w:right="239" w:bottom="0" w:gutter="0" w:footer="0" w:header="0"/>
        </w:sectPr>
      </w:pPr>
    </w:p>
    <w:bookmarkStart w:id="84" w:name="page85"/>
    <w:bookmarkEnd w:id="84"/>
    <w:p>
      <w:pPr>
        <w:jc w:val="both"/>
        <w:spacing w:after="0" w:line="264" w:lineRule="auto"/>
        <w:rPr>
          <w:sz w:val="20"/>
          <w:szCs w:val="20"/>
          <w:color w:val="auto"/>
        </w:rPr>
      </w:pPr>
      <w:r>
        <w:rPr>
          <w:rFonts w:ascii="Arial" w:cs="Arial" w:eastAsia="Arial" w:hAnsi="Arial"/>
          <w:sz w:val="18"/>
          <w:szCs w:val="18"/>
          <w:color w:val="auto"/>
        </w:rPr>
        <w:t>total Commitments under such Tranche have been terminated, then the T/C Percentage of such Lender under such Tranche of Commitments shall be determined immediately prior (and without giving effect) to such termination but after giving effect to any assignments after termination of the Commitments under such Tranche.</w:t>
      </w:r>
    </w:p>
    <w:p>
      <w:pPr>
        <w:spacing w:after="0" w:line="17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Indemnification Agreement</w:t>
      </w:r>
      <w:r>
        <w:rPr>
          <w:rFonts w:ascii="Arial" w:cs="Arial" w:eastAsia="Arial" w:hAnsi="Arial"/>
          <w:sz w:val="17"/>
          <w:szCs w:val="17"/>
          <w:color w:val="auto"/>
        </w:rPr>
        <w:t>” means the Tax Indemnification Agreement, dated as of September 24, 2002, among Borrower,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5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Commitment”</w:t>
      </w:r>
      <w:r>
        <w:rPr>
          <w:rFonts w:ascii="Arial" w:cs="Arial" w:eastAsia="Arial" w:hAnsi="Arial"/>
          <w:sz w:val="18"/>
          <w:szCs w:val="18"/>
          <w:color w:val="auto"/>
        </w:rPr>
        <w:t xml:space="preserve"> shall mean, for each Lender, the obligation of such Lender to make Loans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 xml:space="preserve"> hereof on the Closing Date in a principal amount not to exceed the amount of such Lender’s Commitments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as the same may be (a) changed pursuant to Section 13.05(b) or (b) reduced or terminated from time to time pursuant to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11.01</w:t>
      </w:r>
      <w:r>
        <w:rPr>
          <w:rFonts w:ascii="Arial" w:cs="Arial" w:eastAsia="Arial" w:hAnsi="Arial"/>
          <w:sz w:val="18"/>
          <w:szCs w:val="18"/>
          <w:color w:val="auto"/>
        </w:rPr>
        <w:t>. The aggregate principal amount of the Term Facility Commitments of all Lenders as of the Closing Date is $500,000,000.00.</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Loans</w:t>
      </w:r>
      <w:r>
        <w:rPr>
          <w:rFonts w:ascii="Arial" w:cs="Arial" w:eastAsia="Arial" w:hAnsi="Arial"/>
          <w:sz w:val="18"/>
          <w:szCs w:val="18"/>
          <w:color w:val="auto"/>
        </w:rPr>
        <w:t xml:space="preserve">” shall mean collectively, the term loans made pursuant to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Maturity Date</w:t>
      </w:r>
      <w:r>
        <w:rPr>
          <w:rFonts w:ascii="Arial" w:cs="Arial" w:eastAsia="Arial" w:hAnsi="Arial"/>
          <w:sz w:val="18"/>
          <w:szCs w:val="18"/>
          <w:color w:val="auto"/>
        </w:rPr>
        <w:t>” shall mean the date that is the sixth anniversary of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Section 2.13(a)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Loans</w:t>
      </w:r>
      <w:r>
        <w:rPr>
          <w:rFonts w:ascii="Arial" w:cs="Arial" w:eastAsia="Arial" w:hAnsi="Arial"/>
          <w:sz w:val="17"/>
          <w:szCs w:val="17"/>
          <w:color w:val="auto"/>
        </w:rPr>
        <w:t>” shall mean, collectively, the Term Facility Loans, any Incremental Term Loans, any Extended Term Loans, and any Other Term</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Loans.</w:t>
      </w:r>
    </w:p>
    <w:p>
      <w:pPr>
        <w:spacing w:after="0" w:line="207"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date of determination, the period of the four most recently ended consecutive fiscal quarters of the Credit Parties for which quarterly or annual financial statements have been delivered or are required to have been delivered to Administrative Agent or have been filed with the SEC.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w:t>
      </w:r>
      <w:r>
        <w:rPr>
          <w:rFonts w:ascii="Arial" w:cs="Arial" w:eastAsia="Arial" w:hAnsi="Arial"/>
          <w:sz w:val="16"/>
          <w:szCs w:val="16"/>
          <w:color w:val="auto"/>
        </w:rPr>
        <w:t>” shall mean (i) when used with respect to the Lenders, each of the following classes of Lenders: (a) Lenders having Term Facility Loans,</w:t>
      </w:r>
    </w:p>
    <w:p>
      <w:pPr>
        <w:spacing w:after="0" w:line="50" w:lineRule="exact"/>
        <w:rPr>
          <w:sz w:val="20"/>
          <w:szCs w:val="20"/>
          <w:color w:val="auto"/>
        </w:rPr>
      </w:pPr>
    </w:p>
    <w:p>
      <w:pPr>
        <w:jc w:val="both"/>
        <w:ind w:firstLine="8"/>
        <w:spacing w:after="0" w:line="254" w:lineRule="auto"/>
        <w:tabs>
          <w:tab w:leader="none" w:pos="276"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Lenders having Term Facility Commitments, and (c) Lenders having such other Tranche of Loans or Commitments created pursuant to an Extension Amendment, Incremental Joinder Agreement or Refinancing Amendment, and (ii) when used with respect to Loans or Commitments, each of the following classes of Loans or Commitments: (a) Term Facility Loans, (b) Term Facility Commitments, and (c) such other Tranche of Loans or Commitments created pursuant to an Incremental Joinder Agreement, Extension Amendment, or Refinancing Amendment.</w:t>
      </w:r>
    </w:p>
    <w:p>
      <w:pPr>
        <w:spacing w:after="0" w:line="1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on the Closing Date and (b) the payment of fees and expenses in connection with the foregoing.</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Guarantor (or any Person that was a Guarantor) or any Gaming Facility.</w:t>
      </w:r>
    </w:p>
    <w:p>
      <w:pPr>
        <w:spacing w:after="0" w:line="3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Transformative Acquisition</w:t>
      </w:r>
      <w:r>
        <w:rPr>
          <w:rFonts w:ascii="Arial" w:cs="Arial" w:eastAsia="Arial" w:hAnsi="Arial"/>
          <w:sz w:val="18"/>
          <w:szCs w:val="18"/>
          <w:color w:val="auto"/>
        </w:rPr>
        <w:t>” means any acquisition or investment (including by merger or consolidation) by any Credit Party that (i) is not permitted by the terms of the Credit Documents immediately prior to the consummation of such acquisition or investment or (ii) if permitted by the terms of the Credit Documents immediately prior to the consummation of such acquisition or investment, would not provide the Credit Parties with adequate flexibility under the Credit Documents for the continuation and/or expansion of their combined operations following such consummation, as determined by the Borrower acting in good faith.</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Guarantor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any Credit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any Credit Party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5.06(b)(ii)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ectPr>
          <w:pgSz w:w="11900" w:h="16838" w:orient="portrait"/>
          <w:cols w:equalWidth="0" w:num="1">
            <w:col w:w="11420"/>
          </w:cols>
          <w:pgMar w:left="240" w:top="125" w:right="239" w:bottom="0" w:gutter="0" w:footer="0" w:header="0"/>
        </w:sectPr>
      </w:pPr>
    </w:p>
    <w:bookmarkStart w:id="85" w:name="page86"/>
    <w:bookmarkEnd w:id="85"/>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Working Capital</w:t>
      </w:r>
      <w:r>
        <w:rPr>
          <w:rFonts w:ascii="Arial" w:cs="Arial" w:eastAsia="Arial" w:hAnsi="Arial"/>
          <w:sz w:val="16"/>
          <w:szCs w:val="16"/>
          <w:color w:val="auto"/>
        </w:rPr>
        <w:t xml:space="preserve">” means, for any Person at any date, the amount (which may be a negative number) of the Consolidated Current Assets of such Person minus the Consolidated Current Liabilities of such Person at such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the “consolidated current assets” and “consolidated current liabilities” of any Person, property, business, or asset so acquired (determined on a basis consistent with the corresponding definitions herein, with appropriate reference changes) shall be excluded and (ii) for any period in which any Person, property, business, or asset is sold, transferred, or otherwise disposed of, closed, or classified as discontinued operations by any Credit Party, the “consolidated current assets” and “consolidated current liabilities” of any Person, property, business, or asset so sold, transferred, or otherwise disposed of, closed, or classified as discontinued operations (determined on a basis consistent with the corresponding definitions herein, with appropriate reference changes) shall be excluded.</w:t>
      </w:r>
    </w:p>
    <w:p>
      <w:pPr>
        <w:spacing w:after="0" w:line="1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shall mean,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America</w:t>
      </w:r>
      <w:r>
        <w:rPr>
          <w:rFonts w:ascii="Arial" w:cs="Arial" w:eastAsia="Arial" w:hAnsi="Arial"/>
          <w:sz w:val="18"/>
          <w:szCs w:val="18"/>
          <w:color w:val="auto"/>
        </w:rPr>
        <w:t>” shall mean Wynn America, LLC, a Nevada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Wynn Macau, Limited</w:t>
      </w:r>
      <w:r>
        <w:rPr>
          <w:rFonts w:ascii="Arial" w:cs="Arial" w:eastAsia="Arial" w:hAnsi="Arial"/>
          <w:sz w:val="17"/>
          <w:szCs w:val="17"/>
          <w:color w:val="auto"/>
        </w:rPr>
        <w:t>” shall mean Wynn Macau, Limited, an exempt company with limited liability under the laws of the Cayman Islands.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w:t>
      </w:r>
      <w:r>
        <w:rPr>
          <w:rFonts w:ascii="Arial" w:cs="Arial" w:eastAsia="Arial" w:hAnsi="Arial"/>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w:t>
      </w:r>
      <w:r>
        <w:rPr>
          <w:rFonts w:ascii="Arial" w:cs="Arial" w:eastAsia="Arial" w:hAnsi="Arial"/>
          <w:sz w:val="18"/>
          <w:szCs w:val="18"/>
          <w:color w:val="auto"/>
        </w:rPr>
        <w:t>” shall mean the casino resort and related amenities to be developed by Borrower and its Subsidiaries in Everett, Massachusetts.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 Opening Date</w:t>
      </w:r>
      <w:r>
        <w:rPr>
          <w:rFonts w:ascii="Arial" w:cs="Arial" w:eastAsia="Arial" w:hAnsi="Arial"/>
          <w:sz w:val="18"/>
          <w:szCs w:val="18"/>
          <w:color w:val="auto"/>
        </w:rPr>
        <w:t>” shall mean the date the Wynn Massachusetts Project is open to the general public.</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Wynn Trademarks</w:t>
      </w:r>
      <w:r>
        <w:rPr>
          <w:rFonts w:ascii="Arial" w:cs="Arial" w:eastAsia="Arial" w:hAnsi="Arial"/>
          <w:sz w:val="17"/>
          <w:szCs w:val="17"/>
          <w:color w:val="auto"/>
        </w:rPr>
        <w:t>” shall mean all trademarks (including service marks), slogans, logos, certification marks, trade dress, uniform resource locators (URL’s), domain names, corporate names, brand names, and trade names, whether registered or unregistered, and all registrations and applications for the foregoing (whether statutory or common law and whether established, applied for or registered in the United States or any other country or any political subdivision thereof), together with the goodwill associated with the foregoing, now or hereafter owned by or registered to (including any applications filed by) any Borrower or Guarantor, including any and all of the foregoing using or incorporating the mark “WYNN”.</w:t>
      </w:r>
    </w:p>
    <w:p>
      <w:pPr>
        <w:spacing w:after="0" w:line="16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1.02. Accounting Terms and Determinations</w:t>
      </w:r>
      <w:r>
        <w:rPr>
          <w:rFonts w:ascii="Arial" w:cs="Arial" w:eastAsia="Arial" w:hAnsi="Arial"/>
          <w:sz w:val="16"/>
          <w:szCs w:val="16"/>
          <w:color w:val="auto"/>
        </w:rPr>
        <w:t>. Except as otherwise provided in this Agreement, all computations and determinations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as to accounting or financial matters shall be made in accordance with GAAP as in effect on the Closing Date consistently applied for all applicable periods, and all accounting or financial terms shall have the meanings ascribed to such terms by GAAP; provided, that, except as otherwise explicitly provided in this Agreement, all such computations and determinations shall not be on a consolidated basis with any Person (including any Subsidiary) other than the Credit Parties. If at any time any change in GAAP would affect the computation of any financial ratio or requirement set forth in any Credit Document, and Borrower notifies Administrative Agent that Borrower requests an amendment to any provision hereof to eliminate 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1.03. Classes and Types of Loans</w:t>
      </w:r>
      <w:r>
        <w:rPr>
          <w:rFonts w:ascii="Arial" w:cs="Arial" w:eastAsia="Arial" w:hAnsi="Arial"/>
          <w:sz w:val="18"/>
          <w:szCs w:val="18"/>
          <w:color w:val="auto"/>
        </w:rPr>
        <w:t>. Loans hereunder are distinguished by “Class” and by “Type.” The “Class” of a Loan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Commitment to make a Loan) refers to whether such Loan is a Term Facility Loan (or, in the case of a Commitment to make a Term Facility Loan, a Term Facility Commitment) or a Term Loan of any particular Tranche of Term Loans created pursuant to an Extension Amendment, Incremental Joinder Agreement or a Refinancing Amendment, each of which constitutes a Class. The “Type” of a Loan refers to whether such Loan is an ABR Loan or a LIBOR Loan, each of which constitutes a Type. Loans may be identified by both Class and Type.</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41" w:val="left"/>
        </w:tabs>
        <w:numPr>
          <w:ilvl w:val="0"/>
          <w:numId w:val="57"/>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ectPr>
          <w:pgSz w:w="11900" w:h="16838" w:orient="portrait"/>
          <w:cols w:equalWidth="0" w:num="1">
            <w:col w:w="11420"/>
          </w:cols>
          <w:pgMar w:left="240" w:top="121" w:right="239" w:bottom="0" w:gutter="0" w:footer="0" w:header="0"/>
        </w:sectPr>
      </w:pPr>
    </w:p>
    <w:bookmarkStart w:id="86" w:name="page87"/>
    <w:bookmarkEnd w:id="86"/>
    <w:p>
      <w:pPr>
        <w:ind w:left="1192" w:hanging="544"/>
        <w:spacing w:after="0"/>
        <w:tabs>
          <w:tab w:leader="none" w:pos="1192" w:val="left"/>
        </w:tabs>
        <w:numPr>
          <w:ilvl w:val="1"/>
          <w:numId w:val="58"/>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w:t>
      </w:r>
    </w:p>
    <w:p>
      <w:pPr>
        <w:spacing w:after="0" w:line="34" w:lineRule="exact"/>
        <w:rPr>
          <w:rFonts w:ascii="Arial" w:cs="Arial" w:eastAsia="Arial" w:hAnsi="Arial"/>
          <w:sz w:val="17"/>
          <w:szCs w:val="17"/>
          <w:color w:val="auto"/>
        </w:rPr>
      </w:pPr>
    </w:p>
    <w:p>
      <w:pPr>
        <w:jc w:val="both"/>
        <w:ind w:left="-8" w:firstLine="8"/>
        <w:spacing w:after="0" w:line="281" w:lineRule="auto"/>
        <w:tabs>
          <w:tab w:leader="none" w:pos="207" w:val="left"/>
        </w:tabs>
        <w:numPr>
          <w:ilvl w:val="0"/>
          <w:numId w:val="5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w:t>
      </w:r>
      <w:r>
        <w:rPr>
          <w:rFonts w:ascii="Arial" w:cs="Arial" w:eastAsia="Arial" w:hAnsi="Arial"/>
          <w:sz w:val="16"/>
          <w:szCs w:val="16"/>
          <w:color w:val="auto"/>
        </w:rPr>
        <w:t>” shall mean “amend, restate, amend and restate, supplement or modify”; and “</w:t>
      </w:r>
      <w:r>
        <w:rPr>
          <w:rFonts w:ascii="Arial" w:cs="Arial" w:eastAsia="Arial" w:hAnsi="Arial"/>
          <w:sz w:val="16"/>
          <w:szCs w:val="16"/>
          <w:b w:val="1"/>
          <w:bCs w:val="1"/>
          <w:color w:val="auto"/>
        </w:rPr>
        <w:t>amended</w:t>
      </w:r>
      <w:r>
        <w:rPr>
          <w:rFonts w:ascii="Arial" w:cs="Arial" w:eastAsia="Arial" w:hAnsi="Arial"/>
          <w:sz w:val="16"/>
          <w:szCs w:val="16"/>
          <w:color w:val="auto"/>
        </w:rPr>
        <w:t>,” “</w:t>
      </w:r>
      <w:r>
        <w:rPr>
          <w:rFonts w:ascii="Arial" w:cs="Arial" w:eastAsia="Arial" w:hAnsi="Arial"/>
          <w:sz w:val="16"/>
          <w:szCs w:val="16"/>
          <w:b w:val="1"/>
          <w:bCs w:val="1"/>
          <w:color w:val="auto"/>
        </w:rPr>
        <w:t>amending</w:t>
      </w:r>
      <w:r>
        <w:rPr>
          <w:rFonts w:ascii="Arial" w:cs="Arial" w:eastAsia="Arial" w:hAnsi="Arial"/>
          <w:sz w:val="16"/>
          <w:szCs w:val="16"/>
          <w:color w:val="auto"/>
        </w:rPr>
        <w:t>” and “</w:t>
      </w:r>
      <w:r>
        <w:rPr>
          <w:rFonts w:ascii="Arial" w:cs="Arial" w:eastAsia="Arial" w:hAnsi="Arial"/>
          <w:sz w:val="16"/>
          <w:szCs w:val="16"/>
          <w:b w:val="1"/>
          <w:bCs w:val="1"/>
          <w:color w:val="auto"/>
        </w:rPr>
        <w:t>amendment</w:t>
      </w:r>
      <w:r>
        <w:rPr>
          <w:rFonts w:ascii="Arial" w:cs="Arial" w:eastAsia="Arial" w:hAnsi="Arial"/>
          <w:sz w:val="16"/>
          <w:szCs w:val="16"/>
          <w:color w:val="auto"/>
        </w:rPr>
        <w:t>” shall have meanings correlative to the foregoing; (ii) in the computation of periods of time from a specified date to a later specified date, “</w:t>
      </w:r>
      <w:r>
        <w:rPr>
          <w:rFonts w:ascii="Arial" w:cs="Arial" w:eastAsia="Arial" w:hAnsi="Arial"/>
          <w:sz w:val="16"/>
          <w:szCs w:val="16"/>
          <w:b w:val="1"/>
          <w:bCs w:val="1"/>
          <w:color w:val="auto"/>
        </w:rPr>
        <w:t>from</w:t>
      </w:r>
      <w:r>
        <w:rPr>
          <w:rFonts w:ascii="Arial" w:cs="Arial" w:eastAsia="Arial" w:hAnsi="Arial"/>
          <w:sz w:val="16"/>
          <w:szCs w:val="16"/>
          <w:color w:val="auto"/>
        </w:rPr>
        <w:t>” shall mean “from and including”; “</w:t>
      </w:r>
      <w:r>
        <w:rPr>
          <w:rFonts w:ascii="Arial" w:cs="Arial" w:eastAsia="Arial" w:hAnsi="Arial"/>
          <w:sz w:val="16"/>
          <w:szCs w:val="16"/>
          <w:b w:val="1"/>
          <w:bCs w:val="1"/>
          <w:color w:val="auto"/>
        </w:rPr>
        <w:t>to</w:t>
      </w:r>
      <w:r>
        <w:rPr>
          <w:rFonts w:ascii="Arial" w:cs="Arial" w:eastAsia="Arial" w:hAnsi="Arial"/>
          <w:sz w:val="16"/>
          <w:szCs w:val="16"/>
          <w:color w:val="auto"/>
        </w:rPr>
        <w:t>” and “</w:t>
      </w:r>
      <w:r>
        <w:rPr>
          <w:rFonts w:ascii="Arial" w:cs="Arial" w:eastAsia="Arial" w:hAnsi="Arial"/>
          <w:sz w:val="16"/>
          <w:szCs w:val="16"/>
          <w:b w:val="1"/>
          <w:bCs w:val="1"/>
          <w:color w:val="auto"/>
        </w:rPr>
        <w:t>until</w:t>
      </w:r>
      <w:r>
        <w:rPr>
          <w:rFonts w:ascii="Arial" w:cs="Arial" w:eastAsia="Arial" w:hAnsi="Arial"/>
          <w:sz w:val="16"/>
          <w:szCs w:val="16"/>
          <w:color w:val="auto"/>
        </w:rPr>
        <w:t>” shall mean “to but excluding”; and “</w:t>
      </w:r>
      <w:r>
        <w:rPr>
          <w:rFonts w:ascii="Arial" w:cs="Arial" w:eastAsia="Arial" w:hAnsi="Arial"/>
          <w:sz w:val="16"/>
          <w:szCs w:val="16"/>
          <w:b w:val="1"/>
          <w:bCs w:val="1"/>
          <w:color w:val="auto"/>
        </w:rPr>
        <w:t>through</w:t>
      </w:r>
      <w:r>
        <w:rPr>
          <w:rFonts w:ascii="Arial" w:cs="Arial" w:eastAsia="Arial" w:hAnsi="Arial"/>
          <w:sz w:val="16"/>
          <w:szCs w:val="16"/>
          <w:color w:val="auto"/>
        </w:rPr>
        <w:t>” shall mean “to and including”; (iii)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similar terms) in any Credit Document refer to such Credit Document as a whole and not to any particular provision of such Credit Document; (iv) “</w:t>
      </w:r>
      <w:r>
        <w:rPr>
          <w:rFonts w:ascii="Arial" w:cs="Arial" w:eastAsia="Arial" w:hAnsi="Arial"/>
          <w:sz w:val="16"/>
          <w:szCs w:val="16"/>
          <w:b w:val="1"/>
          <w:bCs w:val="1"/>
          <w:color w:val="auto"/>
        </w:rPr>
        <w:t>including</w:t>
      </w:r>
      <w:r>
        <w:rPr>
          <w:rFonts w:ascii="Arial" w:cs="Arial" w:eastAsia="Arial" w:hAnsi="Arial"/>
          <w:sz w:val="16"/>
          <w:szCs w:val="16"/>
          <w:color w:val="auto"/>
        </w:rPr>
        <w:t>” (and similar terms) shall mean “including without limitation” (and similarly for similar terms); (v) “</w:t>
      </w:r>
      <w:r>
        <w:rPr>
          <w:rFonts w:ascii="Arial" w:cs="Arial" w:eastAsia="Arial" w:hAnsi="Arial"/>
          <w:sz w:val="16"/>
          <w:szCs w:val="16"/>
          <w:b w:val="1"/>
          <w:bCs w:val="1"/>
          <w:color w:val="auto"/>
        </w:rPr>
        <w:t>or</w:t>
      </w:r>
      <w:r>
        <w:rPr>
          <w:rFonts w:ascii="Arial" w:cs="Arial" w:eastAsia="Arial" w:hAnsi="Arial"/>
          <w:sz w:val="16"/>
          <w:szCs w:val="16"/>
          <w:color w:val="auto"/>
        </w:rPr>
        <w:t>” has the inclusive meaning represented by the phrase “and/or”;</w:t>
      </w:r>
    </w:p>
    <w:p>
      <w:pPr>
        <w:spacing w:after="0" w:line="3" w:lineRule="exact"/>
        <w:rPr>
          <w:rFonts w:ascii="Arial" w:cs="Arial" w:eastAsia="Arial" w:hAnsi="Arial"/>
          <w:sz w:val="16"/>
          <w:szCs w:val="16"/>
          <w:color w:val="auto"/>
        </w:rPr>
      </w:pPr>
    </w:p>
    <w:p>
      <w:pPr>
        <w:jc w:val="both"/>
        <w:ind w:left="-8" w:firstLine="8"/>
        <w:spacing w:after="0" w:line="255" w:lineRule="auto"/>
        <w:tabs>
          <w:tab w:leader="none" w:pos="297"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the date hereof</w:t>
      </w:r>
      <w:r>
        <w:rPr>
          <w:rFonts w:ascii="Arial" w:cs="Arial" w:eastAsia="Arial" w:hAnsi="Arial"/>
          <w:sz w:val="18"/>
          <w:szCs w:val="18"/>
          <w:color w:val="auto"/>
        </w:rPr>
        <w:t>” shall mean the date first set forth above; (vii) “</w:t>
      </w:r>
      <w:r>
        <w:rPr>
          <w:rFonts w:ascii="Arial" w:cs="Arial" w:eastAsia="Arial" w:hAnsi="Arial"/>
          <w:sz w:val="18"/>
          <w:szCs w:val="18"/>
          <w:b w:val="1"/>
          <w:bCs w:val="1"/>
          <w:color w:val="auto"/>
        </w:rPr>
        <w:t>asset</w:t>
      </w:r>
      <w:r>
        <w:rPr>
          <w:rFonts w:ascii="Arial" w:cs="Arial" w:eastAsia="Arial" w:hAnsi="Arial"/>
          <w:sz w:val="18"/>
          <w:szCs w:val="18"/>
          <w:color w:val="auto"/>
        </w:rPr>
        <w:t>” and “</w:t>
      </w:r>
      <w:r>
        <w:rPr>
          <w:rFonts w:ascii="Arial" w:cs="Arial" w:eastAsia="Arial" w:hAnsi="Arial"/>
          <w:sz w:val="18"/>
          <w:szCs w:val="18"/>
          <w:b w:val="1"/>
          <w:bCs w:val="1"/>
          <w:color w:val="auto"/>
        </w:rPr>
        <w:t>property</w:t>
      </w:r>
      <w:r>
        <w:rPr>
          <w:rFonts w:ascii="Arial" w:cs="Arial" w:eastAsia="Arial" w:hAnsi="Arial"/>
          <w:sz w:val="18"/>
          <w:szCs w:val="18"/>
          <w:color w:val="auto"/>
        </w:rPr>
        <w:t>” shall have the same meaning and effect and refer to all tangible and intangible assets and property, whether real, personal or mixed and of every type and description; and (viii) a “</w:t>
      </w:r>
      <w:r>
        <w:rPr>
          <w:rFonts w:ascii="Arial" w:cs="Arial" w:eastAsia="Arial" w:hAnsi="Arial"/>
          <w:sz w:val="18"/>
          <w:szCs w:val="18"/>
          <w:b w:val="1"/>
          <w:bCs w:val="1"/>
          <w:color w:val="auto"/>
        </w:rPr>
        <w:t>fiscal year</w:t>
      </w:r>
      <w:r>
        <w:rPr>
          <w:rFonts w:ascii="Arial" w:cs="Arial" w:eastAsia="Arial" w:hAnsi="Arial"/>
          <w:sz w:val="18"/>
          <w:szCs w:val="18"/>
          <w:color w:val="auto"/>
        </w:rPr>
        <w:t>” or a “</w:t>
      </w:r>
      <w:r>
        <w:rPr>
          <w:rFonts w:ascii="Arial" w:cs="Arial" w:eastAsia="Arial" w:hAnsi="Arial"/>
          <w:sz w:val="18"/>
          <w:szCs w:val="18"/>
          <w:b w:val="1"/>
          <w:bCs w:val="1"/>
          <w:color w:val="auto"/>
        </w:rPr>
        <w:t>fiscal</w:t>
      </w:r>
      <w:r>
        <w:rPr>
          <w:rFonts w:ascii="Arial" w:cs="Arial" w:eastAsia="Arial" w:hAnsi="Arial"/>
          <w:sz w:val="18"/>
          <w:szCs w:val="18"/>
          <w:color w:val="auto"/>
        </w:rPr>
        <w:t xml:space="preserve"> </w:t>
      </w:r>
      <w:r>
        <w:rPr>
          <w:rFonts w:ascii="Arial" w:cs="Arial" w:eastAsia="Arial" w:hAnsi="Arial"/>
          <w:sz w:val="18"/>
          <w:szCs w:val="18"/>
          <w:b w:val="1"/>
          <w:bCs w:val="1"/>
          <w:color w:val="auto"/>
        </w:rPr>
        <w:t>quarter</w:t>
      </w:r>
      <w:r>
        <w:rPr>
          <w:rFonts w:ascii="Arial" w:cs="Arial" w:eastAsia="Arial" w:hAnsi="Arial"/>
          <w:sz w:val="18"/>
          <w:szCs w:val="18"/>
          <w:color w:val="auto"/>
        </w:rPr>
        <w:t>” is a reference to a fiscal year or fiscal quarter of Borrower.</w:t>
      </w:r>
    </w:p>
    <w:p>
      <w:pPr>
        <w:spacing w:after="0" w:line="190" w:lineRule="exact"/>
        <w:rPr>
          <w:rFonts w:ascii="Arial" w:cs="Arial" w:eastAsia="Arial" w:hAnsi="Arial"/>
          <w:sz w:val="18"/>
          <w:szCs w:val="18"/>
          <w:color w:val="auto"/>
        </w:rPr>
      </w:pPr>
    </w:p>
    <w:p>
      <w:pPr>
        <w:jc w:val="both"/>
        <w:ind w:left="-8" w:firstLine="656"/>
        <w:spacing w:after="0" w:line="264" w:lineRule="auto"/>
        <w:tabs>
          <w:tab w:leader="none" w:pos="1047"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jc w:val="both"/>
        <w:ind w:left="-8" w:firstLine="656"/>
        <w:spacing w:after="0" w:line="297" w:lineRule="auto"/>
        <w:tabs>
          <w:tab w:leader="none" w:pos="1098" w:val="left"/>
        </w:tabs>
        <w:numPr>
          <w:ilvl w:val="1"/>
          <w:numId w:val="60"/>
        </w:numPr>
        <w:rPr>
          <w:rFonts w:ascii="Arial" w:cs="Arial" w:eastAsia="Arial" w:hAnsi="Arial"/>
          <w:sz w:val="16"/>
          <w:szCs w:val="16"/>
          <w:color w:val="auto"/>
        </w:rPr>
      </w:pPr>
      <w:r>
        <w:rPr>
          <w:rFonts w:ascii="Arial" w:cs="Arial" w:eastAsia="Arial" w:hAnsi="Arial"/>
          <w:sz w:val="16"/>
          <w:szCs w:val="16"/>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 and (ii) references to any Requirement of Law shall include all statutory and regulatory provisions consolidating, amending, replacing, supplementing or interpreting such Requirement of Law.</w:t>
      </w:r>
    </w:p>
    <w:p>
      <w:pPr>
        <w:spacing w:after="0" w:line="158" w:lineRule="exact"/>
        <w:rPr>
          <w:rFonts w:ascii="Arial" w:cs="Arial" w:eastAsia="Arial" w:hAnsi="Arial"/>
          <w:sz w:val="16"/>
          <w:szCs w:val="16"/>
          <w:color w:val="auto"/>
        </w:rPr>
      </w:pPr>
    </w:p>
    <w:p>
      <w:pPr>
        <w:jc w:val="both"/>
        <w:ind w:left="-8" w:firstLine="656"/>
        <w:spacing w:after="0" w:line="264" w:lineRule="auto"/>
        <w:tabs>
          <w:tab w:leader="none" w:pos="1033"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81" w:lineRule="exact"/>
        <w:rPr>
          <w:rFonts w:ascii="Arial" w:cs="Arial" w:eastAsia="Arial" w:hAnsi="Arial"/>
          <w:sz w:val="18"/>
          <w:szCs w:val="18"/>
          <w:color w:val="auto"/>
        </w:rPr>
      </w:pPr>
    </w:p>
    <w:p>
      <w:pPr>
        <w:jc w:val="both"/>
        <w:ind w:left="-8" w:firstLine="656"/>
        <w:spacing w:after="0" w:line="302" w:lineRule="auto"/>
        <w:tabs>
          <w:tab w:leader="none" w:pos="1000" w:val="left"/>
        </w:tabs>
        <w:numPr>
          <w:ilvl w:val="1"/>
          <w:numId w:val="60"/>
        </w:numPr>
        <w:rPr>
          <w:rFonts w:ascii="Arial" w:cs="Arial" w:eastAsia="Arial" w:hAnsi="Arial"/>
          <w:sz w:val="16"/>
          <w:szCs w:val="16"/>
          <w:color w:val="auto"/>
        </w:rPr>
      </w:pPr>
      <w:r>
        <w:rPr>
          <w:rFonts w:ascii="Arial" w:cs="Arial" w:eastAsia="Arial" w:hAnsi="Arial"/>
          <w:sz w:val="16"/>
          <w:szCs w:val="16"/>
          <w:color w:val="auto"/>
        </w:rPr>
        <w:t>For all purposes under the Credit Documents, in connection with any division or plan of division under Delaware law (or any comparable event under a different jurisdiction’s laws): (i) if any asset, right, obligation, or liability of any Person becomes the asset, right, obligation, or liability of a different Person, than it shall be deemed to have been transferred from the original Person to the subsequent Person, and (ii) if any new Person comes into existence, such new Person shall be deemed to have been organized on the first date of its existence by the holders of its Equity Interests at such time.</w:t>
      </w:r>
    </w:p>
    <w:p>
      <w:pPr>
        <w:spacing w:after="0" w:line="150"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Ratio Calculations; Negative Covenant Reclassification</w:t>
      </w:r>
      <w:r>
        <w:rPr>
          <w:rFonts w:ascii="Arial" w:cs="Arial" w:eastAsia="Arial" w:hAnsi="Arial"/>
          <w:sz w:val="16"/>
          <w:szCs w:val="16"/>
          <w:color w:val="auto"/>
        </w:rPr>
        <w:t>.</w:t>
      </w:r>
    </w:p>
    <w:p>
      <w:pPr>
        <w:spacing w:after="0" w:line="229" w:lineRule="exact"/>
        <w:rPr>
          <w:sz w:val="20"/>
          <w:szCs w:val="20"/>
          <w:color w:val="auto"/>
        </w:rPr>
      </w:pPr>
    </w:p>
    <w:p>
      <w:pPr>
        <w:jc w:val="both"/>
        <w:ind w:left="-8" w:firstLine="656"/>
        <w:spacing w:after="0" w:line="284" w:lineRule="auto"/>
        <w:tabs>
          <w:tab w:leader="none" w:pos="1047" w:val="left"/>
        </w:tabs>
        <w:numPr>
          <w:ilvl w:val="1"/>
          <w:numId w:val="61"/>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Agreement or any other Credit Document to the contrary, (i) unless specifically stated otherwise herein, any carve-out, basket, exclusion or exception to any affirmative, negative or other covenant in this Agreement or the other Credit Documents may be used together by any Credit Party without limitation for any purpose not prohibited hereby, and (ii) any action or event permitted by this Agreement or the other Credit Documents need not be permitted solely by reference to one provision permitting such action or event but may be permitted in part by one such provision and in part by one or more other provisions of this Agreement and the other Credit Documents. For purposes of determining compliance with Article X, in the event that any Lien, Investment, Indebtedness (whether at the time of incurrence or upon application of all or a portion of the proceeds thereof), Asset Sales, dispositions, Restricted Payment, Affiliate transaction or payment or prepayment of Indebtedness meets the criteria of one, or more than one, of the “baskets” or categories of transactions then permitted pursuant to any clause or subsection of (i)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(solely in the case of Indebtedness),</w:t>
      </w:r>
    </w:p>
    <w:p>
      <w:pPr>
        <w:spacing w:after="0" w:line="1" w:lineRule="exact"/>
        <w:rPr>
          <w:rFonts w:ascii="Arial" w:cs="Arial" w:eastAsia="Arial" w:hAnsi="Arial"/>
          <w:sz w:val="16"/>
          <w:szCs w:val="16"/>
          <w:color w:val="auto"/>
        </w:rPr>
      </w:pPr>
    </w:p>
    <w:p>
      <w:pPr>
        <w:jc w:val="both"/>
        <w:ind w:left="-8" w:firstLine="8"/>
        <w:spacing w:after="0" w:line="267" w:lineRule="auto"/>
        <w:tabs>
          <w:tab w:leader="none" w:pos="257"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Section 10.02</w:t>
      </w:r>
      <w:r>
        <w:rPr>
          <w:rFonts w:ascii="Arial" w:cs="Arial" w:eastAsia="Arial" w:hAnsi="Arial"/>
          <w:sz w:val="17"/>
          <w:szCs w:val="17"/>
          <w:color w:val="auto"/>
        </w:rPr>
        <w:t xml:space="preserve"> (solely in the case of Liens), (iii) </w:t>
      </w:r>
      <w:r>
        <w:rPr>
          <w:rFonts w:ascii="Arial" w:cs="Arial" w:eastAsia="Arial" w:hAnsi="Arial"/>
          <w:sz w:val="17"/>
          <w:szCs w:val="17"/>
          <w:u w:val="single" w:color="auto"/>
          <w:color w:val="auto"/>
        </w:rPr>
        <w:t>Section 10.04</w:t>
      </w:r>
      <w:r>
        <w:rPr>
          <w:rFonts w:ascii="Arial" w:cs="Arial" w:eastAsia="Arial" w:hAnsi="Arial"/>
          <w:sz w:val="17"/>
          <w:szCs w:val="17"/>
          <w:color w:val="auto"/>
        </w:rPr>
        <w:t xml:space="preserve"> (solely in the case of Investments), (iv)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(solely in the case of Asset Sales and other dispositions), (v) </w:t>
      </w:r>
      <w:r>
        <w:rPr>
          <w:rFonts w:ascii="Arial" w:cs="Arial" w:eastAsia="Arial" w:hAnsi="Arial"/>
          <w:sz w:val="17"/>
          <w:szCs w:val="17"/>
          <w:u w:val="single" w:color="auto"/>
          <w:color w:val="auto"/>
        </w:rPr>
        <w:t>Section 10.06</w:t>
      </w:r>
      <w:r>
        <w:rPr>
          <w:rFonts w:ascii="Arial" w:cs="Arial" w:eastAsia="Arial" w:hAnsi="Arial"/>
          <w:sz w:val="17"/>
          <w:szCs w:val="17"/>
          <w:color w:val="auto"/>
        </w:rPr>
        <w:t xml:space="preserve"> (solely in the case of Restricted Payments), (vi) </w:t>
      </w:r>
      <w:r>
        <w:rPr>
          <w:rFonts w:ascii="Arial" w:cs="Arial" w:eastAsia="Arial" w:hAnsi="Arial"/>
          <w:sz w:val="17"/>
          <w:szCs w:val="17"/>
          <w:u w:val="single" w:color="auto"/>
          <w:color w:val="auto"/>
        </w:rPr>
        <w:t>Section 10.07</w:t>
      </w:r>
      <w:r>
        <w:rPr>
          <w:rFonts w:ascii="Arial" w:cs="Arial" w:eastAsia="Arial" w:hAnsi="Arial"/>
          <w:sz w:val="17"/>
          <w:szCs w:val="17"/>
          <w:color w:val="auto"/>
        </w:rPr>
        <w:t xml:space="preserve"> (solely in the case of Affiliate transactions), or (vii) </w:t>
      </w:r>
      <w:r>
        <w:rPr>
          <w:rFonts w:ascii="Arial" w:cs="Arial" w:eastAsia="Arial" w:hAnsi="Arial"/>
          <w:sz w:val="17"/>
          <w:szCs w:val="17"/>
          <w:u w:val="single" w:color="auto"/>
          <w:color w:val="auto"/>
        </w:rPr>
        <w:t>Section 10.09</w:t>
      </w:r>
      <w:r>
        <w:rPr>
          <w:rFonts w:ascii="Arial" w:cs="Arial" w:eastAsia="Arial" w:hAnsi="Arial"/>
          <w:sz w:val="17"/>
          <w:szCs w:val="17"/>
          <w:color w:val="auto"/>
        </w:rPr>
        <w:t xml:space="preserve"> (solely in the case of payment or prepayment of Indebtedness), such transaction (or any portion thereof) at any time shall be permitted under one or more of such “baskets” or categories of such Section at the time of such transaction or any later time from time to time, in each case, as determined by Borrower in its sole discretion at such time and thereafter may be reclassified or divided (as if incurred at such later time) by Borrower in any manner not expressly prohibited by this Agreement, and such Lien, Investment, Indebtedness, Asset Sales, dispositions, Restricted Payment, Affiliate transaction or payment or prepayment of Indebtedness (or any portion thereof) shall be treated as having been incurred or existing pursuant to only such “basket” or category of transactions or “baskets” or categories of transactions (or any portion thereof) of such Section without giving pro forma effect to such item (or portion thereof) when calculating the amount of Liens, Investments, Indebtedness, Asset Sales, dispositions, Restricted Payments, Affiliate transactions or payments or prepayments of Indebtedness, as applicable, that may be incurred pursuant to any other “basket” or category of transactions of such Section. For the avoidance of doubt, this </w:t>
      </w:r>
      <w:r>
        <w:rPr>
          <w:rFonts w:ascii="Arial" w:cs="Arial" w:eastAsia="Arial" w:hAnsi="Arial"/>
          <w:sz w:val="17"/>
          <w:szCs w:val="17"/>
          <w:u w:val="single" w:color="auto"/>
          <w:color w:val="auto"/>
        </w:rPr>
        <w:t>Section 1.05(b)</w:t>
      </w:r>
      <w:r>
        <w:rPr>
          <w:rFonts w:ascii="Arial" w:cs="Arial" w:eastAsia="Arial" w:hAnsi="Arial"/>
          <w:sz w:val="17"/>
          <w:szCs w:val="17"/>
          <w:color w:val="auto"/>
        </w:rPr>
        <w:t xml:space="preserve"> shall only permit redesignation and reclassification of certain “baskets” or categories within the same Section of Article X.</w:t>
      </w:r>
    </w:p>
    <w:p>
      <w:pPr>
        <w:spacing w:after="0" w:line="181" w:lineRule="exact"/>
        <w:rPr>
          <w:sz w:val="20"/>
          <w:szCs w:val="20"/>
          <w:color w:val="auto"/>
        </w:rPr>
      </w:pPr>
    </w:p>
    <w:p>
      <w:pPr>
        <w:ind w:left="652"/>
        <w:spacing w:after="0"/>
        <w:tabs>
          <w:tab w:leader="none" w:pos="2032"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Pro Forma Calculations</w:t>
      </w:r>
      <w:r>
        <w:rPr>
          <w:rFonts w:ascii="Arial" w:cs="Arial" w:eastAsia="Arial" w:hAnsi="Arial"/>
          <w:sz w:val="16"/>
          <w:szCs w:val="16"/>
          <w:color w:val="auto"/>
        </w:rPr>
        <w:t>.</w:t>
      </w:r>
    </w:p>
    <w:p>
      <w:pPr>
        <w:spacing w:after="0" w:line="229" w:lineRule="exact"/>
        <w:rPr>
          <w:sz w:val="20"/>
          <w:szCs w:val="20"/>
          <w:color w:val="auto"/>
        </w:rPr>
      </w:pPr>
    </w:p>
    <w:p>
      <w:pPr>
        <w:ind w:left="-8" w:firstLine="656"/>
        <w:spacing w:after="0" w:line="308" w:lineRule="auto"/>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herein, Consolidated EBITDA, the Consolidated First Lien Secured Leverage Ratio, the Consolidated Secured Leverage Ratio and the Consolidated Total Leverage Ratio shall be calculated in the manner prescribed by this </w:t>
      </w:r>
      <w:r>
        <w:rPr>
          <w:rFonts w:ascii="Arial" w:cs="Arial" w:eastAsia="Arial" w:hAnsi="Arial"/>
          <w:sz w:val="17"/>
          <w:szCs w:val="17"/>
          <w:u w:val="single" w:color="auto"/>
          <w:color w:val="auto"/>
        </w:rPr>
        <w:t>Section 1.06</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jc w:val="both"/>
        <w:ind w:left="-8" w:firstLine="656"/>
        <w:spacing w:after="0" w:line="289" w:lineRule="auto"/>
        <w:tabs>
          <w:tab w:leader="none" w:pos="1071"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For purposes of calculating Consolidated EBITDA, the Consolidated First Lien Secured Leverage Ratio, the Consolidated Secured Leverage Ratio and the Consolidated Total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Credit Party or was merged, amalgamated, or consolidated with or into a Credit Party since the beginning of such Test Period shall have made any Specified Transaction that would have required adjustment pursuant to this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then Consolidated EBITDA and the Consolidated First Lien Secured Leverage Ratio, the Consolidated Secured Leverage Ratio and the Consolidated Total Leverage Ratio shall be calculated to give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thereto in accordance with this </w:t>
      </w:r>
      <w:r>
        <w:rPr>
          <w:rFonts w:ascii="Arial" w:cs="Arial" w:eastAsia="Arial" w:hAnsi="Arial"/>
          <w:sz w:val="16"/>
          <w:szCs w:val="16"/>
          <w:u w:val="single" w:color="auto"/>
          <w:color w:val="auto"/>
        </w:rPr>
        <w:t>Section 1.06</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jc w:val="both"/>
        <w:ind w:left="-8" w:firstLine="656"/>
        <w:spacing w:after="0" w:line="289" w:lineRule="auto"/>
        <w:tabs>
          <w:tab w:leader="none" w:pos="1047"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Whenever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 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aggregate amount of additions made to Consolidated EBITDA for any Test Period pursuant to this clause (c) and clause (c) of the definition of “Consolidated EBITDA” shall not (i) exceed 20.0% of Consolidated</w:t>
      </w:r>
    </w:p>
    <w:p>
      <w:pPr>
        <w:sectPr>
          <w:pgSz w:w="11900" w:h="16838" w:orient="portrait"/>
          <w:cols w:equalWidth="0" w:num="1">
            <w:col w:w="11412"/>
          </w:cols>
          <w:pgMar w:left="248" w:top="125" w:right="239" w:bottom="0" w:gutter="0" w:footer="0" w:header="0"/>
        </w:sectPr>
      </w:pPr>
    </w:p>
    <w:bookmarkStart w:id="87" w:name="page88"/>
    <w:bookmarkEnd w:id="87"/>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EBITDA for such Test Period (after giving effect to this clause (c) and clause (c) of the definition of “Consolidated EBITDA”) or (ii) be duplicative of one another.</w:t>
      </w:r>
    </w:p>
    <w:p>
      <w:pPr>
        <w:spacing w:after="0" w:line="170" w:lineRule="exact"/>
        <w:rPr>
          <w:sz w:val="20"/>
          <w:szCs w:val="20"/>
          <w:color w:val="auto"/>
        </w:rPr>
      </w:pPr>
    </w:p>
    <w:p>
      <w:pPr>
        <w:jc w:val="both"/>
        <w:ind w:firstLine="656"/>
        <w:spacing w:after="0" w:line="253" w:lineRule="auto"/>
        <w:tabs>
          <w:tab w:leader="none" w:pos="105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In the event that any Credit Party incurs (including by assumption or guarantees) or repays (including by redemption, repayment, prepayment, retirement, exchange or extinguishment) any Indebtedness included in the calculations of Consolidated EBITDA, the Consolidated First Lien Secured Leverage Ratio, the Consolidated Secured Leverage Ratio and the Consolidated Total Leverage Ratio, as the case may be (in each case, other than Indebtedness incurred or repaid under any revolving credit facility), (i) during the applicable Test Period and/or (ii) subsequent to the end of the applicable Test Period and prior to or simultaneously with the event for which the calculation of any such ratio is made, then Consolidated EBITDA, the Consolidated First Lien Secured Leverage Ratio, the Consolidated Secured Leverage Ratio and the Consolidated Total Leverage Ratio shall be calculated giving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to such incurrence or repayment of Indebtedness, to the extent required, as if the same had occurred on the last day of the applicable Test Period in the case of Consolidated EBITDA, the Consolidated First Lien Secured Leverage Ratio, the Consolidated Secured Leverage Ratio or the Consolidated Total Leverage Ratio.</w:t>
      </w:r>
    </w:p>
    <w:p>
      <w:pPr>
        <w:spacing w:after="0" w:line="193"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1.02. Limited Condition Transactions</w:t>
      </w:r>
      <w:r>
        <w:rPr>
          <w:rFonts w:ascii="Arial" w:cs="Arial" w:eastAsia="Arial" w:hAnsi="Arial"/>
          <w:sz w:val="16"/>
          <w:szCs w:val="16"/>
          <w:color w:val="auto"/>
        </w:rPr>
        <w:t>. For purposes of (i) determining compliance with any provision of this Agreement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Credit Document which requires the calculation of the Consolidated First Lien Secured Leverage Ratio, the Consolidated Secured Leverage Ratio and/or the Consolidated Total Leverage Ratio, (ii) determining compliance with representations, warranties, Defaults or Events of Default or (iii) testing availability under baskets set forth in this Agreement or any other Credit Document (including baskets measured as a percentage of Consolidated EBITDA), in each case, in connection with a Limited Condition Transaction (a “</w:t>
      </w:r>
      <w:r>
        <w:rPr>
          <w:rFonts w:ascii="Arial" w:cs="Arial" w:eastAsia="Arial" w:hAnsi="Arial"/>
          <w:sz w:val="16"/>
          <w:szCs w:val="16"/>
          <w:b w:val="1"/>
          <w:bCs w:val="1"/>
          <w:color w:val="auto"/>
        </w:rPr>
        <w:t>Limited Condition Transaction</w:t>
      </w:r>
      <w:r>
        <w:rPr>
          <w:rFonts w:ascii="Arial" w:cs="Arial" w:eastAsia="Arial" w:hAnsi="Arial"/>
          <w:sz w:val="16"/>
          <w:szCs w:val="16"/>
          <w:color w:val="auto"/>
        </w:rPr>
        <w:t>” shall be defined as (x) any Permitted Acquisition or other acquisition or Investment not prohibited hereunder (including repayment of Indebtedness of the Person acquired, or that is secured by the assets acquired, in such Permitted Acquisition or other acquisition) whose consummation is not conditioned upon the availability of, or on obtaining, third party financing, or (y) any unconditional repayment or redemption of, or irrevocable offer to purchase, any Indebtedness), at the option of Borrower (Borrower’s election to exercise such option in connection with any Limited Condition Transaction, an “</w:t>
      </w:r>
      <w:r>
        <w:rPr>
          <w:rFonts w:ascii="Arial" w:cs="Arial" w:eastAsia="Arial" w:hAnsi="Arial"/>
          <w:sz w:val="16"/>
          <w:szCs w:val="16"/>
          <w:b w:val="1"/>
          <w:bCs w:val="1"/>
          <w:color w:val="auto"/>
        </w:rPr>
        <w:t>LCT Election</w:t>
      </w:r>
      <w:r>
        <w:rPr>
          <w:rFonts w:ascii="Arial" w:cs="Arial" w:eastAsia="Arial" w:hAnsi="Arial"/>
          <w:sz w:val="16"/>
          <w:szCs w:val="16"/>
          <w:color w:val="auto"/>
        </w:rPr>
        <w:t>”), the date of determination of whether any such action is permitted under this Agreement and the other Credit Documents shall be deemed to be the date the definitive agreements for such Limited Condition Transaction are entered into (the “</w:t>
      </w:r>
      <w:r>
        <w:rPr>
          <w:rFonts w:ascii="Arial" w:cs="Arial" w:eastAsia="Arial" w:hAnsi="Arial"/>
          <w:sz w:val="16"/>
          <w:szCs w:val="16"/>
          <w:b w:val="1"/>
          <w:bCs w:val="1"/>
          <w:color w:val="auto"/>
        </w:rPr>
        <w:t>LCT Test Date</w:t>
      </w:r>
      <w:r>
        <w:rPr>
          <w:rFonts w:ascii="Arial" w:cs="Arial" w:eastAsia="Arial" w:hAnsi="Arial"/>
          <w:sz w:val="16"/>
          <w:szCs w:val="16"/>
          <w:color w:val="auto"/>
        </w:rPr>
        <w:t>”), and if, after giving effect on a Pro Forma Basis to the Limited Condition Transaction and the other transactions to be entered into in connection therewith as if they had occurred at the beginning of the most recent Test Period ending prior to the LCT Test Date, Borrower could have taken such action on the relevant LCT Test Date in compliance with such representation, warranty, ratio or basket, such representation, warranty, ratio or basket shall be deemed to have been complied with. For the avoidance of doubt, if Borrower has made an LCT Election and any of the ratios or baskets for which compliance was determined or tested as of the LCT Test Date are exceeded as a result of fluctuations in any such ratio or basket (including due to fluctuations in Consolidated EBITDA of Borrower or the Person subject to such Limited Condition Transaction) at or prior to the consummation of the relevant transaction or action, such baskets or ratios will not be deemed to have been exceeded as a result of such fluctuations. If Borrower has made an LCT Election for any Limited Condition Transaction, then in connection with any subsequent calculation of ratios or baskets on or following the relevant LCT Test Date and prior to the earlier of (i) the date on which such Limited Condition Transaction is consummated or (ii) the date that the definitive agreement for such Limited Condition Transaction is terminated or expires without consummation of such Limited Condition Transaction, any such ratio or basket shall be calculated (a) on a Pro Forma Basis assuming such Limited Condition Transaction and other transactions in connection therewith (including any incurrence of Indebtedness and the use of proceeds thereof) have been consummated and (b) in the case of any such ratio or basket related to Restricted Payments or prepayments of Other Junior Indebtedness, without giving effect to such Limited Condition Transaction and other transactions in connection therewith. Notwithstanding the foregoing, the amount of any Indebtedness that may be incurred based on compliance with the Consolidated First Lien Secured Leverage Ratio, the Consolidated Secured Leverage Ratio and/or the Consolidated Total Leverage Ratio, determined at the time of signing of definitive documentation with respect to, or giving of notice with respect to, a Limited Condition Transaction may be recalculated, at the option of Borrower, at the time of funding.</w:t>
      </w:r>
    </w:p>
    <w:p>
      <w:pPr>
        <w:spacing w:after="0" w:line="17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Loans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6" w:lineRule="auto"/>
        <w:tabs>
          <w:tab w:leader="none" w:pos="102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Commitments and Loans</w:t>
      </w:r>
      <w:r>
        <w:rPr>
          <w:rFonts w:ascii="Arial" w:cs="Arial" w:eastAsia="Arial" w:hAnsi="Arial"/>
          <w:sz w:val="18"/>
          <w:szCs w:val="18"/>
          <w:color w:val="auto"/>
        </w:rPr>
        <w:t>. Each Lender with a Term Facility Commitment agrees, severally and not jointly, on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make Term Facility Loans to Borrower in Dollars on the Closing Date, in an aggregate principal amount at any one time outstanding not exceeding the amount of the Term Facility Commitment of such Lender as in effect from time to time.</w:t>
      </w:r>
    </w:p>
    <w:p>
      <w:pPr>
        <w:spacing w:after="0" w:line="176" w:lineRule="exact"/>
        <w:rPr>
          <w:rFonts w:ascii="Arial" w:cs="Arial" w:eastAsia="Arial" w:hAnsi="Arial"/>
          <w:sz w:val="18"/>
          <w:szCs w:val="18"/>
          <w:color w:val="auto"/>
        </w:rPr>
      </w:pPr>
    </w:p>
    <w:p>
      <w:pPr>
        <w:ind w:right="20" w:firstLine="656"/>
        <w:spacing w:after="0" w:line="282" w:lineRule="auto"/>
        <w:tabs>
          <w:tab w:leader="none" w:pos="1038"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LIBOR Loans</w:t>
      </w:r>
      <w:r>
        <w:rPr>
          <w:rFonts w:ascii="Arial" w:cs="Arial" w:eastAsia="Arial" w:hAnsi="Arial"/>
          <w:sz w:val="18"/>
          <w:szCs w:val="18"/>
          <w:color w:val="auto"/>
        </w:rPr>
        <w:t>. No more than five (5) separate Interest Periods in respect of LIBOR Loans may be outstanding at any one time in the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under all of the facilities.</w:t>
      </w:r>
    </w:p>
    <w:p>
      <w:pPr>
        <w:spacing w:after="0" w:line="16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SECTION 2.02. Borrowings</w:t>
      </w:r>
      <w:r>
        <w:rPr>
          <w:rFonts w:ascii="Arial" w:cs="Arial" w:eastAsia="Arial" w:hAnsi="Arial"/>
          <w:sz w:val="16"/>
          <w:szCs w:val="16"/>
          <w:color w:val="auto"/>
        </w:rPr>
        <w:t>. Borrower shall give Administrative Agent notice of each borrowing hereunder as provided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4.05</w:t>
      </w:r>
      <w:r>
        <w:rPr>
          <w:rFonts w:ascii="Arial" w:cs="Arial" w:eastAsia="Arial" w:hAnsi="Arial"/>
          <w:sz w:val="16"/>
          <w:szCs w:val="16"/>
          <w:b w:val="1"/>
          <w:bCs w:val="1"/>
          <w:color w:val="auto"/>
        </w:rPr>
        <w:t xml:space="preserve"> </w:t>
      </w:r>
      <w:r>
        <w:rPr>
          <w:rFonts w:ascii="Arial" w:cs="Arial" w:eastAsia="Arial" w:hAnsi="Arial"/>
          <w:sz w:val="16"/>
          <w:szCs w:val="16"/>
          <w:color w:val="auto"/>
        </w:rPr>
        <w:t>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a Notice of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w:t>
      </w:r>
      <w:r>
        <w:rPr>
          <w:rFonts w:ascii="Arial" w:cs="Arial" w:eastAsia="Arial" w:hAnsi="Arial"/>
          <w:sz w:val="16"/>
          <w:szCs w:val="16"/>
          <w:u w:val="single" w:color="auto"/>
          <w:color w:val="auto"/>
        </w:rPr>
        <w:t>Section 4.05</w:t>
      </w:r>
      <w:r>
        <w:rPr>
          <w:rFonts w:ascii="Arial" w:cs="Arial" w:eastAsia="Arial" w:hAnsi="Arial"/>
          <w:sz w:val="16"/>
          <w:szCs w:val="16"/>
          <w:color w:val="auto"/>
        </w:rPr>
        <w:t xml:space="preserve">, each Lender shall make available the amount of the Term Facility Loan or Term Facility Loans to be made by it on such date to Administrative Agent, at an account specified by Administrative Agent maintained at the Principal Office, in immediately available funds, for the account of Borrower. Each borrowing of Loans shall be made by each Lender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based on its applicable T/C Percentage. The amounts so received by Administrative Agent shall, subject to the terms and conditions of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6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176" w:val="left"/>
        </w:tabs>
        <w:numPr>
          <w:ilvl w:val="1"/>
          <w:numId w:val="66"/>
        </w:numPr>
        <w:rPr>
          <w:rFonts w:ascii="Arial" w:cs="Arial" w:eastAsia="Arial" w:hAnsi="Arial"/>
          <w:sz w:val="17"/>
          <w:szCs w:val="17"/>
          <w:color w:val="auto"/>
        </w:rPr>
      </w:pPr>
      <w:r>
        <w:rPr>
          <w:rFonts w:ascii="Arial" w:cs="Arial" w:eastAsia="Arial" w:hAnsi="Arial"/>
          <w:sz w:val="17"/>
          <w:szCs w:val="17"/>
          <w:color w:val="auto"/>
        </w:rPr>
        <w:t xml:space="preserve">In addition to any other mandatory commitment reductions pursuant to this </w:t>
      </w:r>
      <w:r>
        <w:rPr>
          <w:rFonts w:ascii="Arial" w:cs="Arial" w:eastAsia="Arial" w:hAnsi="Arial"/>
          <w:sz w:val="17"/>
          <w:szCs w:val="17"/>
          <w:u w:val="single" w:color="auto"/>
          <w:color w:val="auto"/>
        </w:rPr>
        <w:t>Section 2.04</w:t>
      </w:r>
      <w:r>
        <w:rPr>
          <w:rFonts w:ascii="Arial" w:cs="Arial" w:eastAsia="Arial" w:hAnsi="Arial"/>
          <w:sz w:val="17"/>
          <w:szCs w:val="17"/>
          <w:color w:val="auto"/>
        </w:rPr>
        <w:t>, the aggregate amount of the Term Facility Commitments shall be automatically and permanently reduced by the amount of Term Facility Loans made in respect thereof on the Closing Date. Notwithstanding any other provision of this Agreement, any outstanding Term Facility Commitments shall automatically terminate upon the earlier of</w:t>
      </w:r>
    </w:p>
    <w:p>
      <w:pPr>
        <w:ind w:left="260" w:hanging="252"/>
        <w:spacing w:after="0"/>
        <w:tabs>
          <w:tab w:leader="none" w:pos="2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such Term Facility Commitments being fully funded pursuant to </w:t>
      </w:r>
      <w:r>
        <w:rPr>
          <w:rFonts w:ascii="Arial" w:cs="Arial" w:eastAsia="Arial" w:hAnsi="Arial"/>
          <w:sz w:val="17"/>
          <w:szCs w:val="17"/>
          <w:u w:val="single" w:color="auto"/>
          <w:color w:val="auto"/>
        </w:rPr>
        <w:t>Section 2.01(a)</w:t>
      </w:r>
      <w:r>
        <w:rPr>
          <w:rFonts w:ascii="Arial" w:cs="Arial" w:eastAsia="Arial" w:hAnsi="Arial"/>
          <w:sz w:val="17"/>
          <w:szCs w:val="17"/>
          <w:color w:val="auto"/>
        </w:rPr>
        <w:t xml:space="preserve"> and (y) at 5:00 p.m., New York City time, on the Closing Date.</w:t>
      </w:r>
    </w:p>
    <w:p>
      <w:pPr>
        <w:spacing w:after="0" w:line="222" w:lineRule="exact"/>
        <w:rPr>
          <w:rFonts w:ascii="Arial" w:cs="Arial" w:eastAsia="Arial" w:hAnsi="Arial"/>
          <w:sz w:val="17"/>
          <w:szCs w:val="17"/>
          <w:color w:val="auto"/>
        </w:rPr>
      </w:pPr>
    </w:p>
    <w:p>
      <w:pPr>
        <w:ind w:firstLine="656"/>
        <w:spacing w:after="0" w:line="342" w:lineRule="auto"/>
        <w:tabs>
          <w:tab w:leader="none" w:pos="1052" w:val="left"/>
        </w:tabs>
        <w:numPr>
          <w:ilvl w:val="1"/>
          <w:numId w:val="67"/>
        </w:numPr>
        <w:rPr>
          <w:rFonts w:ascii="Arial" w:cs="Arial" w:eastAsia="Arial" w:hAnsi="Arial"/>
          <w:sz w:val="16"/>
          <w:szCs w:val="16"/>
          <w:color w:val="auto"/>
        </w:rPr>
      </w:pPr>
      <w:r>
        <w:rPr>
          <w:rFonts w:ascii="Arial" w:cs="Arial" w:eastAsia="Arial" w:hAnsi="Arial"/>
          <w:sz w:val="16"/>
          <w:szCs w:val="16"/>
          <w:color w:val="auto"/>
        </w:rPr>
        <w:t xml:space="preserve">In addition to any other mandatory commitment reductions pursuant to this </w:t>
      </w:r>
      <w:r>
        <w:rPr>
          <w:rFonts w:ascii="Arial" w:cs="Arial" w:eastAsia="Arial" w:hAnsi="Arial"/>
          <w:sz w:val="16"/>
          <w:szCs w:val="16"/>
          <w:u w:val="single" w:color="auto"/>
          <w:color w:val="auto"/>
        </w:rPr>
        <w:t>Section 2.04</w:t>
      </w:r>
      <w:r>
        <w:rPr>
          <w:rFonts w:ascii="Arial" w:cs="Arial" w:eastAsia="Arial" w:hAnsi="Arial"/>
          <w:sz w:val="16"/>
          <w:szCs w:val="16"/>
          <w:color w:val="auto"/>
        </w:rPr>
        <w:t>, the aggregate amount of any Incremental Term Loan Commitments shall be automatically and permanently reduced by the amount of Incremental Term Loans made in respect hereof from time to time.</w:t>
      </w:r>
    </w:p>
    <w:p>
      <w:pPr>
        <w:sectPr>
          <w:pgSz w:w="11900" w:h="16840" w:orient="portrait"/>
          <w:cols w:equalWidth="0" w:num="1">
            <w:col w:w="11420"/>
          </w:cols>
          <w:pgMar w:left="240" w:top="125" w:right="239" w:bottom="0" w:gutter="0" w:footer="0" w:header="0"/>
        </w:sectPr>
      </w:pPr>
    </w:p>
    <w:bookmarkStart w:id="88" w:name="page89"/>
    <w:bookmarkEnd w:id="88"/>
    <w:p>
      <w:pPr>
        <w:ind w:left="1040" w:hanging="384"/>
        <w:spacing w:after="0"/>
        <w:tabs>
          <w:tab w:leader="none" w:pos="10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656"/>
        <w:spacing w:after="0" w:line="277" w:lineRule="auto"/>
        <w:tabs>
          <w:tab w:leader="none" w:pos="1038"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Each reduction or termination of any of the Commitments pursuant to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shall be applied ratably among the Lenders with such a Commitment, as the case may be, in accordance with their respective Commitment, as applicable.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ind w:firstLine="656"/>
        <w:spacing w:after="0" w:line="277" w:lineRule="auto"/>
        <w:tabs>
          <w:tab w:leader="none" w:pos="117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shall pay to Administrative Agent for its own account the administrative fee separately agreed to by the Borrower and the Administrative Agent.</w:t>
      </w:r>
    </w:p>
    <w:p>
      <w:pPr>
        <w:spacing w:after="0" w:line="170" w:lineRule="exact"/>
        <w:rPr>
          <w:rFonts w:ascii="Arial" w:cs="Arial" w:eastAsia="Arial" w:hAnsi="Arial"/>
          <w:sz w:val="18"/>
          <w:szCs w:val="18"/>
          <w:color w:val="auto"/>
        </w:rPr>
      </w:pPr>
    </w:p>
    <w:p>
      <w:pPr>
        <w:ind w:firstLine="656"/>
        <w:spacing w:after="0" w:line="277" w:lineRule="auto"/>
        <w:tabs>
          <w:tab w:leader="none" w:pos="11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shall pay to Auction Manager for its own account, in connection with any Borrower Loan Purchase, such fees as may be agreed between Borrower and Auction Manager.</w:t>
      </w:r>
    </w:p>
    <w:p>
      <w:pPr>
        <w:spacing w:after="0" w:line="170" w:lineRule="exact"/>
        <w:rPr>
          <w:rFonts w:ascii="Arial" w:cs="Arial" w:eastAsia="Arial" w:hAnsi="Arial"/>
          <w:sz w:val="18"/>
          <w:szCs w:val="18"/>
          <w:color w:val="auto"/>
        </w:rPr>
      </w:pPr>
    </w:p>
    <w:p>
      <w:pPr>
        <w:ind w:firstLine="656"/>
        <w:spacing w:after="0" w:line="277" w:lineRule="auto"/>
        <w:tabs>
          <w:tab w:leader="none" w:pos="10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Borrower shall pay to the Lenders an upfront fee (which may take the form of original issue discount) equal to 0.25% of the aggregate principal amount of the Term Facility Commitment provided by such Lender on the Closing Date.</w:t>
      </w:r>
    </w:p>
    <w:p>
      <w:pPr>
        <w:spacing w:after="0" w:line="170" w:lineRule="exact"/>
        <w:rPr>
          <w:rFonts w:ascii="Arial" w:cs="Arial" w:eastAsia="Arial" w:hAnsi="Arial"/>
          <w:sz w:val="18"/>
          <w:szCs w:val="18"/>
          <w:color w:val="auto"/>
        </w:rPr>
      </w:pPr>
    </w:p>
    <w:p>
      <w:pPr>
        <w:jc w:val="both"/>
        <w:ind w:firstLine="656"/>
        <w:spacing w:after="0" w:line="297" w:lineRule="auto"/>
        <w:tabs>
          <w:tab w:leader="none" w:pos="1038"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At the time of the effectiveness of a Repricing Transaction on or prior to the date that is six (6) months after the Closing Date, Borrower agrees to pay to Administrative Agent, for the ratable account of each Lender with outstanding Term Facility Loans (including each Lender that withholds its consent to such Repricing Transaction and is replaced or is removed as a Lender or is repaid under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13.04(b)</w:t>
      </w:r>
      <w:r>
        <w:rPr>
          <w:rFonts w:ascii="Arial" w:cs="Arial" w:eastAsia="Arial" w:hAnsi="Arial"/>
          <w:sz w:val="16"/>
          <w:szCs w:val="16"/>
          <w:color w:val="auto"/>
        </w:rPr>
        <w:t>, as the case may be), a fee in an amount equal to 1.0% of the aggregate principal amount of Term Facility Loans that are refinanced, converted, replaced, amended, modified or otherwise repriced in such Repricing Transaction. Such fee shall be due and payable upon the date of the effectiveness of such Repricing Transaction.</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Lending Office for Loans of such Type. Each Lender may, at its option but subject to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in any manner the obligation of Borrower to repay such Loan in accordance with the terms of this Agreement.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9" w:lineRule="auto"/>
        <w:tabs>
          <w:tab w:leader="none" w:pos="1041" w:val="left"/>
        </w:tabs>
        <w:numPr>
          <w:ilvl w:val="0"/>
          <w:numId w:val="70"/>
        </w:numPr>
        <w:rPr>
          <w:rFonts w:ascii="Arial" w:cs="Arial" w:eastAsia="Arial" w:hAnsi="Arial"/>
          <w:sz w:val="17"/>
          <w:szCs w:val="17"/>
          <w:color w:val="auto"/>
        </w:rPr>
      </w:pPr>
      <w:r>
        <w:rPr>
          <w:rFonts w:ascii="Arial" w:cs="Arial" w:eastAsia="Arial" w:hAnsi="Arial"/>
          <w:sz w:val="17"/>
          <w:szCs w:val="17"/>
          <w:color w:val="auto"/>
        </w:rPr>
        <w:t xml:space="preserve">At the request of any Lender, its Term Facility Loans shall be evidenced by a promissory note, payable to such Lender or its registered assigns and otherwise duly completed, substantially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of such Lender’s Loans, and in the case of any New Term Loans, such form of promissory note provided pursuant to the applicable Incremental Joinder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promissory notes issued in respect of Other Term Loans or Extended Term Loans shall be in such form as mutually agreed by Borrower and Administrative Agent.</w:t>
      </w:r>
    </w:p>
    <w:p>
      <w:pPr>
        <w:spacing w:after="0" w:line="171" w:lineRule="exact"/>
        <w:rPr>
          <w:rFonts w:ascii="Arial" w:cs="Arial" w:eastAsia="Arial" w:hAnsi="Arial"/>
          <w:sz w:val="17"/>
          <w:szCs w:val="17"/>
          <w:color w:val="auto"/>
        </w:rPr>
      </w:pPr>
    </w:p>
    <w:p>
      <w:pPr>
        <w:jc w:val="both"/>
        <w:ind w:firstLine="656"/>
        <w:spacing w:after="0" w:line="297" w:lineRule="auto"/>
        <w:tabs>
          <w:tab w:leader="none" w:pos="1092"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656"/>
        <w:spacing w:after="0" w:line="289" w:lineRule="auto"/>
        <w:tabs>
          <w:tab w:leader="none" w:pos="1082" w:val="left"/>
        </w:tabs>
        <w:numPr>
          <w:ilvl w:val="0"/>
          <w:numId w:val="70"/>
        </w:numPr>
        <w:rPr>
          <w:rFonts w:ascii="Arial" w:cs="Arial" w:eastAsia="Arial" w:hAnsi="Arial"/>
          <w:sz w:val="16"/>
          <w:szCs w:val="16"/>
          <w:color w:val="auto"/>
        </w:rPr>
      </w:pPr>
      <w:r>
        <w:rPr>
          <w:rFonts w:ascii="Arial" w:cs="Arial" w:eastAsia="Arial" w:hAnsi="Arial"/>
          <w:sz w:val="16"/>
          <w:szCs w:val="16"/>
          <w:color w:val="auto"/>
        </w:rPr>
        <w:t xml:space="preserve">Borrower hereby designates Administrative Agent to serve as its nonfiduciary agent, solely for purposes of this </w:t>
      </w:r>
      <w:r>
        <w:rPr>
          <w:rFonts w:ascii="Arial" w:cs="Arial" w:eastAsia="Arial" w:hAnsi="Arial"/>
          <w:sz w:val="16"/>
          <w:szCs w:val="16"/>
          <w:u w:val="single" w:color="auto"/>
          <w:color w:val="auto"/>
        </w:rPr>
        <w:t>Section 2.08</w:t>
      </w:r>
      <w:r>
        <w:rPr>
          <w:rFonts w:ascii="Arial" w:cs="Arial" w:eastAsia="Arial" w:hAnsi="Arial"/>
          <w:sz w:val="16"/>
          <w:szCs w:val="16"/>
          <w:color w:val="auto"/>
        </w:rPr>
        <w:t>, to maintain a register (the “</w:t>
      </w:r>
      <w:r>
        <w:rPr>
          <w:rFonts w:ascii="Arial" w:cs="Arial" w:eastAsia="Arial" w:hAnsi="Arial"/>
          <w:sz w:val="16"/>
          <w:szCs w:val="16"/>
          <w:b w:val="1"/>
          <w:bCs w:val="1"/>
          <w:color w:val="auto"/>
        </w:rPr>
        <w:t>Register</w:t>
      </w:r>
      <w:r>
        <w:rPr>
          <w:rFonts w:ascii="Arial" w:cs="Arial" w:eastAsia="Arial" w:hAnsi="Arial"/>
          <w:sz w:val="16"/>
          <w:szCs w:val="16"/>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(solely with respect to such Lender’s Loans) at any reasonable time and from time to time upon reasonable prior notice. No assignment shall be effective unless recorded in the Register;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Administrative Agent agrees to record in the Register any assignment entered into pursuant to the term hereof promptly after the effectiveness of such assignment.</w:t>
      </w:r>
    </w:p>
    <w:p>
      <w:pPr>
        <w:spacing w:after="0" w:line="1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041"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4.04</w:t>
      </w:r>
      <w:r>
        <w:rPr>
          <w:rFonts w:ascii="Arial" w:cs="Arial" w:eastAsia="Arial" w:hAnsi="Arial"/>
          <w:sz w:val="17"/>
          <w:szCs w:val="17"/>
          <w:color w:val="auto"/>
        </w:rPr>
        <w:t xml:space="preserve">, Borrower shall have the right to prepay Loans (without premium or penalty, except as provided in </w:t>
      </w:r>
      <w:r>
        <w:rPr>
          <w:rFonts w:ascii="Arial" w:cs="Arial" w:eastAsia="Arial" w:hAnsi="Arial"/>
          <w:sz w:val="17"/>
          <w:szCs w:val="17"/>
          <w:u w:val="single" w:color="auto"/>
          <w:color w:val="auto"/>
        </w:rPr>
        <w:t>Section 2.09(b)</w:t>
      </w:r>
      <w:r>
        <w:rPr>
          <w:rFonts w:ascii="Arial" w:cs="Arial" w:eastAsia="Arial" w:hAnsi="Arial"/>
          <w:sz w:val="17"/>
          <w:szCs w:val="17"/>
          <w:color w:val="auto"/>
        </w:rPr>
        <w:t xml:space="preserve">), or to convert Loans of one Type into Loans of another Type or to continue Loans of one Type as Loans of the same Type, at any time or from time to time. Borrower shall give Administrative Agent notice of each such prepayment, conversion or continuation as provided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If LIBOR Loans are prepaid or converted other than on the last day of an Interest Period therefor, Borrower shall at such time pay all expenses and costs required by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Notwithstanding the foregoing, and without limiting the rights and remedies of the Lenders under </w:t>
      </w:r>
      <w:r>
        <w:rPr>
          <w:rFonts w:ascii="Arial" w:cs="Arial" w:eastAsia="Arial" w:hAnsi="Arial"/>
          <w:sz w:val="17"/>
          <w:szCs w:val="17"/>
          <w:u w:val="single" w:color="auto"/>
          <w:color w:val="auto"/>
        </w:rPr>
        <w:t>Article XI</w:t>
      </w:r>
      <w:r>
        <w:rPr>
          <w:rFonts w:ascii="Arial" w:cs="Arial" w:eastAsia="Arial" w:hAnsi="Arial"/>
          <w:sz w:val="17"/>
          <w:szCs w:val="17"/>
          <w:color w:val="auto"/>
        </w:rPr>
        <w:t>,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5"/>
        <w:spacing w:after="0" w:line="277" w:lineRule="auto"/>
        <w:tabs>
          <w:tab w:leader="none" w:pos="1766"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The amount of any optional prepayments described in </w:t>
      </w:r>
      <w:r>
        <w:rPr>
          <w:rFonts w:ascii="Arial" w:cs="Arial" w:eastAsia="Arial" w:hAnsi="Arial"/>
          <w:sz w:val="18"/>
          <w:szCs w:val="18"/>
          <w:u w:val="single" w:color="auto"/>
          <w:color w:val="auto"/>
        </w:rPr>
        <w:t>Section 2.09(a)</w:t>
      </w:r>
      <w:r>
        <w:rPr>
          <w:rFonts w:ascii="Arial" w:cs="Arial" w:eastAsia="Arial" w:hAnsi="Arial"/>
          <w:sz w:val="18"/>
          <w:szCs w:val="18"/>
          <w:color w:val="auto"/>
        </w:rPr>
        <w:t xml:space="preserve"> shall be applied to prepay Loans outstanding in order of amortization, in amounts and to Tranches, all as determined by Borrower.</w:t>
      </w:r>
    </w:p>
    <w:p>
      <w:pPr>
        <w:sectPr>
          <w:pgSz w:w="11900" w:h="16838" w:orient="portrait"/>
          <w:cols w:equalWidth="0" w:num="1">
            <w:col w:w="11420"/>
          </w:cols>
          <w:pgMar w:left="240" w:top="193" w:right="239" w:bottom="45" w:gutter="0" w:footer="0" w:header="0"/>
        </w:sectPr>
      </w:pPr>
    </w:p>
    <w:bookmarkStart w:id="89" w:name="page90"/>
    <w:bookmarkEnd w:id="89"/>
    <w:p>
      <w:pPr>
        <w:spacing w:after="0" w:line="2" w:lineRule="exact"/>
        <w:rPr>
          <w:sz w:val="20"/>
          <w:szCs w:val="20"/>
          <w:color w:val="auto"/>
        </w:rPr>
      </w:pPr>
    </w:p>
    <w:p>
      <w:pPr>
        <w:jc w:val="both"/>
        <w:ind w:left="4" w:firstLine="645"/>
        <w:spacing w:after="0" w:line="284" w:lineRule="auto"/>
        <w:tabs>
          <w:tab w:leader="none" w:pos="105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addition to the foregoing,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Consolidated First Lien Secured Leverage Ratio is less than 4.00 to 1.00 on a Pro Forma Basis (calculated assuming all amounts offered pursuant to this clause (b)(ii) were accepted as prepayment for the Loans and applied thereto) as of the most recent Calculation Date, Borrower shall have the right to elect to offer to prepay at par the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Facility Loans, the Extended Term Loans, Incremental Term Loans and the Other Term Loans then outstanding, and apply any amounts rejected for such prepayment to repurchase, prepay, redeem, retire, acquire, defease or cancel Indebtedness or make Restricted Payments notwithstanding any then applicable limitations set forth in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10.06</w:t>
      </w:r>
      <w:r>
        <w:rPr>
          <w:rFonts w:ascii="Arial" w:cs="Arial" w:eastAsia="Arial" w:hAnsi="Arial"/>
          <w:sz w:val="16"/>
          <w:szCs w:val="16"/>
          <w:color w:val="auto"/>
        </w:rPr>
        <w:t xml:space="preserve">, respectively. If Borrower makes such an election, it shall provide notice thereof to Administrative Agent, who shall promptly, and in any event within one Business Day of receipt, provide such notice to the holders of the Term Facility Loans. Any such notice shall specify the aggregate amount offered to prepay the Term Facility Loans. Each holder of a Term Facility Loan, an Other Term Loan, an Incremental Term Loan or an Extended Term Loan may elect, in its sole discretion, to reject such prepayment offer with respect to an amount equal to or less than (w)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Incremental Term Loans, an amount equal to the aggregate amount so offered to prepay Incremental Term Loans times a fraction, the numerator of which is the principal amount of Incremental Term Loans owed to such older and the denominator of which is the principal amount of Incremental Term Loans outstanding, (y) with respect to holders of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(z)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Facility Loans held by the applicable holders within ten Business Days of the date of receipt of the offer to prepay. Any portion of such prepayment rejected may be used by the Credit Parties to repurchase, prepay, redeem, retire, acquire, defease or cancel Indebtedness or make Restricted Payments notwithstanding any then applicable limitations set forth in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10.06</w:t>
      </w:r>
      <w:r>
        <w:rPr>
          <w:rFonts w:ascii="Arial" w:cs="Arial" w:eastAsia="Arial" w:hAnsi="Arial"/>
          <w:sz w:val="16"/>
          <w:szCs w:val="16"/>
          <w:color w:val="auto"/>
        </w:rPr>
        <w:t>, respectively.</w:t>
      </w:r>
    </w:p>
    <w:p>
      <w:pPr>
        <w:spacing w:after="0" w:line="176" w:lineRule="exact"/>
        <w:rPr>
          <w:rFonts w:ascii="Arial" w:cs="Arial" w:eastAsia="Arial" w:hAnsi="Arial"/>
          <w:sz w:val="16"/>
          <w:szCs w:val="16"/>
          <w:color w:val="auto"/>
        </w:rPr>
      </w:pPr>
    </w:p>
    <w:p>
      <w:pPr>
        <w:ind w:left="4" w:firstLine="645"/>
        <w:spacing w:after="0" w:line="277" w:lineRule="auto"/>
        <w:tabs>
          <w:tab w:leader="none" w:pos="1143"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Any prepayment of Term Facility Loans pursuant to this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13.04(b)</w:t>
      </w:r>
      <w:r>
        <w:rPr>
          <w:rFonts w:ascii="Arial" w:cs="Arial" w:eastAsia="Arial" w:hAnsi="Arial"/>
          <w:sz w:val="18"/>
          <w:szCs w:val="18"/>
          <w:color w:val="auto"/>
        </w:rPr>
        <w:t xml:space="preserve"> made prior to the date that is six months after the Closing Date in connection with any Repricing Transaction shall be subject to the fee described in </w:t>
      </w:r>
      <w:r>
        <w:rPr>
          <w:rFonts w:ascii="Arial" w:cs="Arial" w:eastAsia="Arial" w:hAnsi="Arial"/>
          <w:sz w:val="18"/>
          <w:szCs w:val="18"/>
          <w:u w:val="single" w:color="auto"/>
          <w:color w:val="auto"/>
        </w:rPr>
        <w:t>Section 2.05(d)</w:t>
      </w:r>
      <w:r>
        <w:rPr>
          <w:rFonts w:ascii="Arial" w:cs="Arial" w:eastAsia="Arial" w:hAnsi="Arial"/>
          <w:sz w:val="18"/>
          <w:szCs w:val="18"/>
          <w:color w:val="auto"/>
        </w:rPr>
        <w:t>.</w:t>
      </w:r>
    </w:p>
    <w:p>
      <w:pPr>
        <w:spacing w:after="0" w:line="166" w:lineRule="exact"/>
        <w:rPr>
          <w:sz w:val="20"/>
          <w:szCs w:val="20"/>
          <w:color w:val="auto"/>
        </w:rPr>
      </w:pPr>
    </w:p>
    <w:p>
      <w:pPr>
        <w:ind w:left="4"/>
        <w:spacing w:after="0"/>
        <w:tabs>
          <w:tab w:leader="none" w:pos="1383"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left="-656" w:right="20" w:firstLine="656"/>
        <w:spacing w:after="0" w:line="277" w:lineRule="auto"/>
        <w:tabs>
          <w:tab w:leader="none" w:pos="385"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Borrower shall prepay the Loans as follows (each such prepayment to be effected in each case in the manner, order and to the extent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below):</w:t>
      </w:r>
    </w:p>
    <w:p>
      <w:pPr>
        <w:spacing w:after="0" w:line="166" w:lineRule="exact"/>
        <w:rPr>
          <w:rFonts w:ascii="Arial" w:cs="Arial" w:eastAsia="Arial" w:hAnsi="Arial"/>
          <w:sz w:val="18"/>
          <w:szCs w:val="18"/>
          <w:color w:val="auto"/>
        </w:rPr>
      </w:pPr>
    </w:p>
    <w:p>
      <w:pPr>
        <w:jc w:val="both"/>
        <w:ind w:left="4" w:firstLine="645"/>
        <w:spacing w:after="0" w:line="261" w:lineRule="auto"/>
        <w:tabs>
          <w:tab w:leader="none" w:pos="1016" w:val="left"/>
        </w:tabs>
        <w:numPr>
          <w:ilvl w:val="1"/>
          <w:numId w:val="73"/>
        </w:numPr>
        <w:rPr>
          <w:rFonts w:ascii="Arial" w:cs="Arial" w:eastAsia="Arial" w:hAnsi="Arial"/>
          <w:sz w:val="18"/>
          <w:szCs w:val="18"/>
          <w:color w:val="auto"/>
        </w:rPr>
      </w:pPr>
      <w:r>
        <w:rPr>
          <w:rFonts w:ascii="Arial" w:cs="Arial" w:eastAsia="Arial" w:hAnsi="Arial"/>
          <w:sz w:val="18"/>
          <w:szCs w:val="18"/>
          <w:b w:val="1"/>
          <w:bCs w:val="1"/>
          <w:color w:val="auto"/>
        </w:rPr>
        <w:t>Casualty Events</w:t>
      </w:r>
      <w:r>
        <w:rPr>
          <w:rFonts w:ascii="Arial" w:cs="Arial" w:eastAsia="Arial" w:hAnsi="Arial"/>
          <w:sz w:val="18"/>
          <w:szCs w:val="18"/>
          <w:color w:val="auto"/>
        </w:rPr>
        <w:t>. Within five (5) Business Days after any Credit Party receives any Net Available Proceeds from any Casualty Event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any disposition pursuant to </w:t>
      </w:r>
      <w:r>
        <w:rPr>
          <w:rFonts w:ascii="Arial" w:cs="Arial" w:eastAsia="Arial" w:hAnsi="Arial"/>
          <w:sz w:val="18"/>
          <w:szCs w:val="18"/>
          <w:u w:val="single" w:color="auto"/>
          <w:color w:val="auto"/>
        </w:rPr>
        <w:t>Section 10.05(l)</w:t>
      </w:r>
      <w:r>
        <w:rPr>
          <w:rFonts w:ascii="Arial" w:cs="Arial" w:eastAsia="Arial" w:hAnsi="Arial"/>
          <w:sz w:val="18"/>
          <w:szCs w:val="18"/>
          <w:color w:val="auto"/>
        </w:rPr>
        <w:t xml:space="preserve"> (or notice of collection by Administrative Agent of the same), in an aggregate principal amount equal to 100% of such Net Available Proceeds (it being understood that applications pursuant to this </w:t>
      </w:r>
      <w:r>
        <w:rPr>
          <w:rFonts w:ascii="Arial" w:cs="Arial" w:eastAsia="Arial" w:hAnsi="Arial"/>
          <w:sz w:val="18"/>
          <w:szCs w:val="18"/>
          <w:u w:val="single" w:color="auto"/>
          <w:color w:val="auto"/>
        </w:rPr>
        <w:t>Section 2.10(a)(i)</w:t>
      </w:r>
      <w:r>
        <w:rPr>
          <w:rFonts w:ascii="Arial" w:cs="Arial" w:eastAsia="Arial" w:hAnsi="Arial"/>
          <w:sz w:val="18"/>
          <w:szCs w:val="18"/>
          <w:color w:val="auto"/>
        </w:rPr>
        <w:t xml:space="preserve"> shall not be duplicative of </w:t>
      </w:r>
      <w:r>
        <w:rPr>
          <w:rFonts w:ascii="Arial" w:cs="Arial" w:eastAsia="Arial" w:hAnsi="Arial"/>
          <w:sz w:val="18"/>
          <w:szCs w:val="18"/>
          <w:u w:val="single" w:color="auto"/>
          <w:color w:val="auto"/>
        </w:rPr>
        <w:t>Section 2.10(a)(iii)</w:t>
      </w:r>
      <w:r>
        <w:rPr>
          <w:rFonts w:ascii="Arial" w:cs="Arial" w:eastAsia="Arial" w:hAnsi="Arial"/>
          <w:sz w:val="18"/>
          <w:szCs w:val="18"/>
          <w:color w:val="auto"/>
        </w:rPr>
        <w:t xml:space="preserve">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644" w:firstLine="653"/>
        <w:spacing w:after="0" w:line="285" w:lineRule="auto"/>
        <w:tabs>
          <w:tab w:leader="none" w:pos="1703" w:val="left"/>
        </w:tabs>
        <w:numPr>
          <w:ilvl w:val="2"/>
          <w:numId w:val="73"/>
        </w:numPr>
        <w:rPr>
          <w:rFonts w:ascii="Arial" w:cs="Arial" w:eastAsia="Arial" w:hAnsi="Arial"/>
          <w:sz w:val="16"/>
          <w:szCs w:val="16"/>
          <w:color w:val="auto"/>
        </w:rPr>
      </w:pPr>
      <w:r>
        <w:rPr>
          <w:rFonts w:ascii="Arial" w:cs="Arial" w:eastAsia="Arial" w:hAnsi="Arial"/>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six</w:t>
      </w:r>
    </w:p>
    <w:p>
      <w:pPr>
        <w:spacing w:after="0" w:line="2" w:lineRule="exact"/>
        <w:rPr>
          <w:rFonts w:ascii="Arial" w:cs="Arial" w:eastAsia="Arial" w:hAnsi="Arial"/>
          <w:sz w:val="16"/>
          <w:szCs w:val="16"/>
          <w:color w:val="auto"/>
        </w:rPr>
      </w:pPr>
    </w:p>
    <w:p>
      <w:pPr>
        <w:jc w:val="both"/>
        <w:ind w:left="644"/>
        <w:spacing w:after="0" w:line="255" w:lineRule="auto"/>
        <w:rPr>
          <w:rFonts w:ascii="Arial" w:cs="Arial" w:eastAsia="Arial" w:hAnsi="Arial"/>
          <w:sz w:val="16"/>
          <w:szCs w:val="16"/>
          <w:color w:val="auto"/>
        </w:rPr>
      </w:pPr>
      <w:r>
        <w:rPr>
          <w:rFonts w:ascii="Arial" w:cs="Arial" w:eastAsia="Arial" w:hAnsi="Arial"/>
          <w:sz w:val="18"/>
          <w:szCs w:val="18"/>
          <w:color w:val="auto"/>
        </w:rPr>
        <w:t>(6) months following receipt of such Net Available Proceeds or (B) if the relevant Credit Party enters into a legally binding commitment to reinvest such Net Available Proceeds within six (6) months following receipt thereof, within twelve (12) months following receipt of such Net Available Proceeds, and</w:t>
      </w:r>
    </w:p>
    <w:p>
      <w:pPr>
        <w:spacing w:after="0" w:line="190" w:lineRule="exact"/>
        <w:rPr>
          <w:rFonts w:ascii="Arial" w:cs="Arial" w:eastAsia="Arial" w:hAnsi="Arial"/>
          <w:sz w:val="16"/>
          <w:szCs w:val="16"/>
          <w:color w:val="auto"/>
        </w:rPr>
      </w:pPr>
    </w:p>
    <w:p>
      <w:pPr>
        <w:jc w:val="both"/>
        <w:ind w:left="644" w:firstLine="653"/>
        <w:spacing w:after="0" w:line="264" w:lineRule="auto"/>
        <w:tabs>
          <w:tab w:leader="none" w:pos="1728" w:val="left"/>
        </w:tabs>
        <w:numPr>
          <w:ilvl w:val="2"/>
          <w:numId w:val="73"/>
        </w:numPr>
        <w:rPr>
          <w:rFonts w:ascii="Arial" w:cs="Arial" w:eastAsia="Arial" w:hAnsi="Arial"/>
          <w:sz w:val="18"/>
          <w:szCs w:val="18"/>
          <w:color w:val="auto"/>
        </w:rPr>
      </w:pPr>
      <w:r>
        <w:rPr>
          <w:rFonts w:ascii="Arial" w:cs="Arial" w:eastAsia="Arial" w:hAnsi="Arial"/>
          <w:sz w:val="18"/>
          <w:szCs w:val="18"/>
          <w:color w:val="auto"/>
        </w:rPr>
        <w:t xml:space="preserve">if all or any portion of such Net Available Proceeds not required to be applied to the prepayment of Loans pursuant to this </w:t>
      </w:r>
      <w:r>
        <w:rPr>
          <w:rFonts w:ascii="Arial" w:cs="Arial" w:eastAsia="Arial" w:hAnsi="Arial"/>
          <w:sz w:val="18"/>
          <w:szCs w:val="18"/>
          <w:u w:val="single" w:color="auto"/>
          <w:color w:val="auto"/>
        </w:rPr>
        <w:t>Section 2.10(a)(i)</w:t>
      </w:r>
      <w:r>
        <w:rPr>
          <w:rFonts w:ascii="Arial" w:cs="Arial" w:eastAsia="Arial" w:hAnsi="Arial"/>
          <w:sz w:val="18"/>
          <w:szCs w:val="18"/>
          <w:color w:val="auto"/>
        </w:rPr>
        <w:t xml:space="preserve"> is not so used within the period specified by clause (x) above, such remaining portion shall be applied on the last day of such period as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181" w:lineRule="exact"/>
        <w:rPr>
          <w:sz w:val="20"/>
          <w:szCs w:val="20"/>
          <w:color w:val="auto"/>
        </w:rPr>
      </w:pPr>
    </w:p>
    <w:p>
      <w:pPr>
        <w:jc w:val="both"/>
        <w:ind w:left="4" w:firstLine="648"/>
        <w:spacing w:after="0" w:line="279" w:lineRule="auto"/>
        <w:rPr>
          <w:sz w:val="20"/>
          <w:szCs w:val="20"/>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or otherwise, no mandatory prepayment shall be required pursuant to this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in any fiscal year until the date on which the Net Available Proceeds required to be applied as mandatory prepayments pursuant to this </w:t>
      </w:r>
      <w:r>
        <w:rPr>
          <w:rFonts w:ascii="Arial" w:cs="Arial" w:eastAsia="Arial" w:hAnsi="Arial"/>
          <w:sz w:val="17"/>
          <w:szCs w:val="17"/>
          <w:u w:val="single" w:color="auto"/>
          <w:color w:val="auto"/>
        </w:rPr>
        <w:t>Section 2.10(a)(i)</w:t>
      </w:r>
      <w:r>
        <w:rPr>
          <w:rFonts w:ascii="Arial" w:cs="Arial" w:eastAsia="Arial" w:hAnsi="Arial"/>
          <w:sz w:val="17"/>
          <w:szCs w:val="17"/>
          <w:color w:val="auto"/>
        </w:rPr>
        <w:t xml:space="preserve"> in such fiscal year shall exceed $25.0 million (and thereafter only Net Available Proceeds in excess of such amount shall be required to be applied as mandatory prepayments pursuant to this </w:t>
      </w:r>
      <w:r>
        <w:rPr>
          <w:rFonts w:ascii="Arial" w:cs="Arial" w:eastAsia="Arial" w:hAnsi="Arial"/>
          <w:sz w:val="17"/>
          <w:szCs w:val="17"/>
          <w:u w:val="single" w:color="auto"/>
          <w:color w:val="auto"/>
        </w:rPr>
        <w:t>Section 2.10(a)(i)</w:t>
      </w:r>
      <w:r>
        <w:rPr>
          <w:rFonts w:ascii="Arial" w:cs="Arial" w:eastAsia="Arial" w:hAnsi="Arial"/>
          <w:sz w:val="17"/>
          <w:szCs w:val="17"/>
          <w:color w:val="auto"/>
        </w:rPr>
        <w:t>).</w:t>
      </w:r>
    </w:p>
    <w:p>
      <w:pPr>
        <w:spacing w:after="0" w:line="167" w:lineRule="exact"/>
        <w:rPr>
          <w:sz w:val="20"/>
          <w:szCs w:val="20"/>
          <w:color w:val="auto"/>
        </w:rPr>
      </w:pPr>
    </w:p>
    <w:p>
      <w:pPr>
        <w:ind w:left="4" w:firstLine="645"/>
        <w:spacing w:after="0" w:line="282" w:lineRule="auto"/>
        <w:tabs>
          <w:tab w:leader="none" w:pos="1066"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Debt Issuance</w:t>
      </w:r>
      <w:r>
        <w:rPr>
          <w:rFonts w:ascii="Arial" w:cs="Arial" w:eastAsia="Arial" w:hAnsi="Arial"/>
          <w:sz w:val="18"/>
          <w:szCs w:val="18"/>
          <w:color w:val="auto"/>
        </w:rPr>
        <w:t>. Within five (5) Business Days after any Debt Issuance on or after the Closing Date, in an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100% of the Net Available Proceeds of such Debt Issuance.</w:t>
      </w:r>
    </w:p>
    <w:p>
      <w:pPr>
        <w:spacing w:after="0" w:line="161" w:lineRule="exact"/>
        <w:rPr>
          <w:rFonts w:ascii="Arial" w:cs="Arial" w:eastAsia="Arial" w:hAnsi="Arial"/>
          <w:sz w:val="18"/>
          <w:szCs w:val="18"/>
          <w:color w:val="auto"/>
        </w:rPr>
      </w:pPr>
    </w:p>
    <w:p>
      <w:pPr>
        <w:jc w:val="both"/>
        <w:ind w:left="4" w:firstLine="645"/>
        <w:spacing w:after="0" w:line="258" w:lineRule="auto"/>
        <w:tabs>
          <w:tab w:leader="none" w:pos="1197"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Asset Sales</w:t>
      </w:r>
      <w:r>
        <w:rPr>
          <w:rFonts w:ascii="Arial" w:cs="Arial" w:eastAsia="Arial" w:hAnsi="Arial"/>
          <w:sz w:val="18"/>
          <w:szCs w:val="18"/>
          <w:color w:val="auto"/>
        </w:rPr>
        <w:t>. Within five (5) Business Days after receipt by a Credit Party of any Net Available Proceeds from any Asset Sale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10.05(c)</w:t>
      </w:r>
      <w:r>
        <w:rPr>
          <w:rFonts w:ascii="Arial" w:cs="Arial" w:eastAsia="Arial" w:hAnsi="Arial"/>
          <w:sz w:val="18"/>
          <w:szCs w:val="18"/>
          <w:color w:val="auto"/>
        </w:rPr>
        <w:t xml:space="preserve">, in an aggregate principal amount equal to 50% of the Net Available Proceeds from such Asset Sale (it being understood that applications pursuant to this </w:t>
      </w:r>
      <w:r>
        <w:rPr>
          <w:rFonts w:ascii="Arial" w:cs="Arial" w:eastAsia="Arial" w:hAnsi="Arial"/>
          <w:sz w:val="18"/>
          <w:szCs w:val="18"/>
          <w:u w:val="single" w:color="auto"/>
          <w:color w:val="auto"/>
        </w:rPr>
        <w:t>Section 2.10(a)(iii)</w:t>
      </w:r>
      <w:r>
        <w:rPr>
          <w:rFonts w:ascii="Arial" w:cs="Arial" w:eastAsia="Arial" w:hAnsi="Arial"/>
          <w:sz w:val="18"/>
          <w:szCs w:val="18"/>
          <w:color w:val="auto"/>
        </w:rPr>
        <w:t xml:space="preserve"> shall not be duplicative of </w:t>
      </w:r>
      <w:r>
        <w:rPr>
          <w:rFonts w:ascii="Arial" w:cs="Arial" w:eastAsia="Arial" w:hAnsi="Arial"/>
          <w:sz w:val="18"/>
          <w:szCs w:val="18"/>
          <w:u w:val="single" w:color="auto"/>
          <w:color w:val="auto"/>
        </w:rPr>
        <w:t>Section 2.10(a)(i)</w:t>
      </w:r>
      <w:r>
        <w:rPr>
          <w:rFonts w:ascii="Arial" w:cs="Arial" w:eastAsia="Arial" w:hAnsi="Arial"/>
          <w:sz w:val="18"/>
          <w:szCs w:val="18"/>
          <w:color w:val="auto"/>
        </w:rPr>
        <w:t xml:space="preserve">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percentage in this </w:t>
      </w:r>
      <w:r>
        <w:rPr>
          <w:rFonts w:ascii="Arial" w:cs="Arial" w:eastAsia="Arial" w:hAnsi="Arial"/>
          <w:sz w:val="18"/>
          <w:szCs w:val="18"/>
          <w:u w:val="single" w:color="auto"/>
          <w:color w:val="auto"/>
        </w:rPr>
        <w:t>Section 2.10(a)(iii)</w:t>
      </w:r>
      <w:r>
        <w:rPr>
          <w:rFonts w:ascii="Arial" w:cs="Arial" w:eastAsia="Arial" w:hAnsi="Arial"/>
          <w:sz w:val="18"/>
          <w:szCs w:val="18"/>
          <w:color w:val="auto"/>
        </w:rPr>
        <w:t xml:space="preserve"> shall be reduced to 0% if, at the time of such Asset Sale, the Consolidated First Lien Secured Leverage Ratio on a Pro Forma Basis is less than or equal to 4.00 to 1.00;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w:t>
      </w:r>
    </w:p>
    <w:p>
      <w:pPr>
        <w:spacing w:after="0" w:line="187" w:lineRule="exact"/>
        <w:rPr>
          <w:rFonts w:ascii="Arial" w:cs="Arial" w:eastAsia="Arial" w:hAnsi="Arial"/>
          <w:sz w:val="18"/>
          <w:szCs w:val="18"/>
          <w:color w:val="auto"/>
        </w:rPr>
      </w:pPr>
    </w:p>
    <w:p>
      <w:pPr>
        <w:jc w:val="both"/>
        <w:ind w:left="644" w:firstLine="653"/>
        <w:spacing w:after="0" w:line="271" w:lineRule="auto"/>
        <w:tabs>
          <w:tab w:leader="none" w:pos="1712" w:val="left"/>
        </w:tabs>
        <w:numPr>
          <w:ilvl w:val="1"/>
          <w:numId w:val="74"/>
        </w:numPr>
        <w:rPr>
          <w:rFonts w:ascii="Arial" w:cs="Arial" w:eastAsia="Arial" w:hAnsi="Arial"/>
          <w:sz w:val="17"/>
          <w:szCs w:val="17"/>
          <w:color w:val="auto"/>
        </w:rPr>
      </w:pPr>
      <w:r>
        <w:rPr>
          <w:rFonts w:ascii="Arial" w:cs="Arial" w:eastAsia="Arial" w:hAnsi="Arial"/>
          <w:sz w:val="17"/>
          <w:szCs w:val="17"/>
          <w:color w:val="auto"/>
        </w:rPr>
        <w:t xml:space="preserve">an amount equal to the Net Available Proceeds from any Asset Sale pursuant to </w:t>
      </w:r>
      <w:r>
        <w:rPr>
          <w:rFonts w:ascii="Arial" w:cs="Arial" w:eastAsia="Arial" w:hAnsi="Arial"/>
          <w:sz w:val="17"/>
          <w:szCs w:val="17"/>
          <w:u w:val="single" w:color="auto"/>
          <w:color w:val="auto"/>
        </w:rPr>
        <w:t>Section 10.05(c)</w:t>
      </w:r>
      <w:r>
        <w:rPr>
          <w:rFonts w:ascii="Arial" w:cs="Arial" w:eastAsia="Arial" w:hAnsi="Arial"/>
          <w:sz w:val="17"/>
          <w:szCs w:val="17"/>
          <w:color w:val="auto"/>
        </w:rPr>
        <w:t xml:space="preserve">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any Credit Party within (x) six (6) months following receipt of such Net Available Proceeds or (y) if the relevant Credit Party enters into a legally binding commitment to reinvest such Net Available Proceeds within six (6) months following receipt thereof, within twelve (12) months following receipt of such Net Available Proceeds (which certificate shall set forth the estimates of the proceeds to be so expended); and</w:t>
      </w:r>
    </w:p>
    <w:p>
      <w:pPr>
        <w:spacing w:after="0" w:line="178" w:lineRule="exact"/>
        <w:rPr>
          <w:rFonts w:ascii="Arial" w:cs="Arial" w:eastAsia="Arial" w:hAnsi="Arial"/>
          <w:sz w:val="17"/>
          <w:szCs w:val="17"/>
          <w:color w:val="auto"/>
        </w:rPr>
      </w:pPr>
    </w:p>
    <w:p>
      <w:pPr>
        <w:jc w:val="both"/>
        <w:ind w:left="644" w:firstLine="653"/>
        <w:spacing w:after="0" w:line="342" w:lineRule="auto"/>
        <w:tabs>
          <w:tab w:leader="none" w:pos="1738" w:val="left"/>
        </w:tabs>
        <w:numPr>
          <w:ilvl w:val="1"/>
          <w:numId w:val="74"/>
        </w:numPr>
        <w:rPr>
          <w:rFonts w:ascii="Arial" w:cs="Arial" w:eastAsia="Arial" w:hAnsi="Arial"/>
          <w:sz w:val="16"/>
          <w:szCs w:val="16"/>
          <w:color w:val="auto"/>
        </w:rPr>
      </w:pPr>
      <w:r>
        <w:rPr>
          <w:rFonts w:ascii="Arial" w:cs="Arial" w:eastAsia="Arial" w:hAnsi="Arial"/>
          <w:sz w:val="16"/>
          <w:szCs w:val="16"/>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w:t>
      </w:r>
    </w:p>
    <w:p>
      <w:pPr>
        <w:sectPr>
          <w:pgSz w:w="11900" w:h="16840" w:orient="portrait"/>
          <w:cols w:equalWidth="0" w:num="1">
            <w:col w:w="10764"/>
          </w:cols>
          <w:pgMar w:left="896" w:top="125" w:right="239" w:bottom="0" w:gutter="0" w:footer="0" w:header="0"/>
        </w:sectPr>
      </w:pPr>
    </w:p>
    <w:bookmarkStart w:id="90" w:name="page91"/>
    <w:bookmarkEnd w:id="90"/>
    <w:p>
      <w:pPr>
        <w:ind w:left="1300"/>
        <w:spacing w:after="0"/>
        <w:rPr>
          <w:sz w:val="20"/>
          <w:szCs w:val="20"/>
          <w:color w:val="auto"/>
        </w:rPr>
      </w:pPr>
      <w:r>
        <w:rPr>
          <w:rFonts w:ascii="Arial" w:cs="Arial" w:eastAsia="Arial" w:hAnsi="Arial"/>
          <w:sz w:val="18"/>
          <w:szCs w:val="18"/>
          <w:color w:val="auto"/>
        </w:rPr>
        <w:t xml:space="preserve">such period as specified in </w:t>
      </w:r>
      <w:r>
        <w:rPr>
          <w:rFonts w:ascii="Arial" w:cs="Arial" w:eastAsia="Arial" w:hAnsi="Arial"/>
          <w:sz w:val="18"/>
          <w:szCs w:val="18"/>
          <w:u w:val="single" w:color="auto"/>
          <w:color w:val="auto"/>
        </w:rPr>
        <w:t>Section 2.10(b)</w:t>
      </w:r>
      <w:r>
        <w:rPr>
          <w:rFonts w:ascii="Arial" w:cs="Arial" w:eastAsia="Arial" w:hAnsi="Arial"/>
          <w:sz w:val="18"/>
          <w:szCs w:val="18"/>
          <w:color w:val="auto"/>
        </w:rPr>
        <w:t>.</w:t>
      </w:r>
    </w:p>
    <w:p>
      <w:pPr>
        <w:spacing w:after="0" w:line="225"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or otherwise, no mandatory prepayment shall be required pursuant to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in any fiscal year until the date on which the Net Available Proceeds required to be applied as mandatory prepayments pursuant to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 xml:space="preserve"> in such fiscal year shall exceed $25.0 million (and thereafter only Net Available Proceeds in excess of such amount shall be required be applied as mandatory prepayments pursuant to this </w:t>
      </w:r>
      <w:r>
        <w:rPr>
          <w:rFonts w:ascii="Arial" w:cs="Arial" w:eastAsia="Arial" w:hAnsi="Arial"/>
          <w:sz w:val="17"/>
          <w:szCs w:val="17"/>
          <w:u w:val="single" w:color="auto"/>
          <w:color w:val="auto"/>
        </w:rPr>
        <w:t>Section 2.10(a)(iii)</w:t>
      </w:r>
      <w:r>
        <w:rPr>
          <w:rFonts w:ascii="Arial" w:cs="Arial" w:eastAsia="Arial" w:hAnsi="Arial"/>
          <w:sz w:val="17"/>
          <w:szCs w:val="17"/>
          <w:color w:val="auto"/>
        </w:rPr>
        <w:t>).</w:t>
      </w:r>
    </w:p>
    <w:p>
      <w:pPr>
        <w:spacing w:after="0" w:line="167" w:lineRule="exact"/>
        <w:rPr>
          <w:sz w:val="20"/>
          <w:szCs w:val="20"/>
          <w:color w:val="auto"/>
        </w:rPr>
      </w:pPr>
    </w:p>
    <w:p>
      <w:pPr>
        <w:jc w:val="both"/>
        <w:ind w:left="660" w:firstLine="645"/>
        <w:spacing w:after="0" w:line="270" w:lineRule="auto"/>
        <w:tabs>
          <w:tab w:leader="none" w:pos="1856" w:val="left"/>
        </w:tabs>
        <w:numPr>
          <w:ilvl w:val="1"/>
          <w:numId w:val="75"/>
        </w:numPr>
        <w:rPr>
          <w:rFonts w:ascii="Arial" w:cs="Arial" w:eastAsia="Arial" w:hAnsi="Arial"/>
          <w:sz w:val="17"/>
          <w:szCs w:val="17"/>
          <w:color w:val="auto"/>
        </w:rPr>
      </w:pPr>
      <w:r>
        <w:rPr>
          <w:rFonts w:ascii="Arial" w:cs="Arial" w:eastAsia="Arial" w:hAnsi="Arial"/>
          <w:sz w:val="17"/>
          <w:szCs w:val="17"/>
          <w:b w:val="1"/>
          <w:bCs w:val="1"/>
          <w:color w:val="auto"/>
        </w:rPr>
        <w:t>Excess Cash Flow</w:t>
      </w:r>
      <w:r>
        <w:rPr>
          <w:rFonts w:ascii="Arial" w:cs="Arial" w:eastAsia="Arial" w:hAnsi="Arial"/>
          <w:sz w:val="17"/>
          <w:szCs w:val="17"/>
          <w:color w:val="auto"/>
        </w:rPr>
        <w:t>. For each fiscal year (commencing with the fiscal year ending December 31, 2019), not later than five (5)</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Business Days after the date on which the financial statements of Borrower referred to in </w:t>
      </w:r>
      <w:r>
        <w:rPr>
          <w:rFonts w:ascii="Arial" w:cs="Arial" w:eastAsia="Arial" w:hAnsi="Arial"/>
          <w:sz w:val="17"/>
          <w:szCs w:val="17"/>
          <w:u w:val="single" w:color="auto"/>
          <w:color w:val="auto"/>
        </w:rPr>
        <w:t>Section 9.04(b)</w:t>
      </w:r>
      <w:r>
        <w:rPr>
          <w:rFonts w:ascii="Arial" w:cs="Arial" w:eastAsia="Arial" w:hAnsi="Arial"/>
          <w:sz w:val="17"/>
          <w:szCs w:val="17"/>
          <w:color w:val="auto"/>
        </w:rPr>
        <w:t xml:space="preserve"> for such fiscal year are required to be delivered to Administrative Agent, Borrower shall prepay, in accordance with subsection (b) below, the principal amount of the Loans in an amount equal to (x) Applicable ECF Percentage of Excess Cash Flow for such fiscal year, </w:t>
      </w:r>
      <w:r>
        <w:rPr>
          <w:rFonts w:ascii="Arial" w:cs="Arial" w:eastAsia="Arial" w:hAnsi="Arial"/>
          <w:sz w:val="17"/>
          <w:szCs w:val="17"/>
          <w:i w:val="1"/>
          <w:iCs w:val="1"/>
          <w:color w:val="auto"/>
        </w:rPr>
        <w:t>minus</w:t>
      </w:r>
      <w:r>
        <w:rPr>
          <w:rFonts w:ascii="Arial" w:cs="Arial" w:eastAsia="Arial" w:hAnsi="Arial"/>
          <w:sz w:val="17"/>
          <w:szCs w:val="17"/>
          <w:color w:val="auto"/>
        </w:rPr>
        <w:t xml:space="preserve"> (y) the principal amount of (i) Loans voluntarily prepaid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during such fiscal year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Other First Lien Indebtedness voluntarily prepaid (and, to the extent consisting of revolving loans, so long as accompanied by a permanent reduction of the underlying commitments) during such fiscal year to the extent the amount of such Other First Lien Indebtedness so prepaid is not proportionally larger than the amount of Loans so prepaid according to the respective principal amounts of Other First Lien Indebtedness and Loans as of the beginning of the applicable fiscal year plus the principal amount of any additional Other First Lien Indebtedness or Loans incurred during the applicable fiscal year, in each case, except to the extent financed with the proceeds of Indebtedness of the Credit Parties.</w:t>
      </w:r>
    </w:p>
    <w:p>
      <w:pPr>
        <w:spacing w:after="0" w:line="177" w:lineRule="exact"/>
        <w:rPr>
          <w:rFonts w:ascii="Arial" w:cs="Arial" w:eastAsia="Arial" w:hAnsi="Arial"/>
          <w:sz w:val="17"/>
          <w:szCs w:val="17"/>
          <w:color w:val="auto"/>
        </w:rPr>
      </w:pPr>
    </w:p>
    <w:p>
      <w:pPr>
        <w:jc w:val="both"/>
        <w:ind w:left="660" w:firstLine="645"/>
        <w:spacing w:after="0" w:line="284" w:lineRule="auto"/>
        <w:tabs>
          <w:tab w:leader="none" w:pos="1752"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Prepayments Not Required</w:t>
      </w:r>
      <w:r>
        <w:rPr>
          <w:rFonts w:ascii="Arial" w:cs="Arial" w:eastAsia="Arial" w:hAnsi="Arial"/>
          <w:sz w:val="16"/>
          <w:szCs w:val="16"/>
          <w:color w:val="auto"/>
        </w:rPr>
        <w:t>. Notwithstanding any other provisions of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2.10(a)</w:t>
      </w:r>
      <w:r>
        <w:rPr>
          <w:rFonts w:ascii="Arial" w:cs="Arial" w:eastAsia="Arial" w:hAnsi="Arial"/>
          <w:sz w:val="16"/>
          <w:szCs w:val="16"/>
          <w:color w:val="auto"/>
        </w:rPr>
        <w:t>, to the extent that any of or all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Proceeds of any Asset Sale or Casualty Event with respect to any property or assets of Foreign Subsidiaries, or any Excess Cash Flow attributable to Foreign Subsidiaries, are prohibited or delayed by applicable local law from being repatriated to the United States, an amount equal to the portion of such Net Available Proceeds or Excess Cash Flow so affected will not be required to be applied to repay Term Loans at the times provided in this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or Excess Cash Flow is permitted under the applicable local law, (x) any such Net Available Proceeds shall be reinvested pursuant to </w:t>
      </w:r>
      <w:r>
        <w:rPr>
          <w:rFonts w:ascii="Arial" w:cs="Arial" w:eastAsia="Arial" w:hAnsi="Arial"/>
          <w:sz w:val="16"/>
          <w:szCs w:val="16"/>
          <w:u w:val="single" w:color="auto"/>
          <w:color w:val="auto"/>
        </w:rPr>
        <w:t>Section 2.10(a)(i)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as applicable, or applied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within five (5) Business Days of such repatriation, and (y) any such Excess Cash Flow shall be applied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within five (5) Business Days of such repatriation. To the extent Borrower determines in good faith that repatriation of any of or all the Net Available Proceeds of any Asset Sale or Casualty Event with respect to any property or assets of Foreign Subsidiaries or any Excess Cash Flow attributable to Foreign Subsidiaries would have a material adverse tax costs or consequences to Borrower or any of its Subsidiaries, an amount equal to such Net Available Proceeds or Excess Cash Flow so affected will not be required to be applied to repay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before the date on which such Net Available Proceeds so retained would otherwise have been required to be applied to reinvestments or prepayments pursuant to </w:t>
      </w:r>
      <w:r>
        <w:rPr>
          <w:rFonts w:ascii="Arial" w:cs="Arial" w:eastAsia="Arial" w:hAnsi="Arial"/>
          <w:sz w:val="16"/>
          <w:szCs w:val="16"/>
          <w:u w:val="single" w:color="auto"/>
          <w:color w:val="auto"/>
        </w:rPr>
        <w:t>Section 2.10(a)(i)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as applicable (or, in the case of Excess Cash Flow, a date on or before the date that is twelve (12) months after the date such Excess Cash Flow would have so required to be applied to prepayments pursuant to </w:t>
      </w:r>
      <w:r>
        <w:rPr>
          <w:rFonts w:ascii="Arial" w:cs="Arial" w:eastAsia="Arial" w:hAnsi="Arial"/>
          <w:sz w:val="16"/>
          <w:szCs w:val="16"/>
          <w:u w:val="single" w:color="auto"/>
          <w:color w:val="auto"/>
        </w:rPr>
        <w:t>Section 2.10(a)(iv)</w:t>
      </w:r>
      <w:r>
        <w:rPr>
          <w:rFonts w:ascii="Arial" w:cs="Arial" w:eastAsia="Arial" w:hAnsi="Arial"/>
          <w:sz w:val="16"/>
          <w:szCs w:val="16"/>
          <w:color w:val="auto"/>
        </w:rPr>
        <w:t xml:space="preserve">), unless previously repatriated (in which case, (x) any such Net Available Proceeds shall be reinvested pursuant to </w:t>
      </w:r>
      <w:r>
        <w:rPr>
          <w:rFonts w:ascii="Arial" w:cs="Arial" w:eastAsia="Arial" w:hAnsi="Arial"/>
          <w:sz w:val="16"/>
          <w:szCs w:val="16"/>
          <w:u w:val="single" w:color="auto"/>
          <w:color w:val="auto"/>
        </w:rPr>
        <w:t>Section 2.10(a)(i)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as applicable, or applied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within five (5) Business Days of such repatriation, and (y) any such Excess Cash Flow shall be applied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within five (5) Business Days of such repatriation)), (A) Borrower shall apply an amount equal to such Net Available Proceeds or Excess Cash Flow to such reinvestments or prepayments as if such Net Available Proceeds or Excess Cash Flow had been received by Borrower rather than such Foreign Subsidiary, minus, the amount of additional taxes that would have been payable or reserved against if such Net Available Proceeds or Excess Cash Flow had been repatriated (or, if less, the Net Available Proceeds or Excess Cash Flow that would be calculated if received by such Foreign Subsidiary) pursuant to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or (B) such Net Available Proceeds or Excess Cash Flow shall be applied to the repayment of Indebtedness of a Foreign Subsidiary.</w:t>
      </w:r>
    </w:p>
    <w:p>
      <w:pPr>
        <w:spacing w:after="0" w:line="394" w:lineRule="exact"/>
        <w:rPr>
          <w:rFonts w:ascii="Arial" w:cs="Arial" w:eastAsia="Arial" w:hAnsi="Arial"/>
          <w:sz w:val="16"/>
          <w:szCs w:val="16"/>
          <w:color w:val="auto"/>
        </w:rPr>
      </w:pPr>
    </w:p>
    <w:p>
      <w:pPr>
        <w:jc w:val="both"/>
        <w:ind w:left="660" w:firstLine="645"/>
        <w:spacing w:after="0" w:line="286" w:lineRule="auto"/>
        <w:tabs>
          <w:tab w:leader="none" w:pos="1789" w:val="left"/>
        </w:tabs>
        <w:numPr>
          <w:ilvl w:val="1"/>
          <w:numId w:val="75"/>
        </w:numPr>
        <w:rPr>
          <w:rFonts w:ascii="Arial" w:cs="Arial" w:eastAsia="Arial" w:hAnsi="Arial"/>
          <w:sz w:val="16"/>
          <w:szCs w:val="16"/>
          <w:color w:val="auto"/>
        </w:rPr>
      </w:pPr>
      <w:r>
        <w:rPr>
          <w:rFonts w:ascii="Arial" w:cs="Arial" w:eastAsia="Arial" w:hAnsi="Arial"/>
          <w:sz w:val="16"/>
          <w:szCs w:val="16"/>
          <w:b w:val="1"/>
          <w:bCs w:val="1"/>
          <w:color w:val="auto"/>
        </w:rPr>
        <w:t>Prepayments of Other First Lien Indebtedness</w:t>
      </w:r>
      <w:r>
        <w:rPr>
          <w:rFonts w:ascii="Arial" w:cs="Arial" w:eastAsia="Arial" w:hAnsi="Arial"/>
          <w:sz w:val="16"/>
          <w:szCs w:val="16"/>
          <w:color w:val="auto"/>
        </w:rPr>
        <w:t>. Notwithstanding the foregoing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2.10(a)(i)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(iii)</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(iv)</w:t>
      </w:r>
      <w:r>
        <w:rPr>
          <w:rFonts w:ascii="Arial" w:cs="Arial" w:eastAsia="Arial" w:hAnsi="Arial"/>
          <w:sz w:val="16"/>
          <w:szCs w:val="16"/>
          <w:color w:val="auto"/>
        </w:rPr>
        <w:t>,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otherwise, any Net Available Proceeds from any such Casualty Event, Debt Issuance or Asset Sale and any such Excess Cash Flow otherwise required to be applied to prepay the Loans may, at Borrower’s option, be applied to prepay the principal amount of Other First Lien Indebtedness only to (and not in excess of) the extent to which a mandatory prepayment in respect of such Casualty Event, Debt Issuance, Asset Sale, or Excess Cash Flow is required under the terms of such Other First Lien Indebtedness (with any remaining Net Available Proceeds or Excess Cash Flow, as applicable, applied to prepay outstanding Loans in accordance with the terms hereof), unless such application would result in the holders of Other First Lien Indebtedness receiving in excess of their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(determined on the basis of the aggregate outstanding principal amount of Loans and Other First Lien Indebtedness at such time) of such Net Available Proceeds relative to Lenders, in which case such Net Available Proceeds or Excess Cash Flow, as applicable, may only be applied to prepay the principal amount of Other First Lien Indebtedness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outstanding Loans. To the extent the holders of Other First Lien Indebtedness decline to have such indebtedness repurchased, repaid, or prepaid with any such Net Available Proceeds or Excess Cash Flow, as applicable, the declined amount of such Net Available Proceeds or Excess Cash Flow, as applicable, shall promptly (and, in any event, within ten (10) Business Days after the date of such rejection) be applied to prepay Loans in accordance with the terms hereof (to the extent such Net Available Proceeds or Excess Cash Flow, as applicable,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68" w:lineRule="exact"/>
        <w:rPr>
          <w:rFonts w:ascii="Arial" w:cs="Arial" w:eastAsia="Arial" w:hAnsi="Arial"/>
          <w:sz w:val="16"/>
          <w:szCs w:val="16"/>
          <w:color w:val="auto"/>
        </w:rPr>
      </w:pPr>
    </w:p>
    <w:p>
      <w:pPr>
        <w:ind w:left="1040" w:hanging="384"/>
        <w:spacing w:after="0"/>
        <w:tabs>
          <w:tab w:leader="none" w:pos="104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required prepayments described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2.10(a)</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applied to prepay Loans as follows:</w:t>
      </w:r>
    </w:p>
    <w:p>
      <w:pPr>
        <w:spacing w:after="0" w:line="229" w:lineRule="exact"/>
        <w:rPr>
          <w:rFonts w:ascii="Arial" w:cs="Arial" w:eastAsia="Arial" w:hAnsi="Arial"/>
          <w:sz w:val="18"/>
          <w:szCs w:val="18"/>
          <w:color w:val="auto"/>
        </w:rPr>
      </w:pPr>
    </w:p>
    <w:p>
      <w:pPr>
        <w:jc w:val="both"/>
        <w:ind w:left="660" w:firstLine="645"/>
        <w:spacing w:after="0" w:line="255" w:lineRule="auto"/>
        <w:tabs>
          <w:tab w:leader="none" w:pos="1699"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reduction of Amortization Payments on the Loans required by</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Sections 3.01(a)</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i w:val="1"/>
          <w:iCs w:val="1"/>
          <w:color w:val="auto"/>
        </w:rPr>
        <w:t xml:space="preserve"> </w:t>
      </w:r>
      <w:r>
        <w:rPr>
          <w:rFonts w:ascii="Arial" w:cs="Arial" w:eastAsia="Arial" w:hAnsi="Arial"/>
          <w:sz w:val="18"/>
          <w:szCs w:val="18"/>
          <w:color w:val="auto"/>
        </w:rPr>
        <w:t>on a</w:t>
      </w:r>
      <w:r>
        <w:rPr>
          <w:rFonts w:ascii="Arial" w:cs="Arial" w:eastAsia="Arial" w:hAnsi="Arial"/>
          <w:sz w:val="18"/>
          <w:szCs w:val="18"/>
          <w:i w:val="1"/>
          <w:iCs w:val="1"/>
          <w:color w:val="auto"/>
        </w:rPr>
        <w:t xml:space="preserve"> pro rata </w:t>
      </w:r>
      <w:r>
        <w:rPr>
          <w:rFonts w:ascii="Arial" w:cs="Arial" w:eastAsia="Arial" w:hAnsi="Arial"/>
          <w:sz w:val="18"/>
          <w:szCs w:val="18"/>
          <w:color w:val="auto"/>
        </w:rPr>
        <w:t>basis among each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Tranche of Loans, subject to any Declined Amounts, and then to the remaining principal installments with respect thereto in direct order of maturity over the next succeeding four (4) quarterly installments and, thereafter,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prepayment shall, subject to the last paragraph of this </w:t>
      </w:r>
      <w:r>
        <w:rPr>
          <w:rFonts w:ascii="Arial" w:cs="Arial" w:eastAsia="Arial" w:hAnsi="Arial"/>
          <w:sz w:val="18"/>
          <w:szCs w:val="18"/>
          <w:u w:val="single" w:color="auto"/>
          <w:color w:val="auto"/>
        </w:rPr>
        <w:t>Section 2.10(b)</w:t>
      </w:r>
      <w:r>
        <w:rPr>
          <w:rFonts w:ascii="Arial" w:cs="Arial" w:eastAsia="Arial" w:hAnsi="Arial"/>
          <w:sz w:val="18"/>
          <w:szCs w:val="18"/>
          <w:color w:val="auto"/>
        </w:rPr>
        <w:t xml:space="preserve">, be applied to such Loans that are ABR Loans to the fullest extent thereof before application to Loans that are LIBOR Loans, and such prepayments of LIBOR Loans shall be applied in a manner that minimizes the amount of any payments required to be made by Borrower pursuant to </w:t>
      </w:r>
      <w:r>
        <w:rPr>
          <w:rFonts w:ascii="Arial" w:cs="Arial" w:eastAsia="Arial" w:hAnsi="Arial"/>
          <w:sz w:val="18"/>
          <w:szCs w:val="18"/>
          <w:u w:val="single" w:color="auto"/>
          <w:color w:val="auto"/>
        </w:rPr>
        <w:t>Section 5.05</w:t>
      </w:r>
      <w:r>
        <w:rPr>
          <w:rFonts w:ascii="Arial" w:cs="Arial" w:eastAsia="Arial" w:hAnsi="Arial"/>
          <w:sz w:val="18"/>
          <w:szCs w:val="18"/>
          <w:color w:val="auto"/>
        </w:rPr>
        <w:t>; and</w:t>
      </w:r>
    </w:p>
    <w:p>
      <w:pPr>
        <w:spacing w:after="0" w:line="193" w:lineRule="exact"/>
        <w:rPr>
          <w:rFonts w:ascii="Arial" w:cs="Arial" w:eastAsia="Arial" w:hAnsi="Arial"/>
          <w:sz w:val="18"/>
          <w:szCs w:val="18"/>
          <w:color w:val="auto"/>
        </w:rPr>
      </w:pPr>
    </w:p>
    <w:p>
      <w:pPr>
        <w:ind w:left="660" w:firstLine="645"/>
        <w:spacing w:after="0" w:line="277" w:lineRule="auto"/>
        <w:tabs>
          <w:tab w:leader="none" w:pos="1843"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after application of prepayments in accordance with clause (i) above, Borrower shall be permitted to retain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excess.</w:t>
      </w:r>
    </w:p>
    <w:p>
      <w:pPr>
        <w:spacing w:after="0" w:line="17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Notwithstanding the foregoing, any Lender may elect, by written notice to Administrative Agent at least one (1) Business Day prior to the prepayment date, to decline all or any portion of any prepayment of its Term Loans, pursuant to this </w:t>
      </w:r>
      <w:r>
        <w:rPr>
          <w:rFonts w:ascii="Arial" w:cs="Arial" w:eastAsia="Arial" w:hAnsi="Arial"/>
          <w:sz w:val="16"/>
          <w:szCs w:val="16"/>
          <w:u w:val="single" w:color="auto"/>
          <w:color w:val="auto"/>
        </w:rPr>
        <w:t>Section 2.10</w:t>
      </w:r>
      <w:r>
        <w:rPr>
          <w:rFonts w:ascii="Arial" w:cs="Arial" w:eastAsia="Arial" w:hAnsi="Arial"/>
          <w:sz w:val="16"/>
          <w:szCs w:val="16"/>
          <w:color w:val="auto"/>
        </w:rPr>
        <w:t>, in which case the aggregate amount of the prepayment that would have been applied to prepay such Term Loans, but was so declined shall be ratably offered to each Lender that initially accepted such prepayment. Any such re-offered amounts rejected by such Lenders shall be retained by Borrower (any such retained amounts, “</w:t>
      </w:r>
      <w:r>
        <w:rPr>
          <w:rFonts w:ascii="Arial" w:cs="Arial" w:eastAsia="Arial" w:hAnsi="Arial"/>
          <w:sz w:val="16"/>
          <w:szCs w:val="16"/>
          <w:b w:val="1"/>
          <w:bCs w:val="1"/>
          <w:color w:val="auto"/>
        </w:rPr>
        <w:t>Declined Amounts</w:t>
      </w:r>
      <w:r>
        <w:rPr>
          <w:rFonts w:ascii="Arial" w:cs="Arial" w:eastAsia="Arial" w:hAnsi="Arial"/>
          <w:sz w:val="16"/>
          <w:szCs w:val="16"/>
          <w:color w:val="auto"/>
        </w:rPr>
        <w:t>”).</w:t>
      </w:r>
    </w:p>
    <w:p>
      <w:pPr>
        <w:sectPr>
          <w:pgSz w:w="11900" w:h="16838" w:orient="portrait"/>
          <w:cols w:equalWidth="0" w:num="1">
            <w:col w:w="11420"/>
          </w:cols>
          <w:pgMar w:left="240" w:top="125" w:right="239" w:bottom="0" w:gutter="0" w:footer="0" w:header="0"/>
        </w:sectPr>
      </w:pPr>
    </w:p>
    <w:bookmarkStart w:id="91" w:name="page92"/>
    <w:bookmarkEnd w:id="91"/>
    <w:p>
      <w:pPr>
        <w:jc w:val="both"/>
        <w:ind w:firstLine="648"/>
        <w:spacing w:after="0" w:line="273" w:lineRule="auto"/>
        <w:rPr>
          <w:sz w:val="20"/>
          <w:szCs w:val="20"/>
          <w:color w:val="auto"/>
        </w:rPr>
      </w:pPr>
      <w:r>
        <w:rPr>
          <w:rFonts w:ascii="Arial" w:cs="Arial" w:eastAsia="Arial" w:hAnsi="Arial"/>
          <w:sz w:val="17"/>
          <w:szCs w:val="17"/>
          <w:color w:val="auto"/>
        </w:rPr>
        <w:t xml:space="preserve">Notwithstanding the foregoing, if the amount of any prepayment of Loans required under this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w:t>
      </w:r>
      <w:r>
        <w:rPr>
          <w:rFonts w:ascii="Arial" w:cs="Arial" w:eastAsia="Arial" w:hAnsi="Arial"/>
          <w:sz w:val="17"/>
          <w:szCs w:val="17"/>
          <w:u w:val="single" w:color="auto"/>
          <w:color w:val="auto"/>
        </w:rPr>
        <w:t>Section 5.05</w:t>
      </w:r>
      <w:r>
        <w:rPr>
          <w:rFonts w:ascii="Arial" w:cs="Arial" w:eastAsia="Arial" w:hAnsi="Arial"/>
          <w:sz w:val="17"/>
          <w:szCs w:val="17"/>
          <w:color w:val="auto"/>
        </w:rPr>
        <w:t>. Notwithstanding any such deposit in the Collateral Account, interest shall continue to accrue on such Loans until prepayment.</w:t>
      </w:r>
    </w:p>
    <w:p>
      <w:pPr>
        <w:spacing w:after="0" w:line="17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095" w:val="left"/>
        </w:tabs>
        <w:numPr>
          <w:ilvl w:val="1"/>
          <w:numId w:val="77"/>
        </w:numPr>
        <w:rPr>
          <w:rFonts w:ascii="Arial" w:cs="Arial" w:eastAsia="Arial" w:hAnsi="Arial"/>
          <w:sz w:val="16"/>
          <w:szCs w:val="16"/>
          <w:color w:val="auto"/>
        </w:rPr>
      </w:pPr>
      <w:r>
        <w:rPr>
          <w:rFonts w:ascii="Arial" w:cs="Arial" w:eastAsia="Arial" w:hAnsi="Arial"/>
          <w:sz w:val="16"/>
          <w:szCs w:val="16"/>
          <w:color w:val="auto"/>
        </w:rPr>
        <w:t>Borrower shall have the right to replace any Lender (the “</w:t>
      </w:r>
      <w:r>
        <w:rPr>
          <w:rFonts w:ascii="Arial" w:cs="Arial" w:eastAsia="Arial" w:hAnsi="Arial"/>
          <w:sz w:val="16"/>
          <w:szCs w:val="16"/>
          <w:b w:val="1"/>
          <w:bCs w:val="1"/>
          <w:color w:val="auto"/>
        </w:rPr>
        <w:t>Replaced Lender</w:t>
      </w:r>
      <w:r>
        <w:rPr>
          <w:rFonts w:ascii="Arial" w:cs="Arial" w:eastAsia="Arial" w:hAnsi="Arial"/>
          <w:sz w:val="16"/>
          <w:szCs w:val="16"/>
          <w:color w:val="auto"/>
        </w:rPr>
        <w:t>”) with one or more other Eligible Assignees (collectively, the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if (x) such Lender is charging Borrower increased costs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or such Lender becomes incapable of making LIBOR Loans as provided in </w:t>
      </w:r>
      <w:r>
        <w:rPr>
          <w:rFonts w:ascii="Arial" w:cs="Arial" w:eastAsia="Arial" w:hAnsi="Arial"/>
          <w:sz w:val="16"/>
          <w:szCs w:val="16"/>
          <w:u w:val="single" w:color="auto"/>
          <w:color w:val="auto"/>
        </w:rPr>
        <w:t>Section 5.03</w:t>
      </w:r>
      <w:r>
        <w:rPr>
          <w:rFonts w:ascii="Arial" w:cs="Arial" w:eastAsia="Arial" w:hAnsi="Arial"/>
          <w:sz w:val="16"/>
          <w:szCs w:val="16"/>
          <w:color w:val="auto"/>
        </w:rPr>
        <w:t xml:space="preserve"> when other Lenders are generally able to do so, (y) such Lender is a Defaulting Lender or (z) such Lender is subject to Disqualification (and such Lender is notified by Borrower and Administrative Agent in writing of such Disqualification);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66" w:lineRule="auto"/>
        <w:tabs>
          <w:tab w:leader="none" w:pos="222" w:val="left"/>
        </w:tabs>
        <w:numPr>
          <w:ilvl w:val="0"/>
          <w:numId w:val="78"/>
        </w:numPr>
        <w:rPr>
          <w:rFonts w:ascii="Arial" w:cs="Arial" w:eastAsia="Arial" w:hAnsi="Arial"/>
          <w:sz w:val="17"/>
          <w:szCs w:val="17"/>
          <w:color w:val="auto"/>
        </w:rPr>
      </w:pPr>
      <w:r>
        <w:rPr>
          <w:rFonts w:ascii="Arial" w:cs="Arial" w:eastAsia="Arial" w:hAnsi="Arial"/>
          <w:sz w:val="17"/>
          <w:szCs w:val="17"/>
          <w:color w:val="auto"/>
        </w:rPr>
        <w:t xml:space="preserve">at the time of any such replacement, the Replacement Lender shall enter into one or more Assignment Agreements (and with all fees payable pursuant to </w:t>
      </w:r>
      <w:r>
        <w:rPr>
          <w:rFonts w:ascii="Arial" w:cs="Arial" w:eastAsia="Arial" w:hAnsi="Arial"/>
          <w:sz w:val="17"/>
          <w:szCs w:val="17"/>
          <w:u w:val="single" w:color="auto"/>
          <w:color w:val="auto"/>
        </w:rPr>
        <w:t>Section 13.05(b)</w:t>
      </w:r>
      <w:r>
        <w:rPr>
          <w:rFonts w:ascii="Arial" w:cs="Arial" w:eastAsia="Arial" w:hAnsi="Arial"/>
          <w:sz w:val="17"/>
          <w:szCs w:val="17"/>
          <w:color w:val="auto"/>
        </w:rPr>
        <w:t xml:space="preserve"> to be paid by the Replacement Lender or Borrower) pursuant to which the Replacement Lender shall acquire all of the Commitments and outstanding Loans of the Replaced Lender (or if the Replaced Lender is being replaced as a result of being a Defaulting Lender, then the Replacement Lender shall acquire all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and (B) all accrued, but theretofore unpaid, fees owing to the Lender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w:t>
      </w:r>
      <w:r>
        <w:rPr>
          <w:rFonts w:ascii="Arial" w:cs="Arial" w:eastAsia="Arial" w:hAnsi="Arial"/>
          <w:sz w:val="17"/>
          <w:szCs w:val="17"/>
          <w:u w:val="single" w:color="auto"/>
          <w:color w:val="auto"/>
        </w:rPr>
        <w:t>to Section 5.05</w:t>
      </w:r>
      <w:r>
        <w:rPr>
          <w:rFonts w:ascii="Arial" w:cs="Arial" w:eastAsia="Arial" w:hAnsi="Arial"/>
          <w:sz w:val="17"/>
          <w:szCs w:val="17"/>
          <w:color w:val="auto"/>
        </w:rPr>
        <w:t xml:space="preserve"> if Borrower were prepaying a LIBOR Loan), as applicable, shall be paid in full to such Replaced Lender, as applicable, concurrently with such 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w:t>
      </w:r>
      <w:r>
        <w:rPr>
          <w:rFonts w:ascii="Arial" w:cs="Arial" w:eastAsia="Arial" w:hAnsi="Arial"/>
          <w:sz w:val="17"/>
          <w:szCs w:val="17"/>
          <w:u w:val="single" w:color="auto"/>
          <w:color w:val="auto"/>
        </w:rPr>
        <w:t>Section 13.05</w:t>
      </w:r>
      <w:r>
        <w:rPr>
          <w:rFonts w:ascii="Arial" w:cs="Arial" w:eastAsia="Arial" w:hAnsi="Arial"/>
          <w:sz w:val="17"/>
          <w:szCs w:val="17"/>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and Commitments of such Replaced Lender not being acquired by the Replacement Lender; </w:t>
      </w:r>
      <w:r>
        <w:rPr>
          <w:rFonts w:ascii="Arial" w:cs="Arial" w:eastAsia="Arial" w:hAnsi="Arial"/>
          <w:sz w:val="17"/>
          <w:szCs w:val="17"/>
          <w:i w:val="1"/>
          <w:iCs w:val="1"/>
          <w:color w:val="auto"/>
        </w:rPr>
        <w:t>provided</w:t>
      </w:r>
      <w:r>
        <w:rPr>
          <w:rFonts w:ascii="Arial" w:cs="Arial" w:eastAsia="Arial" w:hAnsi="Arial"/>
          <w:sz w:val="17"/>
          <w:szCs w:val="17"/>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191" w:lineRule="exact"/>
        <w:rPr>
          <w:rFonts w:ascii="Arial" w:cs="Arial" w:eastAsia="Arial" w:hAnsi="Arial"/>
          <w:sz w:val="17"/>
          <w:szCs w:val="17"/>
          <w:color w:val="auto"/>
        </w:rPr>
      </w:pPr>
    </w:p>
    <w:p>
      <w:pPr>
        <w:jc w:val="both"/>
        <w:ind w:firstLine="656"/>
        <w:spacing w:after="0" w:line="286" w:lineRule="auto"/>
        <w:tabs>
          <w:tab w:leader="none" w:pos="1173" w:val="left"/>
        </w:tabs>
        <w:numPr>
          <w:ilvl w:val="1"/>
          <w:numId w:val="78"/>
        </w:numPr>
        <w:rPr>
          <w:rFonts w:ascii="Arial" w:cs="Arial" w:eastAsia="Arial" w:hAnsi="Arial"/>
          <w:sz w:val="16"/>
          <w:szCs w:val="16"/>
          <w:color w:val="auto"/>
        </w:rPr>
      </w:pPr>
      <w:r>
        <w:rPr>
          <w:rFonts w:ascii="Arial" w:cs="Arial" w:eastAsia="Arial" w:hAnsi="Arial"/>
          <w:sz w:val="16"/>
          <w:szCs w:val="16"/>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or prepay the Loans held by such Lender, in each case, in accordance with any applicable provisions of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even if a Default or an Event of Default exists (notwithstanding anything contained in such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to the contrary). Any such prepayment shall be deemed an optional prepayment, as set forth in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6"/>
          <w:szCs w:val="16"/>
          <w:b w:val="1"/>
          <w:bCs w:val="1"/>
          <w:color w:val="auto"/>
        </w:rPr>
        <w:t>Incremental Loan Commitments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6" w:lineRule="auto"/>
        <w:tabs>
          <w:tab w:leader="none" w:pos="1082" w:val="left"/>
        </w:tabs>
        <w:numPr>
          <w:ilvl w:val="0"/>
          <w:numId w:val="79"/>
        </w:numPr>
        <w:rPr>
          <w:rFonts w:ascii="Arial" w:cs="Arial" w:eastAsia="Arial" w:hAnsi="Arial"/>
          <w:sz w:val="16"/>
          <w:szCs w:val="16"/>
          <w:color w:val="auto"/>
        </w:rPr>
      </w:pPr>
      <w:r>
        <w:rPr>
          <w:rFonts w:ascii="Arial" w:cs="Arial" w:eastAsia="Arial" w:hAnsi="Arial"/>
          <w:sz w:val="16"/>
          <w:szCs w:val="16"/>
          <w:b w:val="1"/>
          <w:bCs w:val="1"/>
          <w:color w:val="auto"/>
        </w:rPr>
        <w:t>Borrower Request</w:t>
      </w:r>
      <w:r>
        <w:rPr>
          <w:rFonts w:ascii="Arial" w:cs="Arial" w:eastAsia="Arial" w:hAnsi="Arial"/>
          <w:sz w:val="16"/>
          <w:szCs w:val="16"/>
          <w:color w:val="auto"/>
        </w:rPr>
        <w:t>. Borrower may, at any time, by written notice to Administrative Agent, request (i) the establishment of additional Term</w:t>
      </w:r>
      <w:r>
        <w:rPr>
          <w:rFonts w:ascii="Arial" w:cs="Arial" w:eastAsia="Arial" w:hAnsi="Arial"/>
          <w:sz w:val="16"/>
          <w:szCs w:val="16"/>
          <w:b w:val="1"/>
          <w:bCs w:val="1"/>
          <w:color w:val="auto"/>
        </w:rPr>
        <w:t xml:space="preserve"> </w:t>
      </w:r>
      <w:r>
        <w:rPr>
          <w:rFonts w:ascii="Arial" w:cs="Arial" w:eastAsia="Arial" w:hAnsi="Arial"/>
          <w:sz w:val="16"/>
          <w:szCs w:val="16"/>
          <w:color w:val="auto"/>
        </w:rPr>
        <w:t>Loans with terms and conditions identical to the terms and conditions of existing Term Loans hereunder (“</w:t>
      </w:r>
      <w:r>
        <w:rPr>
          <w:rFonts w:ascii="Arial" w:cs="Arial" w:eastAsia="Arial" w:hAnsi="Arial"/>
          <w:sz w:val="16"/>
          <w:szCs w:val="16"/>
          <w:b w:val="1"/>
          <w:bCs w:val="1"/>
          <w:color w:val="auto"/>
        </w:rPr>
        <w:t>Incremental Term Facility Loans</w:t>
      </w:r>
      <w:r>
        <w:rPr>
          <w:rFonts w:ascii="Arial" w:cs="Arial" w:eastAsia="Arial" w:hAnsi="Arial"/>
          <w:sz w:val="16"/>
          <w:szCs w:val="16"/>
          <w:color w:val="auto"/>
        </w:rPr>
        <w:t>” and the related commitments, “</w:t>
      </w:r>
      <w:r>
        <w:rPr>
          <w:rFonts w:ascii="Arial" w:cs="Arial" w:eastAsia="Arial" w:hAnsi="Arial"/>
          <w:sz w:val="16"/>
          <w:szCs w:val="16"/>
          <w:b w:val="1"/>
          <w:bCs w:val="1"/>
          <w:color w:val="auto"/>
        </w:rPr>
        <w:t>Incremental Term Facility Loan Commitments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upfront fees or original issue discount may be paid to Lenders providing such Incremental Term Facility Loan Commitments, and/or (ii) the establishment of one or more new Tranches of term loans (“</w:t>
      </w:r>
      <w:r>
        <w:rPr>
          <w:rFonts w:ascii="Arial" w:cs="Arial" w:eastAsia="Arial" w:hAnsi="Arial"/>
          <w:sz w:val="16"/>
          <w:szCs w:val="16"/>
          <w:b w:val="1"/>
          <w:bCs w:val="1"/>
          <w:color w:val="auto"/>
        </w:rPr>
        <w:t>New Term Loans</w:t>
      </w:r>
      <w:r>
        <w:rPr>
          <w:rFonts w:ascii="Arial" w:cs="Arial" w:eastAsia="Arial" w:hAnsi="Arial"/>
          <w:sz w:val="16"/>
          <w:szCs w:val="16"/>
          <w:color w:val="auto"/>
        </w:rPr>
        <w:t>” and the related commitments, “</w:t>
      </w:r>
      <w:r>
        <w:rPr>
          <w:rFonts w:ascii="Arial" w:cs="Arial" w:eastAsia="Arial" w:hAnsi="Arial"/>
          <w:sz w:val="16"/>
          <w:szCs w:val="16"/>
          <w:b w:val="1"/>
          <w:bCs w:val="1"/>
          <w:color w:val="auto"/>
        </w:rPr>
        <w:t>New Term Loan Commitments</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(x) the aggregate amount of all Incremental Term Loans issued or incurred (but excluding any such Incremental Term Loan Commitments that have been terminated prior to such date of determination without being funded) on or prior to such date shall not exceed the Incremental Loan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to the extent the proceeds of any Incremental Term Loans or Incremental Term Loan Commitments are intended to be applied to finance a Limited Condition Acquisition, the Consolidated First Lien Secured Leverage Ratio shall be tested in accordance with </w:t>
      </w:r>
      <w:r>
        <w:rPr>
          <w:rFonts w:ascii="Arial" w:cs="Arial" w:eastAsia="Arial" w:hAnsi="Arial"/>
          <w:sz w:val="16"/>
          <w:szCs w:val="16"/>
          <w:u w:val="single" w:color="auto"/>
          <w:color w:val="auto"/>
        </w:rPr>
        <w:t>Section 1.06</w:t>
      </w:r>
      <w:r>
        <w:rPr>
          <w:rFonts w:ascii="Arial" w:cs="Arial" w:eastAsia="Arial" w:hAnsi="Arial"/>
          <w:sz w:val="16"/>
          <w:szCs w:val="16"/>
          <w:color w:val="auto"/>
        </w:rPr>
        <w:t xml:space="preserve"> and (y) any such request for Incremental Term Loan Commitments shall be in a minimum amount of $25.0 million and integral multiples of $1.0 million above such amount. Borrower may request Incremental Term Loan Commitments from existing Lenders and from Eligible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any existing Lender approached to provide all or a portion of the Incremental Term Loan Commitments may elect or decline, in its sole discretion, to provide all or any portion of such Incremental Term Loan Commitments offered to it and (B) any potential Lender that is not an existing Lender and agrees to make available an Incremental Term Loan Commitment shall be required to be an Eligible Assignee and shall require approval by Administrative Agent (such approval not to be unreasonably withheld or delayed).</w:t>
      </w:r>
    </w:p>
    <w:p>
      <w:pPr>
        <w:spacing w:after="0" w:line="171" w:lineRule="exact"/>
        <w:rPr>
          <w:rFonts w:ascii="Arial" w:cs="Arial" w:eastAsia="Arial" w:hAnsi="Arial"/>
          <w:sz w:val="16"/>
          <w:szCs w:val="16"/>
          <w:color w:val="auto"/>
        </w:rPr>
      </w:pPr>
    </w:p>
    <w:p>
      <w:pPr>
        <w:jc w:val="both"/>
        <w:ind w:firstLine="656"/>
        <w:spacing w:after="0" w:line="272" w:lineRule="auto"/>
        <w:tabs>
          <w:tab w:leader="none" w:pos="1133"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Incremental Effective Date</w:t>
      </w:r>
      <w:r>
        <w:rPr>
          <w:rFonts w:ascii="Arial" w:cs="Arial" w:eastAsia="Arial" w:hAnsi="Arial"/>
          <w:sz w:val="17"/>
          <w:szCs w:val="17"/>
          <w:color w:val="auto"/>
        </w:rPr>
        <w:t>. The Incremental Term Loan Commitments shall be effected by a joinder agreement to this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Incremental Joinder Agreement</w:t>
      </w:r>
      <w:r>
        <w:rPr>
          <w:rFonts w:ascii="Arial" w:cs="Arial" w:eastAsia="Arial" w:hAnsi="Arial"/>
          <w:sz w:val="17"/>
          <w:szCs w:val="17"/>
          <w:color w:val="auto"/>
        </w:rPr>
        <w:t xml:space="preserve">”) executed by Borrower, Administrative Agent and each Lender making or providing such Incremental Term Loan Commitment, in form and substance reasonably satisfactory to each of them, subject, however, to the satisfaction of the conditions precedent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The Incremental Joinder Agreement may, without the consent of any other Lenders, effect such amendments to this Agreement and the other Credit Documents as may be necessary or appropriate, in the reasonable judgment of Administrative Agent, to effect the provisions of this </w:t>
      </w:r>
      <w:r>
        <w:rPr>
          <w:rFonts w:ascii="Arial" w:cs="Arial" w:eastAsia="Arial" w:hAnsi="Arial"/>
          <w:sz w:val="17"/>
          <w:szCs w:val="17"/>
          <w:u w:val="single" w:color="auto"/>
          <w:color w:val="auto"/>
        </w:rPr>
        <w:t>Section 2.12</w:t>
      </w:r>
      <w:r>
        <w:rPr>
          <w:rFonts w:ascii="Arial" w:cs="Arial" w:eastAsia="Arial" w:hAnsi="Arial"/>
          <w:sz w:val="17"/>
          <w:szCs w:val="17"/>
          <w:color w:val="auto"/>
        </w:rPr>
        <w:t>. Administrative Agent and Borrower shall determine the effective date (each, an “</w:t>
      </w:r>
      <w:r>
        <w:rPr>
          <w:rFonts w:ascii="Arial" w:cs="Arial" w:eastAsia="Arial" w:hAnsi="Arial"/>
          <w:sz w:val="17"/>
          <w:szCs w:val="17"/>
          <w:b w:val="1"/>
          <w:bCs w:val="1"/>
          <w:color w:val="auto"/>
        </w:rPr>
        <w:t>Incremental Effective Date</w:t>
      </w:r>
      <w:r>
        <w:rPr>
          <w:rFonts w:ascii="Arial" w:cs="Arial" w:eastAsia="Arial" w:hAnsi="Arial"/>
          <w:sz w:val="17"/>
          <w:szCs w:val="17"/>
          <w:color w:val="auto"/>
        </w:rPr>
        <w:t>”) of any Incremental Term Loan Commitments and the final allocation of such Incremental Term Loan Commitments. The effectiveness of any such Incremental Term Loan Commitments shall be subject solely to the satisfaction of the following conditions to the reasonable satisfaction of Administrative Agent:</w:t>
      </w:r>
    </w:p>
    <w:p>
      <w:pPr>
        <w:spacing w:after="0" w:line="176" w:lineRule="exact"/>
        <w:rPr>
          <w:rFonts w:ascii="Arial" w:cs="Arial" w:eastAsia="Arial" w:hAnsi="Arial"/>
          <w:sz w:val="17"/>
          <w:szCs w:val="17"/>
          <w:color w:val="auto"/>
        </w:rPr>
      </w:pPr>
    </w:p>
    <w:p>
      <w:pPr>
        <w:ind w:left="660" w:firstLine="645"/>
        <w:spacing w:after="0" w:line="277" w:lineRule="auto"/>
        <w:tabs>
          <w:tab w:leader="none" w:pos="1658" w:val="left"/>
        </w:tabs>
        <w:numPr>
          <w:ilvl w:val="1"/>
          <w:numId w:val="79"/>
        </w:numPr>
        <w:rPr>
          <w:rFonts w:ascii="Arial" w:cs="Arial" w:eastAsia="Arial" w:hAnsi="Arial"/>
          <w:sz w:val="18"/>
          <w:szCs w:val="18"/>
          <w:color w:val="auto"/>
        </w:rPr>
      </w:pPr>
      <w:r>
        <w:rPr>
          <w:rFonts w:ascii="Arial" w:cs="Arial" w:eastAsia="Arial" w:hAnsi="Arial"/>
          <w:sz w:val="18"/>
          <w:szCs w:val="18"/>
          <w:color w:val="auto"/>
        </w:rPr>
        <w:t>Borrower shall deliver or cause to be delivered any legal opinions or other documents reasonably requested by Administrative Agent in connection with any such Incremental Term Loan Commitments;</w:t>
      </w:r>
    </w:p>
    <w:p>
      <w:pPr>
        <w:sectPr>
          <w:pgSz w:w="11900" w:h="16838" w:orient="portrait"/>
          <w:cols w:equalWidth="0" w:num="1">
            <w:col w:w="11420"/>
          </w:cols>
          <w:pgMar w:left="240" w:top="125" w:right="239" w:bottom="112" w:gutter="0" w:footer="0" w:header="0"/>
        </w:sectPr>
      </w:pPr>
    </w:p>
    <w:bookmarkStart w:id="92" w:name="page93"/>
    <w:bookmarkEnd w:id="92"/>
    <w:p>
      <w:pPr>
        <w:ind w:left="660" w:firstLine="645"/>
        <w:spacing w:after="0" w:line="277" w:lineRule="auto"/>
        <w:tabs>
          <w:tab w:leader="none" w:pos="17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Incremental Joinder Agreement shall have been duly executed and delivered by Borrower, Administrative Agent, and each Lender making or providing such Incremental Term Loan Commitment;</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1785"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no Event of Default shall have occurred and be continuing or would exist immediately after giving effect to such Incremental Term Loan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Incremental Term Loans (and any related Incremental Term Loan Commitments) the proceeds of which are used primarily to fund a Limited Condition Transaction substantially concurrently upon the receipt thereof, the absence of an Event of Default (other than an Event of Default specified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11.01(c)</w:t>
      </w:r>
      <w:r>
        <w:rPr>
          <w:rFonts w:ascii="Arial" w:cs="Arial" w:eastAsia="Arial" w:hAnsi="Arial"/>
          <w:sz w:val="17"/>
          <w:szCs w:val="17"/>
          <w:color w:val="auto"/>
        </w:rPr>
        <w:t xml:space="preserve"> or an Event of Default specified in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with respect to Borrower) shall not constitute a condition to the effectiveness of such Incremental Term Loans (and any related Incremental Term Loan Commitments), or the funding of such Incremental Term Loans, unless otherwise agreed by Borrower and the Lenders providing such Incremental Term Loans or Incremental Term Loan Commitments;</w:t>
      </w:r>
    </w:p>
    <w:p>
      <w:pPr>
        <w:spacing w:after="0" w:line="177" w:lineRule="exact"/>
        <w:rPr>
          <w:rFonts w:ascii="Arial" w:cs="Arial" w:eastAsia="Arial" w:hAnsi="Arial"/>
          <w:sz w:val="17"/>
          <w:szCs w:val="17"/>
          <w:color w:val="auto"/>
        </w:rPr>
      </w:pPr>
    </w:p>
    <w:p>
      <w:pPr>
        <w:jc w:val="both"/>
        <w:ind w:left="660" w:firstLine="645"/>
        <w:spacing w:after="0" w:line="267" w:lineRule="auto"/>
        <w:tabs>
          <w:tab w:leader="none" w:pos="1762"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set forth herein and in the other Credit Documents shall be true and correct in all material respects on and as of such Incremental Effective Date as if made on and as of such date (except where such representations and warranties expressly relate to an earlier date, in which case such representations and warranties shall have been true and correct in all material respects as of such earlier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representation and warranty that is qualified as to “materiality,” “Material Adverse Effect” or similar language shall be true and</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correct in all respects on such dates;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xml:space="preserve">, that, with respect to any Incremental Term Loans and related Incremental Term Loan Commitments the proceeds of which are used primarily to fund a Limited Condition Transaction substantially concurrently upon the receipt thereof, the only representations and warranties the making of which shall be a condition to the effectiveness of such Incremental Term Loans and related Incremental Term Loan Commitments and the funding of such Incremental Term Loans shall be (except as otherwise agreed, as it pertains to additional representations and warranties by Borrower and the Lenders providing such Incremental Term Loans or Incremental Term Loan Commitments and set forth in the applicable Incremental Joinder Agreement) (x) the representations and warranties set forth in </w:t>
      </w:r>
      <w:r>
        <w:rPr>
          <w:rFonts w:ascii="Arial" w:cs="Arial" w:eastAsia="Arial" w:hAnsi="Arial"/>
          <w:sz w:val="17"/>
          <w:szCs w:val="17"/>
          <w:u w:val="single" w:color="auto"/>
          <w:color w:val="auto"/>
        </w:rPr>
        <w:t>Sections 8.01(a)</w:t>
      </w:r>
      <w:r>
        <w:rPr>
          <w:rFonts w:ascii="Arial" w:cs="Arial" w:eastAsia="Arial" w:hAnsi="Arial"/>
          <w:sz w:val="17"/>
          <w:szCs w:val="17"/>
          <w:color w:val="auto"/>
        </w:rPr>
        <w:t xml:space="preserve"> (but only with respect to Credit Parties), </w:t>
      </w:r>
      <w:r>
        <w:rPr>
          <w:rFonts w:ascii="Arial" w:cs="Arial" w:eastAsia="Arial" w:hAnsi="Arial"/>
          <w:sz w:val="17"/>
          <w:szCs w:val="17"/>
          <w:u w:val="single" w:color="auto"/>
          <w:color w:val="auto"/>
        </w:rPr>
        <w:t>8.04(a)(i)</w:t>
      </w:r>
      <w:r>
        <w:rPr>
          <w:rFonts w:ascii="Arial" w:cs="Arial" w:eastAsia="Arial" w:hAnsi="Arial"/>
          <w:sz w:val="17"/>
          <w:szCs w:val="17"/>
          <w:color w:val="auto"/>
        </w:rPr>
        <w:t xml:space="preserve">, </w:t>
      </w:r>
      <w:r>
        <w:rPr>
          <w:rFonts w:ascii="Arial" w:cs="Arial" w:eastAsia="Arial" w:hAnsi="Arial"/>
          <w:sz w:val="17"/>
          <w:szCs w:val="17"/>
          <w:u w:val="single" w:color="auto"/>
          <w:color w:val="auto"/>
        </w:rPr>
        <w:t>8.04(a)(ii)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8.05</w:t>
      </w:r>
      <w:r>
        <w:rPr>
          <w:rFonts w:ascii="Arial" w:cs="Arial" w:eastAsia="Arial" w:hAnsi="Arial"/>
          <w:sz w:val="17"/>
          <w:szCs w:val="17"/>
          <w:color w:val="auto"/>
        </w:rPr>
        <w:t xml:space="preserve"> (but only as it relates to the Credit Documents), </w:t>
      </w:r>
      <w:r>
        <w:rPr>
          <w:rFonts w:ascii="Arial" w:cs="Arial" w:eastAsia="Arial" w:hAnsi="Arial"/>
          <w:sz w:val="17"/>
          <w:szCs w:val="17"/>
          <w:u w:val="single" w:color="auto"/>
          <w:color w:val="auto"/>
        </w:rPr>
        <w:t>8.09</w:t>
      </w:r>
      <w:r>
        <w:rPr>
          <w:rFonts w:ascii="Arial" w:cs="Arial" w:eastAsia="Arial" w:hAnsi="Arial"/>
          <w:sz w:val="17"/>
          <w:szCs w:val="17"/>
          <w:color w:val="auto"/>
        </w:rPr>
        <w:t xml:space="preserve">, </w:t>
      </w:r>
      <w:r>
        <w:rPr>
          <w:rFonts w:ascii="Arial" w:cs="Arial" w:eastAsia="Arial" w:hAnsi="Arial"/>
          <w:sz w:val="17"/>
          <w:szCs w:val="17"/>
          <w:u w:val="single" w:color="auto"/>
          <w:color w:val="auto"/>
        </w:rPr>
        <w:t>8.11(a)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8.11(b)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8.14</w:t>
      </w:r>
      <w:r>
        <w:rPr>
          <w:rFonts w:ascii="Arial" w:cs="Arial" w:eastAsia="Arial" w:hAnsi="Arial"/>
          <w:sz w:val="17"/>
          <w:szCs w:val="17"/>
          <w:color w:val="auto"/>
        </w:rPr>
        <w:t xml:space="preserve"> (but only as it relates to security interests that may be perfected solely through the filing of UCC financing statements and delivery of certificated securities collateral representing Equity Interests in United States Persons), </w:t>
      </w:r>
      <w:r>
        <w:rPr>
          <w:rFonts w:ascii="Arial" w:cs="Arial" w:eastAsia="Arial" w:hAnsi="Arial"/>
          <w:sz w:val="17"/>
          <w:szCs w:val="17"/>
          <w:u w:val="single" w:color="auto"/>
          <w:color w:val="auto"/>
        </w:rPr>
        <w:t>8.17</w:t>
      </w:r>
      <w:r>
        <w:rPr>
          <w:rFonts w:ascii="Arial" w:cs="Arial" w:eastAsia="Arial" w:hAnsi="Arial"/>
          <w:sz w:val="17"/>
          <w:szCs w:val="17"/>
          <w:color w:val="auto"/>
        </w:rPr>
        <w:t xml:space="preserve">, </w:t>
      </w:r>
      <w:r>
        <w:rPr>
          <w:rFonts w:ascii="Arial" w:cs="Arial" w:eastAsia="Arial" w:hAnsi="Arial"/>
          <w:sz w:val="17"/>
          <w:szCs w:val="17"/>
          <w:u w:val="single" w:color="auto"/>
          <w:color w:val="auto"/>
        </w:rPr>
        <w:t>8.22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8.23</w:t>
      </w:r>
      <w:r>
        <w:rPr>
          <w:rFonts w:ascii="Arial" w:cs="Arial" w:eastAsia="Arial" w:hAnsi="Arial"/>
          <w:sz w:val="17"/>
          <w:szCs w:val="17"/>
          <w:color w:val="auto"/>
        </w:rPr>
        <w:t xml:space="preserve"> (as it relates to the use of proceeds of the Loans on the Incremental Effective Date) and (y) the representations and warranties contained in the acquisition agreement relating to such Permitted Acquisition or other Acquisition as are material to the interests of the Lenders, but only to the extent that Borrower or any of its Affiliates have the right to terminate its or their obligations under such acquisition agreement as a result of a breach of such representations and warranties in such acquisition agreement;</w:t>
      </w:r>
    </w:p>
    <w:p>
      <w:pPr>
        <w:spacing w:after="0" w:line="192" w:lineRule="exact"/>
        <w:rPr>
          <w:rFonts w:ascii="Arial" w:cs="Arial" w:eastAsia="Arial" w:hAnsi="Arial"/>
          <w:sz w:val="17"/>
          <w:szCs w:val="17"/>
          <w:color w:val="auto"/>
        </w:rPr>
      </w:pPr>
    </w:p>
    <w:p>
      <w:pPr>
        <w:jc w:val="both"/>
        <w:ind w:left="660" w:firstLine="645"/>
        <w:spacing w:after="0" w:line="269" w:lineRule="auto"/>
        <w:tabs>
          <w:tab w:leader="none" w:pos="1739" w:val="left"/>
        </w:tabs>
        <w:numPr>
          <w:ilvl w:val="0"/>
          <w:numId w:val="80"/>
        </w:numPr>
        <w:rPr>
          <w:rFonts w:ascii="Arial" w:cs="Arial" w:eastAsia="Arial" w:hAnsi="Arial"/>
          <w:sz w:val="17"/>
          <w:szCs w:val="17"/>
          <w:color w:val="auto"/>
        </w:rPr>
      </w:pPr>
      <w:r>
        <w:rPr>
          <w:rFonts w:ascii="Arial" w:cs="Arial" w:eastAsia="Arial" w:hAnsi="Arial"/>
          <w:sz w:val="17"/>
          <w:szCs w:val="17"/>
          <w:color w:val="auto"/>
        </w:rPr>
        <w:t xml:space="preserve">(A) without the written consent of (x) the Required Tranche Lenders with respect to any Tranches of then-existing Term Loans that have a maturity date after the proposed maturity date of any New Term Loans, the final stated maturity of any New Term Loans shall not be earlier than the then-existing Final Maturity Date with respect to any then-existing Tranche of Term Loans, and (y) the Required Tranche Lenders with respect to any Tranches of then-existing Term Loans that have a Weighted Average Life to Maturity that is longer than the proposed Weighted Average Life to Maturity of any New Term Loans, the Weighted Average Life to Maturity of any New Term Loans shall be no shorter than the Weighted Average Life to Maturity of any then-existing Tranche of Term Loans (without giving effect to the effect of prepayments made under any existing Tranche of Term Loans on amortization); it being understood that, subject to the foregoing, (i) the amortization schedule applicable to such New Term Loans shall be determined by Borrower and the lenders of such New Term Loans and (ii) in the case of Incremental Term Facility Loans, appropriate adjustments shall be made to the amortization schedule applicable to Term Facility Loans as are necessary to provide for the “fungibility” of such Incremental Term Facility Loans with the existing Term Facility Loans and (B) the New Term Loans shall (i) not be guaranteed by any Subsidiary other than Subsidiaries that are Guarantors and (ii) be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and shall not be secured by any property or assets other than Collateral.</w:t>
      </w:r>
    </w:p>
    <w:p>
      <w:pPr>
        <w:spacing w:after="0" w:line="179" w:lineRule="exact"/>
        <w:rPr>
          <w:rFonts w:ascii="Arial" w:cs="Arial" w:eastAsia="Arial" w:hAnsi="Arial"/>
          <w:sz w:val="17"/>
          <w:szCs w:val="17"/>
          <w:color w:val="auto"/>
        </w:rPr>
      </w:pPr>
    </w:p>
    <w:p>
      <w:pPr>
        <w:jc w:val="both"/>
        <w:ind w:left="660" w:firstLine="645"/>
        <w:spacing w:after="0" w:line="342" w:lineRule="auto"/>
        <w:tabs>
          <w:tab w:leader="none" w:pos="1910"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the yields and interest rate margins (in each case subject to Section 2.12(c)) and, except as set forth in clause (v) of this </w:t>
      </w:r>
      <w:r>
        <w:rPr>
          <w:rFonts w:ascii="Arial" w:cs="Arial" w:eastAsia="Arial" w:hAnsi="Arial"/>
          <w:sz w:val="16"/>
          <w:szCs w:val="16"/>
          <w:u w:val="single" w:color="auto"/>
          <w:color w:val="auto"/>
        </w:rPr>
        <w:t>Section 2.12(b)</w:t>
      </w:r>
      <w:r>
        <w:rPr>
          <w:rFonts w:ascii="Arial" w:cs="Arial" w:eastAsia="Arial" w:hAnsi="Arial"/>
          <w:sz w:val="16"/>
          <w:szCs w:val="16"/>
          <w:color w:val="auto"/>
        </w:rPr>
        <w:t>, amortization schedule, applicable to any New Term Loans shall be as determined by Borrower and the holders of such Indebtedness;</w:t>
      </w:r>
    </w:p>
    <w:p>
      <w:pPr>
        <w:spacing w:after="0" w:line="123" w:lineRule="exact"/>
        <w:rPr>
          <w:rFonts w:ascii="Arial" w:cs="Arial" w:eastAsia="Arial" w:hAnsi="Arial"/>
          <w:sz w:val="16"/>
          <w:szCs w:val="16"/>
          <w:color w:val="auto"/>
        </w:rPr>
      </w:pPr>
    </w:p>
    <w:p>
      <w:pPr>
        <w:jc w:val="both"/>
        <w:ind w:left="660" w:firstLine="645"/>
        <w:spacing w:after="0" w:line="285" w:lineRule="auto"/>
        <w:tabs>
          <w:tab w:leader="none" w:pos="1947" w:val="left"/>
        </w:tabs>
        <w:numPr>
          <w:ilvl w:val="0"/>
          <w:numId w:val="8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and in clauses (i) through (vi) of this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the terms (excluding maturity, amortization, pricing, fees, rate floors, premiums, optional prepayment or optional redemption provisions) applicable to any New Term Loans shall be (as determined by Borrower in good faith) substantially consistent with those applicable to any then-existing Term Facility Loans as existing on the date of incurrence of such New Term Loans except, to the extent such terms (x) at the option of Borrower (1) reflect market terms and conditions (taken as a whole) at the time of incurrence or issuance (as determined by Borrower in good faith);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financial maintenance covenant is added for the benefit of any New Term Loans, such financial maintenance covenant shall also be applicable to the Term Facility Loans (except to the extent such financial maintenance covenant applies only to periods after the Final Maturity Date applicable to the Term Facility Loans) or (2) are not materially more restrictive to Borrower (as determined by Borrower in good faith), when taken as a whole, than the terms of the Term Facility Loans (except for covenants or other provisions applicable only to periods after the Final Maturity Date applicable to the Term Facility Loans) (it being understood that any New Term Loans may provide for the ability to participate (i) with respect to any borrowings, voluntary prepayments or voluntary commitment reductions, on a pro rata basis or less than pro rata basis with the applicable Loans or facility and (ii) with respect to any mandatory prepayments, on a pro rata basis or less than pro rata basis with the applicable Loans (and on a greater than pro rata basis with respect to prepayments of any New Term Loans with the proceeds of permitted refinancing Indebtedness), or (y) are (1) added to the Term Facility Loans, (2) applicable only after the Final Maturity Date applicable to the Term Facility Loans, or (3) otherwise reasonably satisfactory to Administrative Agent (it being understood that to the extent any financial maintenance covenant is added for the benefit of any such New Term Loans, no consent shall be required from Administrative Agent or any of the Lenders to the extent that such financial maintenance covenant (together with any related “equity cure” provisions) is also added for the benefit of any corresponding Term Facility Loans);</w:t>
      </w:r>
    </w:p>
    <w:p>
      <w:pPr>
        <w:spacing w:after="0" w:line="175" w:lineRule="exact"/>
        <w:rPr>
          <w:rFonts w:ascii="Arial" w:cs="Arial" w:eastAsia="Arial" w:hAnsi="Arial"/>
          <w:sz w:val="16"/>
          <w:szCs w:val="16"/>
          <w:color w:val="auto"/>
        </w:rPr>
      </w:pPr>
    </w:p>
    <w:p>
      <w:pPr>
        <w:jc w:val="both"/>
        <w:ind w:left="660" w:firstLine="645"/>
        <w:spacing w:after="0" w:line="257" w:lineRule="auto"/>
        <w:tabs>
          <w:tab w:leader="none" w:pos="1956" w:val="left"/>
        </w:tabs>
        <w:numPr>
          <w:ilvl w:val="0"/>
          <w:numId w:val="80"/>
        </w:numPr>
        <w:rPr>
          <w:rFonts w:ascii="Arial" w:cs="Arial" w:eastAsia="Arial" w:hAnsi="Arial"/>
          <w:sz w:val="18"/>
          <w:szCs w:val="18"/>
          <w:color w:val="auto"/>
        </w:rPr>
      </w:pPr>
      <w:r>
        <w:rPr>
          <w:rFonts w:ascii="Arial" w:cs="Arial" w:eastAsia="Arial" w:hAnsi="Arial"/>
          <w:sz w:val="18"/>
          <w:szCs w:val="18"/>
          <w:color w:val="auto"/>
        </w:rPr>
        <w:t xml:space="preserve">any Incremental Term Facility Loans (and the corresponding Incremental Term Facility Loan Commitments) shall have terms identical to the terms of the existing Term Facility Loans (and the existing Term Facility Loan Commitments);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upfront fees or original issue discount may be paid to Lenders providing such Incremental Term Facility Loans as agreed by such Lenders and Borrower, and the conditions applicable to the incurrence of such Incremental Term Facility Loans (and the corresponding Incremental Term Facility Loan Commitments) shall be as provided in this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Upon the effectiveness of any Incremental Term Loan Commitment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any Person providing an Incremental Term Loan Commitment that was not a Lender hereunder immediately prior to such time shall become a Lender hereunder. Administrative Agent shall promptly notify each Lender as to the effectiveness of any Incremental Term Loan Commitments, and (i) any Incremental Term Facility Loans (to the extent funded) shall be deemed to be Term Facility Loans hereunder and (ii) any New Term Loans shall be deemed to be additional Term Loans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Such amendments may include provisions allowing any New Term Loans to be treated on the same</w:t>
      </w:r>
    </w:p>
    <w:p>
      <w:pPr>
        <w:sectPr>
          <w:pgSz w:w="11900" w:h="16838" w:orient="portrait"/>
          <w:cols w:equalWidth="0" w:num="1">
            <w:col w:w="11420"/>
          </w:cols>
          <w:pgMar w:left="240" w:top="125" w:right="239" w:bottom="0" w:gutter="0" w:footer="0" w:header="0"/>
        </w:sectPr>
      </w:pPr>
    </w:p>
    <w:bookmarkStart w:id="93" w:name="page94"/>
    <w:bookmarkEnd w:id="93"/>
    <w:p>
      <w:pPr>
        <w:ind w:right="20"/>
        <w:spacing w:after="0" w:line="277" w:lineRule="auto"/>
        <w:rPr>
          <w:sz w:val="20"/>
          <w:szCs w:val="20"/>
          <w:color w:val="auto"/>
        </w:rPr>
      </w:pPr>
      <w:r>
        <w:rPr>
          <w:rFonts w:ascii="Arial" w:cs="Arial" w:eastAsia="Arial" w:hAnsi="Arial"/>
          <w:sz w:val="18"/>
          <w:szCs w:val="18"/>
          <w:color w:val="auto"/>
        </w:rPr>
        <w:t>basis as Term Facility Loans. In connection with the incurrence of any Incremental Term Facility Loans, Borrower shall be permitted to terminate any Interest Period applicable to Term Facility Loans on the date such Incremental Term Facility Loans are incurred.</w:t>
      </w:r>
    </w:p>
    <w:p>
      <w:pPr>
        <w:spacing w:after="0" w:line="166" w:lineRule="exact"/>
        <w:rPr>
          <w:sz w:val="20"/>
          <w:szCs w:val="20"/>
          <w:color w:val="auto"/>
        </w:rPr>
      </w:pPr>
    </w:p>
    <w:p>
      <w:pPr>
        <w:jc w:val="both"/>
        <w:ind w:firstLine="656"/>
        <w:spacing w:after="0" w:line="292" w:lineRule="auto"/>
        <w:tabs>
          <w:tab w:leader="none" w:pos="1082"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Terms of Incremental Term Loan Commitments and Loans</w:t>
      </w:r>
      <w:r>
        <w:rPr>
          <w:rFonts w:ascii="Arial" w:cs="Arial" w:eastAsia="Arial" w:hAnsi="Arial"/>
          <w:sz w:val="16"/>
          <w:szCs w:val="16"/>
          <w:color w:val="auto"/>
        </w:rPr>
        <w:t>. The yield applicable to the Incremental Term Loans shall be determined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Borrower and the applicable new Lenders and shall be set forth in each applicable Incremental Joinder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the case of any Incremental Term Facility Loans or New Term Loans issued within twelve (12) months after the Closing Date, if the All-In Yield applicable to such Incremental Term Facility Loans or New Term Loans is greater than the All-In Yield payable pursuant to the terms of this Agreement as amended through the date of such calculation with respect to Term Facility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50 basis points per annum, then the interest rate with respect to the Term Facility Loans shall be increased (pursuant to the applicable Incremental Joinder Agreement) so as to cause the then applicable All-In Yield under this Agreement on the Term Facility Loans to equal the All-In Yield then applicable to such Incremental Term Facility Loans or New Term Loans, </w:t>
      </w:r>
      <w:r>
        <w:rPr>
          <w:rFonts w:ascii="Arial" w:cs="Arial" w:eastAsia="Arial" w:hAnsi="Arial"/>
          <w:sz w:val="16"/>
          <w:szCs w:val="16"/>
          <w:i w:val="1"/>
          <w:iCs w:val="1"/>
          <w:color w:val="auto"/>
        </w:rPr>
        <w:t>minus</w:t>
      </w:r>
      <w:r>
        <w:rPr>
          <w:rFonts w:ascii="Arial" w:cs="Arial" w:eastAsia="Arial" w:hAnsi="Arial"/>
          <w:sz w:val="16"/>
          <w:szCs w:val="16"/>
          <w:color w:val="auto"/>
        </w:rPr>
        <w:t xml:space="preserve"> 50 basis points.</w:t>
      </w:r>
    </w:p>
    <w:p>
      <w:pPr>
        <w:spacing w:after="0" w:line="161" w:lineRule="exact"/>
        <w:rPr>
          <w:rFonts w:ascii="Arial" w:cs="Arial" w:eastAsia="Arial" w:hAnsi="Arial"/>
          <w:sz w:val="16"/>
          <w:szCs w:val="16"/>
          <w:color w:val="auto"/>
        </w:rPr>
      </w:pPr>
    </w:p>
    <w:p>
      <w:pPr>
        <w:jc w:val="both"/>
        <w:ind w:firstLine="656"/>
        <w:spacing w:after="0" w:line="255" w:lineRule="auto"/>
        <w:tabs>
          <w:tab w:leader="none" w:pos="1065"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Equal and Ratable Benefit</w:t>
      </w:r>
      <w:r>
        <w:rPr>
          <w:rFonts w:ascii="Arial" w:cs="Arial" w:eastAsia="Arial" w:hAnsi="Arial"/>
          <w:sz w:val="18"/>
          <w:szCs w:val="18"/>
          <w:color w:val="auto"/>
        </w:rPr>
        <w:t>. The Loans and Commitments established pursuant to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constitute Loans and Commitments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establishment of any Incremental Term Loan Commitments or the funding of Loans thereunder, including, without limitation, the procurement of title insurance endorsements reasonably requested by and satisfactory to the Administrative Agent.</w:t>
      </w:r>
    </w:p>
    <w:p>
      <w:pPr>
        <w:spacing w:after="0" w:line="189" w:lineRule="exact"/>
        <w:rPr>
          <w:rFonts w:ascii="Arial" w:cs="Arial" w:eastAsia="Arial" w:hAnsi="Arial"/>
          <w:sz w:val="18"/>
          <w:szCs w:val="18"/>
          <w:color w:val="auto"/>
        </w:rPr>
      </w:pPr>
    </w:p>
    <w:p>
      <w:pPr>
        <w:jc w:val="both"/>
        <w:ind w:firstLine="656"/>
        <w:spacing w:after="0" w:line="258" w:lineRule="auto"/>
        <w:tabs>
          <w:tab w:leader="none" w:pos="1122"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Incremental Joinder Agreements</w:t>
      </w:r>
      <w:r>
        <w:rPr>
          <w:rFonts w:ascii="Arial" w:cs="Arial" w:eastAsia="Arial" w:hAnsi="Arial"/>
          <w:sz w:val="18"/>
          <w:szCs w:val="18"/>
          <w:color w:val="auto"/>
        </w:rPr>
        <w:t>. An Incremental Joinder Agreement may,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2.12(b)</w:t>
      </w:r>
      <w:r>
        <w:rPr>
          <w:rFonts w:ascii="Arial" w:cs="Arial" w:eastAsia="Arial" w:hAnsi="Arial"/>
          <w:sz w:val="18"/>
          <w:szCs w:val="18"/>
          <w:color w:val="auto"/>
        </w:rPr>
        <w:t>, without the consent of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Lenders, effect such amendments to this Agreement and the other Credit Documents as may be necessary or advisable, in the reasonable opinion of Administrative Agent and Borrower, to effect the provisions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(including, without limitation, such technical amendments as may be necessary or advisable, in the reasonable opinion of Administrative Agent and Borrower, to give effect to the terms and provisions of any Incremental Term Loan Commitments (and any Loans made in respect thereof)).</w:t>
      </w:r>
    </w:p>
    <w:p>
      <w:pPr>
        <w:spacing w:after="0" w:line="183" w:lineRule="exact"/>
        <w:rPr>
          <w:rFonts w:ascii="Arial" w:cs="Arial" w:eastAsia="Arial" w:hAnsi="Arial"/>
          <w:sz w:val="18"/>
          <w:szCs w:val="18"/>
          <w:color w:val="auto"/>
        </w:rPr>
      </w:pPr>
    </w:p>
    <w:p>
      <w:pPr>
        <w:ind w:left="1020" w:hanging="364"/>
        <w:spacing w:after="0"/>
        <w:tabs>
          <w:tab w:leader="none" w:pos="1020"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Supersede</w:t>
      </w:r>
      <w:r>
        <w:rPr>
          <w:rFonts w:ascii="Arial" w:cs="Arial" w:eastAsia="Arial" w:hAnsi="Arial"/>
          <w:sz w:val="18"/>
          <w:szCs w:val="18"/>
          <w:color w:val="auto"/>
        </w:rPr>
        <w:t>.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2.12</w:t>
      </w:r>
      <w:r>
        <w:rPr>
          <w:rFonts w:ascii="Arial" w:cs="Arial" w:eastAsia="Arial" w:hAnsi="Arial"/>
          <w:sz w:val="18"/>
          <w:szCs w:val="18"/>
          <w:b w:val="1"/>
          <w:bCs w:val="1"/>
          <w:color w:val="auto"/>
        </w:rPr>
        <w:t xml:space="preserve"> </w:t>
      </w:r>
      <w:r>
        <w:rPr>
          <w:rFonts w:ascii="Arial" w:cs="Arial" w:eastAsia="Arial" w:hAnsi="Arial"/>
          <w:sz w:val="18"/>
          <w:szCs w:val="18"/>
          <w:color w:val="auto"/>
        </w:rPr>
        <w:t>shall supersede any provisions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13.04</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contrary.</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color w:val="auto"/>
        </w:rPr>
        <w:t>Extensions of Loans and Commitments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84" w:lineRule="auto"/>
        <w:tabs>
          <w:tab w:leader="none" w:pos="1041" w:val="left"/>
        </w:tabs>
        <w:numPr>
          <w:ilvl w:val="0"/>
          <w:numId w:val="82"/>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Term Loans of any Tranche (an “</w:t>
      </w:r>
      <w:r>
        <w:rPr>
          <w:rFonts w:ascii="Arial" w:cs="Arial" w:eastAsia="Arial" w:hAnsi="Arial"/>
          <w:sz w:val="16"/>
          <w:szCs w:val="16"/>
          <w:b w:val="1"/>
          <w:bCs w:val="1"/>
          <w:color w:val="auto"/>
        </w:rPr>
        <w:t>Existing Term Loan Tranche</w:t>
      </w:r>
      <w:r>
        <w:rPr>
          <w:rFonts w:ascii="Arial" w:cs="Arial" w:eastAsia="Arial" w:hAnsi="Arial"/>
          <w:sz w:val="16"/>
          <w:szCs w:val="16"/>
          <w:color w:val="auto"/>
        </w:rPr>
        <w:t>”) be modified to constitute another Tranche of Term Loans in order to extend the scheduled final maturity date thereof (any such Term Loans which have been so modified, “</w:t>
      </w:r>
      <w:r>
        <w:rPr>
          <w:rFonts w:ascii="Arial" w:cs="Arial" w:eastAsia="Arial" w:hAnsi="Arial"/>
          <w:sz w:val="16"/>
          <w:szCs w:val="16"/>
          <w:b w:val="1"/>
          <w:bCs w:val="1"/>
          <w:color w:val="auto"/>
        </w:rPr>
        <w:t>Extended Term Loans</w:t>
      </w:r>
      <w:r>
        <w:rPr>
          <w:rFonts w:ascii="Arial" w:cs="Arial" w:eastAsia="Arial" w:hAnsi="Arial"/>
          <w:sz w:val="16"/>
          <w:szCs w:val="16"/>
          <w:color w:val="auto"/>
        </w:rPr>
        <w:t xml:space="preserve">”) and to provide for other terms consistent with this </w:t>
      </w:r>
      <w:r>
        <w:rPr>
          <w:rFonts w:ascii="Arial" w:cs="Arial" w:eastAsia="Arial" w:hAnsi="Arial"/>
          <w:sz w:val="16"/>
          <w:szCs w:val="16"/>
          <w:u w:val="single" w:color="auto"/>
          <w:color w:val="auto"/>
        </w:rPr>
        <w:t>Section 2.13</w:t>
      </w:r>
      <w:r>
        <w:rPr>
          <w:rFonts w:ascii="Arial" w:cs="Arial" w:eastAsia="Arial" w:hAnsi="Arial"/>
          <w:sz w:val="16"/>
          <w:szCs w:val="16"/>
          <w:color w:val="auto"/>
        </w:rPr>
        <w:t>. In order to establish any Extended Term Loans, Borrower shall provide a notice to Administrative Agent (who shall provide a copy of such notice to each of the Lenders of the applicable Existing Term Loan Tranche) (a “</w:t>
      </w:r>
      <w:r>
        <w:rPr>
          <w:rFonts w:ascii="Arial" w:cs="Arial" w:eastAsia="Arial" w:hAnsi="Arial"/>
          <w:sz w:val="16"/>
          <w:szCs w:val="16"/>
          <w:b w:val="1"/>
          <w:bCs w:val="1"/>
          <w:color w:val="auto"/>
        </w:rPr>
        <w:t>Term Loan Extension Request</w:t>
      </w:r>
      <w:r>
        <w:rPr>
          <w:rFonts w:ascii="Arial" w:cs="Arial" w:eastAsia="Arial" w:hAnsi="Arial"/>
          <w:sz w:val="16"/>
          <w:szCs w:val="16"/>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or a less than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(but not greater than a </w:t>
      </w:r>
      <w:r>
        <w:rPr>
          <w:rFonts w:ascii="Arial" w:cs="Arial" w:eastAsia="Arial" w:hAnsi="Arial"/>
          <w:sz w:val="16"/>
          <w:szCs w:val="16"/>
          <w:i w:val="1"/>
          <w:iCs w:val="1"/>
          <w:color w:val="auto"/>
        </w:rPr>
        <w:t>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rata </w:t>
      </w:r>
      <w:r>
        <w:rPr>
          <w:rFonts w:ascii="Arial" w:cs="Arial" w:eastAsia="Arial" w:hAnsi="Arial"/>
          <w:sz w:val="16"/>
          <w:szCs w:val="16"/>
          <w:color w:val="auto"/>
        </w:rPr>
        <w:t>basis) in any optional or mandatory prepayments or prepayment of Term Loans hereunder in each case as specified in the respective Term Loan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Extension Request, and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 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Weighted Average Life to Maturity of such Extended Term Loans shall be no shorter than the Weighted Average Life to Maturity of the Term Loans of such Existing Term Loan Tranche. Except as provided above, each Lender holding Extended Term Loans shall be entitled to all the benefits afforded by this Agreement (including, without limitation, the provisions set forth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2.10(b)</w:t>
      </w:r>
      <w:r>
        <w:rPr>
          <w:rFonts w:ascii="Arial" w:cs="Arial" w:eastAsia="Arial" w:hAnsi="Arial"/>
          <w:sz w:val="16"/>
          <w:szCs w:val="16"/>
          <w:color w:val="auto"/>
        </w:rPr>
        <w:t xml:space="preserve">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395" w:lineRule="exact"/>
        <w:rPr>
          <w:rFonts w:ascii="Arial" w:cs="Arial" w:eastAsia="Arial" w:hAnsi="Arial"/>
          <w:sz w:val="16"/>
          <w:szCs w:val="16"/>
          <w:color w:val="auto"/>
        </w:rPr>
      </w:pPr>
    </w:p>
    <w:p>
      <w:pPr>
        <w:ind w:left="1040" w:hanging="384"/>
        <w:spacing w:after="0"/>
        <w:tabs>
          <w:tab w:leader="none" w:pos="10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055" w:val="left"/>
        </w:tabs>
        <w:numPr>
          <w:ilvl w:val="0"/>
          <w:numId w:val="82"/>
        </w:numPr>
        <w:rPr>
          <w:rFonts w:ascii="Arial" w:cs="Arial" w:eastAsia="Arial" w:hAnsi="Arial"/>
          <w:sz w:val="17"/>
          <w:szCs w:val="17"/>
          <w:color w:val="auto"/>
        </w:rPr>
      </w:pPr>
      <w:r>
        <w:rPr>
          <w:rFonts w:ascii="Arial" w:cs="Arial" w:eastAsia="Arial" w:hAnsi="Arial"/>
          <w:sz w:val="17"/>
          <w:szCs w:val="17"/>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Arial" w:cs="Arial" w:eastAsia="Arial" w:hAnsi="Arial"/>
          <w:sz w:val="17"/>
          <w:szCs w:val="17"/>
          <w:b w:val="1"/>
          <w:bCs w:val="1"/>
          <w:color w:val="auto"/>
        </w:rPr>
        <w:t>Extending Lender</w:t>
      </w:r>
      <w:r>
        <w:rPr>
          <w:rFonts w:ascii="Arial" w:cs="Arial" w:eastAsia="Arial" w:hAnsi="Arial"/>
          <w:sz w:val="17"/>
          <w:szCs w:val="17"/>
          <w:color w:val="auto"/>
        </w:rPr>
        <w:t>”) wishing to have all or a portion of its Term Loans of the existing Tranche subject to such Extension Request modified to constitute Extended Term Loans shall notify Administrative Agent (an “</w:t>
      </w:r>
      <w:r>
        <w:rPr>
          <w:rFonts w:ascii="Arial" w:cs="Arial" w:eastAsia="Arial" w:hAnsi="Arial"/>
          <w:sz w:val="17"/>
          <w:szCs w:val="17"/>
          <w:b w:val="1"/>
          <w:bCs w:val="1"/>
          <w:color w:val="auto"/>
        </w:rPr>
        <w:t>Extension Election</w:t>
      </w:r>
      <w:r>
        <w:rPr>
          <w:rFonts w:ascii="Arial" w:cs="Arial" w:eastAsia="Arial" w:hAnsi="Arial"/>
          <w:sz w:val="17"/>
          <w:szCs w:val="17"/>
          <w:color w:val="auto"/>
        </w:rPr>
        <w:t xml:space="preserve">”) on or prior to the date specified in such Extension Request of the amount of its Term Loans of the existing Tranche that it has elected to modify to constitute Extended Term Loans. In the event that the aggregate amount of Term Loans of the existing Tranche subject to Extension Elections exceeds the amount of Extended Term Loans requested pursuant to the Extension Request, Term Loans subject to such Extension Elections shall be modified to constitute Extended Term Loans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the amount of Term Loans included in such Extension Elections. Borrower shall have the right to withdraw any Extension Request upon written notice to Administrative Agent in the event that the aggregate amount of Term Loans of the existing Tranche subject to such Extension Request is less than the amount of Extended Term Loans requested pursuant to such Extension Request.</w:t>
      </w:r>
    </w:p>
    <w:p>
      <w:pPr>
        <w:spacing w:after="0" w:line="173" w:lineRule="exact"/>
        <w:rPr>
          <w:rFonts w:ascii="Arial" w:cs="Arial" w:eastAsia="Arial" w:hAnsi="Arial"/>
          <w:sz w:val="17"/>
          <w:szCs w:val="17"/>
          <w:color w:val="auto"/>
        </w:rPr>
      </w:pPr>
    </w:p>
    <w:p>
      <w:pPr>
        <w:jc w:val="both"/>
        <w:ind w:firstLine="656"/>
        <w:spacing w:after="0" w:line="295" w:lineRule="auto"/>
        <w:tabs>
          <w:tab w:leader="none" w:pos="1146" w:val="left"/>
        </w:tabs>
        <w:numPr>
          <w:ilvl w:val="0"/>
          <w:numId w:val="82"/>
        </w:numPr>
        <w:rPr>
          <w:rFonts w:ascii="Arial" w:cs="Arial" w:eastAsia="Arial" w:hAnsi="Arial"/>
          <w:sz w:val="16"/>
          <w:szCs w:val="16"/>
          <w:color w:val="auto"/>
        </w:rPr>
      </w:pPr>
      <w:r>
        <w:rPr>
          <w:rFonts w:ascii="Arial" w:cs="Arial" w:eastAsia="Arial" w:hAnsi="Arial"/>
          <w:sz w:val="16"/>
          <w:szCs w:val="16"/>
          <w:color w:val="auto"/>
        </w:rPr>
        <w:t>Extended Term Loans shall be established pursuant to an amendment (an “</w:t>
      </w:r>
      <w:r>
        <w:rPr>
          <w:rFonts w:ascii="Arial" w:cs="Arial" w:eastAsia="Arial" w:hAnsi="Arial"/>
          <w:sz w:val="16"/>
          <w:szCs w:val="16"/>
          <w:b w:val="1"/>
          <w:bCs w:val="1"/>
          <w:color w:val="auto"/>
        </w:rPr>
        <w:t>Extension Amendment</w:t>
      </w:r>
      <w:r>
        <w:rPr>
          <w:rFonts w:ascii="Arial" w:cs="Arial" w:eastAsia="Arial" w:hAnsi="Arial"/>
          <w:sz w:val="16"/>
          <w:szCs w:val="16"/>
          <w:color w:val="auto"/>
        </w:rPr>
        <w:t xml:space="preserve">”) to this Agreement (which shall be substantially in the form of </w:t>
      </w:r>
      <w:r>
        <w:rPr>
          <w:rFonts w:ascii="Arial" w:cs="Arial" w:eastAsia="Arial" w:hAnsi="Arial"/>
          <w:sz w:val="16"/>
          <w:szCs w:val="16"/>
          <w:u w:val="single" w:color="auto"/>
          <w:color w:val="auto"/>
        </w:rPr>
        <w:t>Exhibit M</w:t>
      </w:r>
      <w:r>
        <w:rPr>
          <w:rFonts w:ascii="Arial" w:cs="Arial" w:eastAsia="Arial" w:hAnsi="Arial"/>
          <w:sz w:val="16"/>
          <w:szCs w:val="16"/>
          <w:color w:val="auto"/>
        </w:rPr>
        <w:t xml:space="preserve"> to this Agreement or such other form as is reasonably acceptable to Administrative Agent). Each Extension Amendment shall be executed by Borrower, Administrative Agent, and the Extending Lenders (it being understood that such Extension Amendment shall not require the consent of any Lender other than the Extending Lenders). An Extension Amendment may, subject to </w:t>
      </w:r>
      <w:r>
        <w:rPr>
          <w:rFonts w:ascii="Arial" w:cs="Arial" w:eastAsia="Arial" w:hAnsi="Arial"/>
          <w:sz w:val="16"/>
          <w:szCs w:val="16"/>
          <w:u w:val="single" w:color="auto"/>
          <w:color w:val="auto"/>
        </w:rPr>
        <w:t>Sections 2.13(a)</w:t>
      </w:r>
      <w:r>
        <w:rPr>
          <w:rFonts w:ascii="Arial" w:cs="Arial" w:eastAsia="Arial" w:hAnsi="Arial"/>
          <w:sz w:val="16"/>
          <w:szCs w:val="16"/>
          <w:color w:val="auto"/>
        </w:rPr>
        <w:t xml:space="preserve">, without the consent of any other Lenders, effect such amendments to this Agreement and the other Credit Documents as may be necessary or advisable, in the reasonable opinion of Administrative Agent and Borrower, to effect the provisions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(including, without limitation, such technical amendments as may be</w:t>
      </w:r>
    </w:p>
    <w:p>
      <w:pPr>
        <w:sectPr>
          <w:pgSz w:w="11900" w:h="16838" w:orient="portrait"/>
          <w:cols w:equalWidth="0" w:num="1">
            <w:col w:w="11420"/>
          </w:cols>
          <w:pgMar w:left="240" w:top="125" w:right="239" w:bottom="0" w:gutter="0" w:footer="0" w:header="0"/>
        </w:sectPr>
      </w:pPr>
    </w:p>
    <w:bookmarkStart w:id="94" w:name="page95"/>
    <w:bookmarkEnd w:id="94"/>
    <w:p>
      <w:pPr>
        <w:spacing w:after="0" w:line="277" w:lineRule="auto"/>
        <w:rPr>
          <w:sz w:val="20"/>
          <w:szCs w:val="20"/>
          <w:color w:val="auto"/>
        </w:rPr>
      </w:pPr>
      <w:r>
        <w:rPr>
          <w:rFonts w:ascii="Arial" w:cs="Arial" w:eastAsia="Arial" w:hAnsi="Arial"/>
          <w:sz w:val="18"/>
          <w:szCs w:val="18"/>
          <w:color w:val="auto"/>
        </w:rPr>
        <w:t>necessary or advisable, in the reasonable opinion of Administrative Agent and Borrower, to give effect to the terms and provisions of any Extended Term Loans).</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68" w:val="left"/>
        </w:tabs>
        <w:numPr>
          <w:ilvl w:val="0"/>
          <w:numId w:val="83"/>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ind w:left="1660" w:hanging="355"/>
        <w:spacing w:after="0"/>
        <w:tabs>
          <w:tab w:leader="none" w:pos="1660" w:val="left"/>
        </w:tabs>
        <w:numPr>
          <w:ilvl w:val="1"/>
          <w:numId w:val="83"/>
        </w:numPr>
        <w:rPr>
          <w:rFonts w:ascii="Arial" w:cs="Arial" w:eastAsia="Arial" w:hAnsi="Arial"/>
          <w:sz w:val="18"/>
          <w:szCs w:val="18"/>
          <w:color w:val="auto"/>
        </w:rPr>
      </w:pPr>
      <w:r>
        <w:rPr>
          <w:rFonts w:ascii="Arial" w:cs="Arial" w:eastAsia="Arial" w:hAnsi="Arial"/>
          <w:sz w:val="18"/>
          <w:szCs w:val="18"/>
          <w:color w:val="auto"/>
        </w:rPr>
        <w:t xml:space="preserve">Borrower shall not be required to pay any fees to such Defaulting Lender under </w:t>
      </w:r>
      <w:r>
        <w:rPr>
          <w:rFonts w:ascii="Arial" w:cs="Arial" w:eastAsia="Arial" w:hAnsi="Arial"/>
          <w:sz w:val="18"/>
          <w:szCs w:val="18"/>
          <w:u w:val="single" w:color="auto"/>
          <w:color w:val="auto"/>
        </w:rPr>
        <w:t>Section 2.05(a)</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jc w:val="both"/>
        <w:ind w:left="660" w:firstLine="645"/>
        <w:spacing w:after="0" w:line="268" w:lineRule="auto"/>
        <w:tabs>
          <w:tab w:leader="none" w:pos="1722" w:val="left"/>
        </w:tabs>
        <w:numPr>
          <w:ilvl w:val="1"/>
          <w:numId w:val="83"/>
        </w:numPr>
        <w:rPr>
          <w:rFonts w:ascii="Arial" w:cs="Arial" w:eastAsia="Arial" w:hAnsi="Arial"/>
          <w:sz w:val="17"/>
          <w:szCs w:val="17"/>
          <w:color w:val="auto"/>
        </w:rPr>
      </w:pPr>
      <w:r>
        <w:rPr>
          <w:rFonts w:ascii="Arial" w:cs="Arial" w:eastAsia="Arial" w:hAnsi="Arial"/>
          <w:sz w:val="17"/>
          <w:szCs w:val="17"/>
          <w:color w:val="auto"/>
        </w:rPr>
        <w:t xml:space="preserve">any payment of principal, interest, fees or other amounts received by Administrative Agent for the account of such Defaulting Lender (whether voluntary or mandatory, at maturity, pursuant to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or otherwise) or received by Administrative Agent from a Defaulting Lender pursuant to </w:t>
      </w:r>
      <w:r>
        <w:rPr>
          <w:rFonts w:ascii="Arial" w:cs="Arial" w:eastAsia="Arial" w:hAnsi="Arial"/>
          <w:sz w:val="17"/>
          <w:szCs w:val="17"/>
          <w:u w:val="single" w:color="auto"/>
          <w:color w:val="auto"/>
        </w:rPr>
        <w:t>Section 4.07</w:t>
      </w:r>
      <w:r>
        <w:rPr>
          <w:rFonts w:ascii="Arial" w:cs="Arial" w:eastAsia="Arial" w:hAnsi="Arial"/>
          <w:sz w:val="17"/>
          <w:szCs w:val="17"/>
          <w:color w:val="auto"/>
        </w:rPr>
        <w:t xml:space="preserve"> shall be applied at such time or times as may be determined by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the payment of any amounts owing to the Lenders as a result of any judgment of a court of competent jurisdiction obtained by any Lender against such Defaulting Lender as a result of such Defaulting Lender’s breach of its obligations under this Agreement; </w:t>
      </w:r>
      <w:r>
        <w:rPr>
          <w:rFonts w:ascii="Arial" w:cs="Arial" w:eastAsia="Arial" w:hAnsi="Arial"/>
          <w:sz w:val="17"/>
          <w:szCs w:val="17"/>
          <w:i w:val="1"/>
          <w:iCs w:val="1"/>
          <w:color w:val="auto"/>
        </w:rPr>
        <w:t>fourth</w:t>
      </w:r>
      <w:r>
        <w:rPr>
          <w:rFonts w:ascii="Arial" w:cs="Arial" w:eastAsia="Arial" w:hAnsi="Arial"/>
          <w:sz w:val="17"/>
          <w:szCs w:val="17"/>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i w:val="1"/>
          <w:iCs w:val="1"/>
          <w:color w:val="auto"/>
        </w:rPr>
        <w:t>fifth</w:t>
      </w:r>
      <w:r>
        <w:rPr>
          <w:rFonts w:ascii="Arial" w:cs="Arial" w:eastAsia="Arial" w:hAnsi="Arial"/>
          <w:sz w:val="17"/>
          <w:szCs w:val="17"/>
          <w:color w:val="auto"/>
        </w:rPr>
        <w:t xml:space="preserve">, to such Defaulting Lender or as otherwise directed by a court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(x) such payment is a payment of the principal amount of any Loans in respect of which such Defaulting Lender has not fully funded its appropriate share, and (y) such Loans were made at a time when the conditions set forth in </w:t>
      </w:r>
      <w:r>
        <w:rPr>
          <w:rFonts w:ascii="Arial" w:cs="Arial" w:eastAsia="Arial" w:hAnsi="Arial"/>
          <w:sz w:val="17"/>
          <w:szCs w:val="17"/>
          <w:u w:val="single" w:color="auto"/>
          <w:color w:val="auto"/>
        </w:rPr>
        <w:t>Section 7.01</w:t>
      </w:r>
      <w:r>
        <w:rPr>
          <w:rFonts w:ascii="Arial" w:cs="Arial" w:eastAsia="Arial" w:hAnsi="Arial"/>
          <w:sz w:val="17"/>
          <w:szCs w:val="17"/>
          <w:color w:val="auto"/>
        </w:rPr>
        <w:t xml:space="preserve"> were satisfied or waived, such payment shall be applied solely to pay the Loans of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Loans of such Defaulting Lender. Any payments, prepayments or other amounts paid or payable to a Defaulting Lender that are applied (or held) to pay amounts owed by a Defaulting Lender pursuant to this </w:t>
      </w:r>
      <w:r>
        <w:rPr>
          <w:rFonts w:ascii="Arial" w:cs="Arial" w:eastAsia="Arial" w:hAnsi="Arial"/>
          <w:sz w:val="17"/>
          <w:szCs w:val="17"/>
          <w:u w:val="single" w:color="auto"/>
          <w:color w:val="auto"/>
        </w:rPr>
        <w:t>Section 2.14(a)(ii)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76" w:lineRule="exact"/>
        <w:rPr>
          <w:rFonts w:ascii="Arial" w:cs="Arial" w:eastAsia="Arial" w:hAnsi="Arial"/>
          <w:sz w:val="17"/>
          <w:szCs w:val="17"/>
          <w:color w:val="auto"/>
        </w:rPr>
      </w:pPr>
    </w:p>
    <w:p>
      <w:pPr>
        <w:jc w:val="both"/>
        <w:ind w:firstLine="656"/>
        <w:spacing w:after="0" w:line="255" w:lineRule="auto"/>
        <w:tabs>
          <w:tab w:leader="none" w:pos="1038"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Cure</w:t>
      </w:r>
      <w:r>
        <w:rPr>
          <w:rFonts w:ascii="Arial" w:cs="Arial" w:eastAsia="Arial" w:hAnsi="Arial"/>
          <w:sz w:val="18"/>
          <w:szCs w:val="18"/>
          <w:color w:val="auto"/>
        </w:rPr>
        <w:t>. If Borrower and Administrative Agent agree in writing in their discretion that a Lender is no longer a Defaulting Lender,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Agent will so notify the parties hereto, whereupon as of the effective date specified in such notice and subject to any conditions set forth therein, such Lender will, to the extent applicable, purchase at par such portion of outstanding Loans of the other Lenders and/or make such other adjustments as Administrative Agent may determine to be necessary,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change hereunder from Defaulting Lender to Non-Defaulting Lender will constitute a waiver or release of any claim of any party hereunder arising from such Lender’s having been a Defaulting Lender.</w:t>
      </w:r>
    </w:p>
    <w:p>
      <w:pPr>
        <w:spacing w:after="0" w:line="185" w:lineRule="exact"/>
        <w:rPr>
          <w:rFonts w:ascii="Arial" w:cs="Arial" w:eastAsia="Arial" w:hAnsi="Arial"/>
          <w:sz w:val="18"/>
          <w:szCs w:val="18"/>
          <w:color w:val="auto"/>
        </w:rPr>
      </w:pPr>
    </w:p>
    <w:p>
      <w:pPr>
        <w:jc w:val="both"/>
        <w:ind w:firstLine="656"/>
        <w:spacing w:after="0" w:line="266" w:lineRule="auto"/>
        <w:tabs>
          <w:tab w:leader="none" w:pos="1041"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Certain Fees</w:t>
      </w:r>
      <w:r>
        <w:rPr>
          <w:rFonts w:ascii="Arial" w:cs="Arial" w:eastAsia="Arial" w:hAnsi="Arial"/>
          <w:sz w:val="18"/>
          <w:szCs w:val="18"/>
          <w:color w:val="auto"/>
        </w:rPr>
        <w:t>. Anything herein to the contrary notwithstanding, during such period as a Lender is a Defaulting Lender, such Defaulting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not be entitled to any fees accruing during such period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(without prejudice to the rights of the Non-Defaulting Lenders in respect of such fees).</w:t>
      </w:r>
    </w:p>
    <w:p>
      <w:pPr>
        <w:spacing w:after="0" w:line="17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At any time after the Closing Date, Borrower may obtain Credit Agreement Refinancing Indebtedness in respect of all or any portion of the Term Loans then outstanding under this Agreement (which for purposes of this clause (a) will be deemed to include any then outstanding Other Term Loans), in the form of Other Term Loans or Other Term Loan Commitments pursuant to a Refinancing Amendment. Each issuance of Credit Agreement Refinancing Indebtedness under this </w:t>
      </w:r>
      <w:r>
        <w:rPr>
          <w:rFonts w:ascii="Arial" w:cs="Arial" w:eastAsia="Arial" w:hAnsi="Arial"/>
          <w:sz w:val="18"/>
          <w:szCs w:val="18"/>
          <w:u w:val="single" w:color="auto"/>
          <w:color w:val="auto"/>
        </w:rPr>
        <w:t>Section 2.15(a)</w:t>
      </w:r>
      <w:r>
        <w:rPr>
          <w:rFonts w:ascii="Arial" w:cs="Arial" w:eastAsia="Arial" w:hAnsi="Arial"/>
          <w:sz w:val="18"/>
          <w:szCs w:val="18"/>
          <w:color w:val="auto"/>
        </w:rPr>
        <w:t xml:space="preserve"> shall be in an aggregate principal amount that is (x) not less than $5.0 million and (y) an integral multiple of $1.0 million in excess thereof.</w:t>
      </w:r>
    </w:p>
    <w:p>
      <w:pPr>
        <w:spacing w:after="0" w:line="188" w:lineRule="exact"/>
        <w:rPr>
          <w:rFonts w:ascii="Arial" w:cs="Arial" w:eastAsia="Arial" w:hAnsi="Arial"/>
          <w:sz w:val="18"/>
          <w:szCs w:val="18"/>
          <w:color w:val="auto"/>
        </w:rPr>
      </w:pPr>
    </w:p>
    <w:p>
      <w:pPr>
        <w:jc w:val="both"/>
        <w:ind w:firstLine="656"/>
        <w:spacing w:after="0" w:line="270" w:lineRule="auto"/>
        <w:tabs>
          <w:tab w:leader="none" w:pos="10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 effectiveness of any such Credit Agreement Refinancing Indebtedness shall subject to the consent required pursuant to </w:t>
      </w:r>
      <w:r>
        <w:rPr>
          <w:rFonts w:ascii="Arial" w:cs="Arial" w:eastAsia="Arial" w:hAnsi="Arial"/>
          <w:sz w:val="17"/>
          <w:szCs w:val="17"/>
          <w:u w:val="single" w:color="auto"/>
          <w:color w:val="auto"/>
        </w:rPr>
        <w:t>Section 2.15(d)</w:t>
      </w:r>
      <w:r>
        <w:rPr>
          <w:rFonts w:ascii="Arial" w:cs="Arial" w:eastAsia="Arial" w:hAnsi="Arial"/>
          <w:sz w:val="17"/>
          <w:szCs w:val="17"/>
          <w:color w:val="auto"/>
        </w:rPr>
        <w:t xml:space="preserve">, be subject solely to the satisfaction of the following conditions to the reasonable satisfaction of Administrative Agent: (i)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 the aggregate principal amount of any Credit Agreement Refinancing Indebtedness shall not exceed the principal amount so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premium or other payment required to be paid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reasonable and customary fees and expenses of any of the Credit Parties incurred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any unutilized commitments thereunder; (iii) to the extent reasonably requested by the Administrative Agent, receipt by the Administrative Agent and the Lenders of customary legal opinions and other documents; and (iv) execution of a Refinancing Amendment by the Credit Parties, Administrative Agent, and Lenders providing such Credit Agreement Refinancing Indebtedness.</w:t>
      </w:r>
    </w:p>
    <w:p>
      <w:pPr>
        <w:spacing w:after="0" w:line="177" w:lineRule="exact"/>
        <w:rPr>
          <w:rFonts w:ascii="Arial" w:cs="Arial" w:eastAsia="Arial" w:hAnsi="Arial"/>
          <w:sz w:val="17"/>
          <w:szCs w:val="17"/>
          <w:color w:val="auto"/>
        </w:rPr>
      </w:pPr>
    </w:p>
    <w:p>
      <w:pPr>
        <w:jc w:val="both"/>
        <w:ind w:firstLine="656"/>
        <w:spacing w:after="0" w:line="276" w:lineRule="auto"/>
        <w:tabs>
          <w:tab w:leader="none" w:pos="1041"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The Loans and Commitments established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72" w:lineRule="exact"/>
        <w:rPr>
          <w:rFonts w:ascii="Arial" w:cs="Arial" w:eastAsia="Arial" w:hAnsi="Arial"/>
          <w:sz w:val="17"/>
          <w:szCs w:val="17"/>
          <w:color w:val="auto"/>
        </w:rPr>
      </w:pPr>
    </w:p>
    <w:p>
      <w:pPr>
        <w:jc w:val="both"/>
        <w:ind w:firstLine="656"/>
        <w:spacing w:after="0" w:line="270" w:lineRule="auto"/>
        <w:tabs>
          <w:tab w:leader="none" w:pos="1187"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Upon the effectiveness of any Refinancing Amendment pursuant to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any Person providing the corresponding Credit Agreement Refinancing Indebtedness that was not a Lender hereunder immediately prior to such time shall become a Lender hereunder. Administrative Agent shall promptly notify each Lender as to the effectiveness of such Refinancing Amendment, and (i) any Other Term Loans resulting from such Refinancing Amendment shall be deemed to be Term Loans hereunder (to the extent funded) and (ii) any Other Term Loan Commitments resulting from such Refinancing Amendment shall be deemed to be Term Facility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Such amendments may include provisions allowing any Other Term Loans to be treated on the same basis as Term Facility Loans in connection with declining prepayments.</w:t>
      </w:r>
    </w:p>
    <w:p>
      <w:pPr>
        <w:sectPr>
          <w:pgSz w:w="11900" w:h="16838" w:orient="portrait"/>
          <w:cols w:equalWidth="0" w:num="1">
            <w:col w:w="11420"/>
          </w:cols>
          <w:pgMar w:left="240" w:top="125" w:right="239" w:bottom="124" w:gutter="0" w:footer="0" w:header="0"/>
        </w:sectPr>
      </w:pPr>
    </w:p>
    <w:bookmarkStart w:id="95" w:name="page96"/>
    <w:bookmarkEnd w:id="95"/>
    <w:p>
      <w:pPr>
        <w:spacing w:after="0" w:line="62" w:lineRule="exact"/>
        <w:rPr>
          <w:sz w:val="20"/>
          <w:szCs w:val="20"/>
          <w:color w:val="auto"/>
        </w:rPr>
      </w:pPr>
    </w:p>
    <w:p>
      <w:pPr>
        <w:jc w:val="both"/>
        <w:ind w:firstLine="656"/>
        <w:spacing w:after="0" w:line="273" w:lineRule="auto"/>
        <w:tabs>
          <w:tab w:leader="none" w:pos="1028" w:val="left"/>
        </w:tabs>
        <w:numPr>
          <w:ilvl w:val="0"/>
          <w:numId w:val="85"/>
        </w:numPr>
        <w:rPr>
          <w:rFonts w:ascii="Arial" w:cs="Arial" w:eastAsia="Arial" w:hAnsi="Arial"/>
          <w:sz w:val="17"/>
          <w:szCs w:val="17"/>
          <w:color w:val="auto"/>
        </w:rPr>
      </w:pPr>
      <w:r>
        <w:rPr>
          <w:rFonts w:ascii="Arial" w:cs="Arial" w:eastAsia="Arial" w:hAnsi="Arial"/>
          <w:sz w:val="17"/>
          <w:szCs w:val="17"/>
          <w:color w:val="auto"/>
        </w:rPr>
        <w:t xml:space="preserve">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and/or Other Term Loan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shall supersede any provisions in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t>
      </w:r>
      <w:r>
        <w:rPr>
          <w:rFonts w:ascii="Arial" w:cs="Arial" w:eastAsia="Arial" w:hAnsi="Arial"/>
          <w:sz w:val="17"/>
          <w:szCs w:val="17"/>
          <w:u w:val="single" w:color="auto"/>
          <w:color w:val="auto"/>
        </w:rPr>
        <w:t>4.07(b)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13.04</w:t>
      </w:r>
      <w:r>
        <w:rPr>
          <w:rFonts w:ascii="Arial" w:cs="Arial" w:eastAsia="Arial" w:hAnsi="Arial"/>
          <w:sz w:val="17"/>
          <w:szCs w:val="17"/>
          <w:color w:val="auto"/>
        </w:rPr>
        <w:t xml:space="preserve"> to the contrary.</w:t>
      </w:r>
    </w:p>
    <w:p>
      <w:pPr>
        <w:spacing w:after="0" w:line="17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1" w:lineRule="auto"/>
        <w:tabs>
          <w:tab w:leader="none" w:pos="1068"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 Borrower hereby promises to pay to Administrative Agent for the account of the Lenders with Term Facility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repayment of the principal of the Term Facility Loans, on the following dates in the respective amounts set forth opposite such dates (subject to adjustment for any prepayments made under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2.10</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13.04(b)(i)</w:t>
      </w:r>
      <w:r>
        <w:rPr>
          <w:rFonts w:ascii="Arial" w:cs="Arial" w:eastAsia="Arial" w:hAnsi="Arial"/>
          <w:sz w:val="18"/>
          <w:szCs w:val="18"/>
          <w:color w:val="auto"/>
        </w:rPr>
        <w:t xml:space="preserve"> or as provided in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in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Section 2.15</w:t>
      </w:r>
      <w:r>
        <w:rPr>
          <w:rFonts w:ascii="Arial" w:cs="Arial" w:eastAsia="Arial" w:hAnsi="Arial"/>
          <w:sz w:val="18"/>
          <w:szCs w:val="18"/>
          <w:color w:val="auto"/>
        </w:rPr>
        <w:t>), and the remaining principal amount of Term Facility Loans on the Term Facility Maturity Date.</w:t>
      </w:r>
    </w:p>
    <w:p>
      <w:pPr>
        <w:spacing w:after="0" w:line="313" w:lineRule="exact"/>
        <w:rPr>
          <w:sz w:val="20"/>
          <w:szCs w:val="20"/>
          <w:color w:val="auto"/>
        </w:rPr>
      </w:pPr>
    </w:p>
    <w:tbl>
      <w:tblPr>
        <w:tblLayout w:type="fixed"/>
        <w:tblInd w:w="1800" w:type="dxa"/>
        <w:tblCellMar>
          <w:top w:w="0" w:type="dxa"/>
          <w:left w:w="0" w:type="dxa"/>
          <w:bottom w:w="0" w:type="dxa"/>
          <w:right w:w="0" w:type="dxa"/>
        </w:tblCellMar>
      </w:tblPr>
      <w:tr>
        <w:trPr>
          <w:trHeight w:val="365"/>
        </w:trPr>
        <w:tc>
          <w:tcPr>
            <w:tcW w:w="40" w:type="dxa"/>
            <w:vAlign w:val="bottom"/>
            <w:tcBorders>
              <w:top w:val="single" w:sz="8" w:color="auto"/>
              <w:right w:val="single" w:sz="8" w:color="00000A"/>
            </w:tcBorders>
            <w:shd w:val="clear" w:color="auto" w:fill="00000A"/>
          </w:tcPr>
          <w:p>
            <w:pPr>
              <w:spacing w:after="0"/>
              <w:rPr>
                <w:sz w:val="24"/>
                <w:szCs w:val="24"/>
                <w:color w:val="auto"/>
              </w:rPr>
            </w:pPr>
          </w:p>
        </w:tc>
        <w:tc>
          <w:tcPr>
            <w:tcW w:w="3900" w:type="dxa"/>
            <w:vAlign w:val="bottom"/>
            <w:tcBorders>
              <w:top w:val="single" w:sz="8" w:color="auto"/>
              <w:right w:val="single" w:sz="8" w:color="00000A"/>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1"/>
              </w:rPr>
              <w:t>Installment Payment Date</w:t>
            </w:r>
          </w:p>
        </w:tc>
        <w:tc>
          <w:tcPr>
            <w:tcW w:w="3900" w:type="dxa"/>
            <w:vAlign w:val="bottom"/>
            <w:tcBorders>
              <w:top w:val="single" w:sz="8" w:color="auto"/>
              <w:right w:val="single" w:sz="8" w:color="00000A"/>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2"/>
              </w:rPr>
              <w:t>Principal Amount</w:t>
            </w:r>
          </w:p>
        </w:tc>
      </w:tr>
      <w:tr>
        <w:trPr>
          <w:trHeight w:val="256"/>
        </w:trPr>
        <w:tc>
          <w:tcPr>
            <w:tcW w:w="40" w:type="dxa"/>
            <w:vAlign w:val="bottom"/>
            <w:tcBorders>
              <w:bottom w:val="single" w:sz="8" w:color="00000A"/>
              <w:right w:val="single" w:sz="8" w:color="00000A"/>
            </w:tcBorders>
            <w:shd w:val="clear" w:color="auto" w:fill="00000A"/>
          </w:tcPr>
          <w:p>
            <w:pPr>
              <w:spacing w:after="0"/>
              <w:rPr>
                <w:sz w:val="22"/>
                <w:szCs w:val="22"/>
                <w:color w:val="auto"/>
              </w:rPr>
            </w:pPr>
          </w:p>
        </w:tc>
        <w:tc>
          <w:tcPr>
            <w:tcW w:w="3900" w:type="dxa"/>
            <w:vAlign w:val="bottom"/>
            <w:tcBorders>
              <w:bottom w:val="single" w:sz="8" w:color="auto"/>
              <w:right w:val="single" w:sz="8" w:color="00000A"/>
            </w:tcBorders>
            <w:shd w:val="clear" w:color="auto" w:fill="BFBFBF"/>
          </w:tcPr>
          <w:p>
            <w:pPr>
              <w:spacing w:after="0"/>
              <w:rPr>
                <w:sz w:val="22"/>
                <w:szCs w:val="22"/>
                <w:color w:val="auto"/>
              </w:rPr>
            </w:pPr>
          </w:p>
        </w:tc>
        <w:tc>
          <w:tcPr>
            <w:tcW w:w="3900" w:type="dxa"/>
            <w:vAlign w:val="bottom"/>
            <w:tcBorders>
              <w:bottom w:val="single" w:sz="8" w:color="auto"/>
              <w:right w:val="single" w:sz="8" w:color="00000A"/>
            </w:tcBorders>
            <w:shd w:val="clear" w:color="auto" w:fill="BFBFBF"/>
          </w:tcPr>
          <w:p>
            <w:pPr>
              <w:spacing w:after="0"/>
              <w:rPr>
                <w:sz w:val="22"/>
                <w:szCs w:val="22"/>
                <w:color w:val="auto"/>
              </w:rPr>
            </w:pPr>
          </w:p>
        </w:tc>
      </w:tr>
      <w:tr>
        <w:trPr>
          <w:trHeight w:val="305"/>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March 31, 2019</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June 30, 2019</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September 30, 2019</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December 31, 2019</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March 31, 2020</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June 30, 2020</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September 30, 2020</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December 31, 2020</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March 31, 2021</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June 30, 2021</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September 30, 2021</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December 31, 2021</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March 31, 2022</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June 30, 2022</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September 30, 2022</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December 31, 2022</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March 31, 2023</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June 30, 2023</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September 30, 2023</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9"/>
              </w:rPr>
              <w:t>December 31, 2023</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1"/>
              </w:rPr>
              <w:t>March 31, 2024</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280"/>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c>
          <w:tcPr>
            <w:tcW w:w="3900" w:type="dxa"/>
            <w:vAlign w:val="bottom"/>
            <w:tcBorders>
              <w:right w:val="single" w:sz="8" w:color="00000A"/>
            </w:tcBorders>
          </w:tcPr>
          <w:p>
            <w:pPr>
              <w:spacing w:after="0"/>
              <w:rPr>
                <w:sz w:val="24"/>
                <w:szCs w:val="24"/>
                <w:color w:val="auto"/>
              </w:rPr>
            </w:pPr>
          </w:p>
        </w:tc>
      </w:tr>
    </w:tbl>
    <w:p>
      <w:pPr>
        <w:sectPr>
          <w:pgSz w:w="11900" w:h="16900" w:orient="portrait"/>
          <w:cols w:equalWidth="0" w:num="1">
            <w:col w:w="11420"/>
          </w:cols>
          <w:pgMar w:left="240" w:top="125" w:right="239" w:bottom="0" w:gutter="0" w:footer="0" w:header="0"/>
        </w:sectPr>
      </w:pPr>
    </w:p>
    <w:bookmarkStart w:id="96" w:name="page97"/>
    <w:bookmarkEnd w:id="96"/>
    <w:p>
      <w:pPr>
        <w:spacing w:after="0" w:line="29" w:lineRule="exact"/>
        <w:rPr>
          <w:sz w:val="20"/>
          <w:szCs w:val="20"/>
          <w:color w:val="auto"/>
        </w:rPr>
      </w:pPr>
    </w:p>
    <w:tbl>
      <w:tblPr>
        <w:tblLayout w:type="fixed"/>
        <w:tblInd w:w="1800" w:type="dxa"/>
        <w:tblCellMar>
          <w:top w:w="0" w:type="dxa"/>
          <w:left w:w="0" w:type="dxa"/>
          <w:bottom w:w="0" w:type="dxa"/>
          <w:right w:w="0" w:type="dxa"/>
        </w:tblCellMar>
      </w:tblPr>
      <w:tr>
        <w:trPr>
          <w:trHeight w:val="250"/>
        </w:trPr>
        <w:tc>
          <w:tcPr>
            <w:tcW w:w="40" w:type="dxa"/>
            <w:vAlign w:val="bottom"/>
            <w:tcBorders>
              <w:right w:val="single" w:sz="8" w:color="00000A"/>
            </w:tcBorders>
            <w:shd w:val="clear" w:color="auto" w:fill="00000A"/>
          </w:tcPr>
          <w:p>
            <w:pPr>
              <w:spacing w:after="0"/>
              <w:rPr>
                <w:sz w:val="21"/>
                <w:szCs w:val="21"/>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7"/>
              </w:rPr>
              <w:t>June 30, 2024</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182"/>
        </w:trPr>
        <w:tc>
          <w:tcPr>
            <w:tcW w:w="40" w:type="dxa"/>
            <w:vAlign w:val="bottom"/>
            <w:tcBorders>
              <w:bottom w:val="single" w:sz="8" w:color="00000A"/>
              <w:right w:val="single" w:sz="8" w:color="00000A"/>
            </w:tcBorders>
            <w:shd w:val="clear" w:color="auto" w:fill="00000A"/>
          </w:tcPr>
          <w:p>
            <w:pPr>
              <w:spacing w:after="0"/>
              <w:rPr>
                <w:sz w:val="15"/>
                <w:szCs w:val="15"/>
                <w:color w:val="auto"/>
              </w:rPr>
            </w:pPr>
          </w:p>
        </w:tc>
        <w:tc>
          <w:tcPr>
            <w:tcW w:w="3900" w:type="dxa"/>
            <w:vAlign w:val="bottom"/>
            <w:tcBorders>
              <w:bottom w:val="single" w:sz="8" w:color="00000A"/>
              <w:right w:val="single" w:sz="8" w:color="00000A"/>
            </w:tcBorders>
          </w:tcPr>
          <w:p>
            <w:pPr>
              <w:spacing w:after="0"/>
              <w:rPr>
                <w:sz w:val="15"/>
                <w:szCs w:val="15"/>
                <w:color w:val="auto"/>
              </w:rPr>
            </w:pPr>
          </w:p>
        </w:tc>
        <w:tc>
          <w:tcPr>
            <w:tcW w:w="3900" w:type="dxa"/>
            <w:vAlign w:val="bottom"/>
            <w:tcBorders>
              <w:bottom w:val="single" w:sz="8" w:color="00000A"/>
              <w:right w:val="single" w:sz="8" w:color="00000A"/>
            </w:tcBorders>
          </w:tcPr>
          <w:p>
            <w:pPr>
              <w:spacing w:after="0"/>
              <w:rPr>
                <w:sz w:val="15"/>
                <w:szCs w:val="15"/>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September 30, 2024</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0"/>
              </w:rPr>
              <w:t>$1,250,000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318"/>
        </w:trPr>
        <w:tc>
          <w:tcPr>
            <w:tcW w:w="40" w:type="dxa"/>
            <w:vAlign w:val="bottom"/>
            <w:tcBorders>
              <w:right w:val="single" w:sz="8" w:color="00000A"/>
            </w:tcBorders>
            <w:shd w:val="clear" w:color="auto" w:fill="00000A"/>
          </w:tcPr>
          <w:p>
            <w:pPr>
              <w:spacing w:after="0"/>
              <w:rPr>
                <w:sz w:val="24"/>
                <w:szCs w:val="24"/>
                <w:color w:val="auto"/>
              </w:rPr>
            </w:pP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94"/>
              </w:rPr>
              <w:t>Term Facility Maturity Date</w:t>
            </w:r>
          </w:p>
        </w:tc>
        <w:tc>
          <w:tcPr>
            <w:tcW w:w="3900" w:type="dxa"/>
            <w:vAlign w:val="bottom"/>
            <w:tcBorders>
              <w:right w:val="single" w:sz="8" w:color="00000A"/>
            </w:tcBorders>
          </w:tcPr>
          <w:p>
            <w:pPr>
              <w:jc w:val="center"/>
              <w:spacing w:after="0"/>
              <w:rPr>
                <w:sz w:val="20"/>
                <w:szCs w:val="20"/>
                <w:color w:val="auto"/>
              </w:rPr>
            </w:pPr>
            <w:r>
              <w:rPr>
                <w:rFonts w:ascii="Arial" w:cs="Arial" w:eastAsia="Arial" w:hAnsi="Arial"/>
                <w:sz w:val="18"/>
                <w:szCs w:val="18"/>
                <w:color w:val="auto"/>
                <w:w w:val="88"/>
              </w:rPr>
              <w:t>$471,250,000</w:t>
            </w:r>
          </w:p>
        </w:tc>
      </w:tr>
      <w:tr>
        <w:trPr>
          <w:trHeight w:val="216"/>
        </w:trPr>
        <w:tc>
          <w:tcPr>
            <w:tcW w:w="40" w:type="dxa"/>
            <w:vAlign w:val="bottom"/>
            <w:tcBorders>
              <w:bottom w:val="single" w:sz="8" w:color="00000A"/>
              <w:right w:val="single" w:sz="8" w:color="00000A"/>
            </w:tcBorders>
            <w:shd w:val="clear" w:color="auto" w:fill="00000A"/>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c>
          <w:tcPr>
            <w:tcW w:w="3900" w:type="dxa"/>
            <w:vAlign w:val="bottom"/>
            <w:tcBorders>
              <w:bottom w:val="single" w:sz="8" w:color="00000A"/>
              <w:right w:val="single" w:sz="8" w:color="00000A"/>
            </w:tcBorders>
          </w:tcPr>
          <w:p>
            <w:pPr>
              <w:spacing w:after="0"/>
              <w:rPr>
                <w:sz w:val="18"/>
                <w:szCs w:val="18"/>
                <w:color w:val="auto"/>
              </w:rPr>
            </w:pPr>
          </w:p>
        </w:tc>
      </w:tr>
      <w:tr>
        <w:trPr>
          <w:trHeight w:val="20"/>
        </w:trPr>
        <w:tc>
          <w:tcPr>
            <w:tcW w:w="40" w:type="dxa"/>
            <w:vAlign w:val="bottom"/>
            <w:tcBorders>
              <w:bottom w:val="single" w:sz="8" w:color="00000A"/>
              <w:right w:val="single" w:sz="8" w:color="00000A"/>
            </w:tcBorders>
            <w:shd w:val="clear" w:color="auto" w:fill="00000A"/>
          </w:tcPr>
          <w:p>
            <w:pPr>
              <w:spacing w:after="0" w:line="20" w:lineRule="exact"/>
              <w:rPr>
                <w:sz w:val="1"/>
                <w:szCs w:val="1"/>
                <w:color w:val="auto"/>
              </w:rPr>
            </w:pPr>
          </w:p>
        </w:tc>
        <w:tc>
          <w:tcPr>
            <w:tcW w:w="3900" w:type="dxa"/>
            <w:vAlign w:val="bottom"/>
            <w:tcBorders>
              <w:bottom w:val="single" w:sz="8" w:color="00000A"/>
            </w:tcBorders>
          </w:tcPr>
          <w:p>
            <w:pPr>
              <w:spacing w:after="0" w:line="20" w:lineRule="exact"/>
              <w:rPr>
                <w:sz w:val="1"/>
                <w:szCs w:val="1"/>
                <w:color w:val="auto"/>
              </w:rPr>
            </w:pPr>
          </w:p>
        </w:tc>
        <w:tc>
          <w:tcPr>
            <w:tcW w:w="3900" w:type="dxa"/>
            <w:vAlign w:val="bottom"/>
            <w:tcBorders>
              <w:bottom w:val="single" w:sz="8" w:color="00000A"/>
              <w:right w:val="single" w:sz="8" w:color="00000A"/>
            </w:tcBorders>
          </w:tcPr>
          <w:p>
            <w:pPr>
              <w:spacing w:after="0" w:line="20" w:lineRule="exact"/>
              <w:rPr>
                <w:sz w:val="1"/>
                <w:szCs w:val="1"/>
                <w:color w:val="auto"/>
              </w:rPr>
            </w:pPr>
          </w:p>
        </w:tc>
      </w:tr>
    </w:tbl>
    <w:p>
      <w:pPr>
        <w:spacing w:after="0" w:line="198" w:lineRule="exact"/>
        <w:rPr>
          <w:sz w:val="20"/>
          <w:szCs w:val="20"/>
          <w:color w:val="auto"/>
        </w:rPr>
      </w:pPr>
    </w:p>
    <w:p>
      <w:pPr>
        <w:jc w:val="both"/>
        <w:ind w:firstLine="656"/>
        <w:spacing w:after="0" w:line="258" w:lineRule="auto"/>
        <w:tabs>
          <w:tab w:leader="none" w:pos="1106"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New Term Loans; Extended Term Loans; Other Term Loans</w:t>
      </w:r>
      <w:r>
        <w:rPr>
          <w:rFonts w:ascii="Arial" w:cs="Arial" w:eastAsia="Arial" w:hAnsi="Arial"/>
          <w:sz w:val="18"/>
          <w:szCs w:val="18"/>
          <w:color w:val="auto"/>
        </w:rPr>
        <w:t>. New Term Loans shall mature in installments as specified in the related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Incremental Joinder Agreement pursuant to which such New Term Loans were made, subject, however,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Extended Term Loans shall mature in installments as specified in the applicable Extension Amendment pursuant to which such Extended Term Loans were established, subject, however, to </w:t>
      </w:r>
      <w:r>
        <w:rPr>
          <w:rFonts w:ascii="Arial" w:cs="Arial" w:eastAsia="Arial" w:hAnsi="Arial"/>
          <w:sz w:val="18"/>
          <w:szCs w:val="18"/>
          <w:u w:val="single" w:color="auto"/>
          <w:color w:val="auto"/>
        </w:rPr>
        <w:t>Section 2.13(a)</w:t>
      </w:r>
      <w:r>
        <w:rPr>
          <w:rFonts w:ascii="Arial" w:cs="Arial" w:eastAsia="Arial" w:hAnsi="Arial"/>
          <w:sz w:val="18"/>
          <w:szCs w:val="18"/>
          <w:color w:val="auto"/>
        </w:rPr>
        <w:t xml:space="preserve">. Other Term Loans shall mature in installments as specified in the applicable Refinancing Amendment pursuant to which such Other Term Loans were established, subject, however, to </w:t>
      </w:r>
      <w:r>
        <w:rPr>
          <w:rFonts w:ascii="Arial" w:cs="Arial" w:eastAsia="Arial" w:hAnsi="Arial"/>
          <w:sz w:val="18"/>
          <w:szCs w:val="18"/>
          <w:u w:val="single" w:color="auto"/>
          <w:color w:val="auto"/>
        </w:rPr>
        <w:t>Section 2.15(a)</w:t>
      </w:r>
      <w:r>
        <w:rPr>
          <w:rFonts w:ascii="Arial" w:cs="Arial" w:eastAsia="Arial" w:hAnsi="Arial"/>
          <w:sz w:val="18"/>
          <w:szCs w:val="18"/>
          <w:color w:val="auto"/>
        </w:rPr>
        <w:t>.</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77" w:lineRule="auto"/>
        <w:tabs>
          <w:tab w:leader="none" w:pos="1658"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49"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52"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To the extent permitted by Law, (i) upon the occurrence and during the continuance of an Event of Default (other than Events of Default under </w:t>
      </w:r>
      <w:r>
        <w:rPr>
          <w:rFonts w:ascii="Arial" w:cs="Arial" w:eastAsia="Arial" w:hAnsi="Arial"/>
          <w:sz w:val="16"/>
          <w:szCs w:val="16"/>
          <w:u w:val="single" w:color="auto"/>
          <w:color w:val="auto"/>
        </w:rPr>
        <w:t>Sections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overdue principal and overdue interest in respect of each Loan and all other Obligations not paid when due and (ii) upon the occurrence and during the continuance of an Event of Default under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11.01(h)</w:t>
      </w:r>
      <w:r>
        <w:rPr>
          <w:rFonts w:ascii="Arial" w:cs="Arial" w:eastAsia="Arial" w:hAnsi="Arial"/>
          <w:sz w:val="16"/>
          <w:szCs w:val="16"/>
          <w:color w:val="auto"/>
        </w:rPr>
        <w:t>, all Obligations shall, in each case, automatically and without any action by any Person, bear interest at the Default Rate. Interest which accrues under this paragraph shall be payable on demand.</w:t>
      </w:r>
    </w:p>
    <w:p>
      <w:pPr>
        <w:spacing w:after="0" w:line="154" w:lineRule="exact"/>
        <w:rPr>
          <w:rFonts w:ascii="Arial" w:cs="Arial" w:eastAsia="Arial" w:hAnsi="Arial"/>
          <w:sz w:val="16"/>
          <w:szCs w:val="16"/>
          <w:color w:val="auto"/>
        </w:rPr>
      </w:pPr>
    </w:p>
    <w:p>
      <w:pPr>
        <w:jc w:val="both"/>
        <w:ind w:firstLine="656"/>
        <w:spacing w:after="0" w:line="254" w:lineRule="auto"/>
        <w:tabs>
          <w:tab w:leader="none" w:pos="1068" w:val="left"/>
        </w:tabs>
        <w:numPr>
          <w:ilvl w:val="0"/>
          <w:numId w:val="88"/>
        </w:numPr>
        <w:rPr>
          <w:rFonts w:ascii="Arial" w:cs="Arial" w:eastAsia="Arial" w:hAnsi="Arial"/>
          <w:sz w:val="18"/>
          <w:szCs w:val="18"/>
          <w:color w:val="auto"/>
        </w:rPr>
      </w:pPr>
      <w:r>
        <w:rPr>
          <w:rFonts w:ascii="Arial" w:cs="Arial" w:eastAsia="Arial" w:hAnsi="Arial"/>
          <w:sz w:val="18"/>
          <w:szCs w:val="18"/>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 (z) 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19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5"/>
          <w:szCs w:val="15"/>
          <w:b w:val="1"/>
          <w:bCs w:val="1"/>
          <w:color w:val="auto"/>
        </w:rPr>
        <w:t>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3" w:lineRule="auto"/>
        <w:tabs>
          <w:tab w:leader="none" w:pos="1055" w:val="left"/>
        </w:tabs>
        <w:numPr>
          <w:ilvl w:val="0"/>
          <w:numId w:val="89"/>
        </w:numPr>
        <w:rPr>
          <w:rFonts w:ascii="Arial" w:cs="Arial" w:eastAsia="Arial" w:hAnsi="Arial"/>
          <w:sz w:val="17"/>
          <w:szCs w:val="17"/>
          <w:color w:val="auto"/>
        </w:rPr>
      </w:pPr>
      <w:r>
        <w:rPr>
          <w:rFonts w:ascii="Arial" w:cs="Arial" w:eastAsia="Arial" w:hAnsi="Arial"/>
          <w:sz w:val="17"/>
          <w:szCs w:val="17"/>
          <w:color w:val="auto"/>
        </w:rPr>
        <w:t>All payments of principal, interest,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Borrower shall, at the time of making each payment under this Agreement or any Note for the account of any Lender, specify (in accordance with </w:t>
      </w:r>
      <w:r>
        <w:rPr>
          <w:rFonts w:ascii="Arial" w:cs="Arial" w:eastAsia="Arial" w:hAnsi="Arial"/>
          <w:sz w:val="18"/>
          <w:szCs w:val="18"/>
          <w:u w:val="single" w:color="auto"/>
          <w:color w:val="auto"/>
        </w:rPr>
        <w:t>Sections 2.09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2.10</w:t>
      </w:r>
      <w:r>
        <w:rPr>
          <w:rFonts w:ascii="Arial" w:cs="Arial" w:eastAsia="Arial" w:hAnsi="Arial"/>
          <w:sz w:val="18"/>
          <w:szCs w:val="18"/>
          <w:color w:val="auto"/>
        </w:rPr>
        <w:t>, if applicable) to Administrative Agent (which shall so notify the intended recipient(s) thereof) the Class and Type of Loans, or other amounts payable by Borrower hereunder to which such payment is to be applied.</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176" w:val="left"/>
        </w:tabs>
        <w:numPr>
          <w:ilvl w:val="0"/>
          <w:numId w:val="89"/>
        </w:numPr>
        <w:rPr>
          <w:rFonts w:ascii="Arial" w:cs="Arial" w:eastAsia="Arial" w:hAnsi="Arial"/>
          <w:sz w:val="16"/>
          <w:szCs w:val="16"/>
          <w:color w:val="auto"/>
        </w:rPr>
      </w:pPr>
      <w:r>
        <w:rPr>
          <w:rFonts w:ascii="Arial" w:cs="Arial" w:eastAsia="Arial" w:hAnsi="Arial"/>
          <w:sz w:val="16"/>
          <w:szCs w:val="16"/>
          <w:color w:val="auto"/>
        </w:rPr>
        <w:t>Each payment received by Administrative Agent under this Agreement or any Note for the account of any Lender shall be paid by Administrative Agent to such Lender, in immediately available funds, (x) if the payment was actually received by Administrative Agent prior to 12:00 p.m. (Noon), New York time on any day, on such day and (y) if the payment was actually received by Administrative Agent after 12:00 p.m. (Noon), New York time, on any day, by 1:00 p.m., New York time, on the following Business Day (it being understood that to the extent that any such payment is not made in full by Administrative Agent, Administrative Agent shall pay to such Lender, upon demand, interest at the Federal Funds Rate from the date such amount was required to be paid to such Lender pursuant to the foregoing clauses until the date Administrative Agent pays such Lender the full amount).</w:t>
      </w:r>
    </w:p>
    <w:p>
      <w:pPr>
        <w:spacing w:after="0" w:line="164" w:lineRule="exact"/>
        <w:rPr>
          <w:rFonts w:ascii="Arial" w:cs="Arial" w:eastAsia="Arial" w:hAnsi="Arial"/>
          <w:sz w:val="16"/>
          <w:szCs w:val="16"/>
          <w:color w:val="auto"/>
        </w:rPr>
      </w:pPr>
    </w:p>
    <w:p>
      <w:pPr>
        <w:jc w:val="both"/>
        <w:ind w:firstLine="656"/>
        <w:spacing w:after="0" w:line="264" w:lineRule="auto"/>
        <w:tabs>
          <w:tab w:leader="none" w:pos="1065"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4.02. Pro Rata Treatment</w:t>
      </w:r>
      <w:r>
        <w:rPr>
          <w:rFonts w:ascii="Arial" w:cs="Arial" w:eastAsia="Arial" w:hAnsi="Arial"/>
          <w:sz w:val="16"/>
          <w:szCs w:val="16"/>
          <w:color w:val="auto"/>
        </w:rPr>
        <w:t>. Except to the extent otherwise provided herein: (a) each borrowing of Loans of a particular Class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Lenders under </w:t>
      </w:r>
      <w:r>
        <w:rPr>
          <w:rFonts w:ascii="Arial" w:cs="Arial" w:eastAsia="Arial" w:hAnsi="Arial"/>
          <w:sz w:val="16"/>
          <w:szCs w:val="16"/>
          <w:u w:val="single" w:color="auto"/>
          <w:color w:val="auto"/>
        </w:rPr>
        <w:t>Section 2.01</w:t>
      </w:r>
      <w:r>
        <w:rPr>
          <w:rFonts w:ascii="Arial" w:cs="Arial" w:eastAsia="Arial" w:hAnsi="Arial"/>
          <w:sz w:val="16"/>
          <w:szCs w:val="16"/>
          <w:color w:val="auto"/>
        </w:rPr>
        <w:t xml:space="preserve"> shall be made from the relevant Lenders, each payment of commitment fees under </w:t>
      </w:r>
      <w:r>
        <w:rPr>
          <w:rFonts w:ascii="Arial" w:cs="Arial" w:eastAsia="Arial" w:hAnsi="Arial"/>
          <w:sz w:val="16"/>
          <w:szCs w:val="16"/>
          <w:u w:val="single" w:color="auto"/>
          <w:color w:val="auto"/>
        </w:rPr>
        <w:t>Section 2.05</w:t>
      </w:r>
      <w:r>
        <w:rPr>
          <w:rFonts w:ascii="Arial" w:cs="Arial" w:eastAsia="Arial" w:hAnsi="Arial"/>
          <w:sz w:val="16"/>
          <w:szCs w:val="16"/>
          <w:color w:val="auto"/>
        </w:rPr>
        <w:t xml:space="preserve"> in respect of Commitments of a particular Class shall be made for account of the relevant Lenders, and each termination or reduction of the amount of the Commitments of a particular Class under </w:t>
      </w:r>
      <w:r>
        <w:rPr>
          <w:rFonts w:ascii="Arial" w:cs="Arial" w:eastAsia="Arial" w:hAnsi="Arial"/>
          <w:sz w:val="16"/>
          <w:szCs w:val="16"/>
          <w:u w:val="single" w:color="auto"/>
          <w:color w:val="auto"/>
        </w:rPr>
        <w:t>Section 2.04</w:t>
      </w:r>
      <w:r>
        <w:rPr>
          <w:rFonts w:ascii="Arial" w:cs="Arial" w:eastAsia="Arial" w:hAnsi="Arial"/>
          <w:sz w:val="16"/>
          <w:szCs w:val="16"/>
          <w:color w:val="auto"/>
        </w:rPr>
        <w:t xml:space="preserve"> shall be applied to the respective Commitments of such Class of the relevant Lenders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according to the amounts of their respective Commitments of such Class; (b) except as otherwise provided in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LIBOR Loans of any Class having the same Interest Period shall be allocated </w:t>
      </w:r>
      <w:r>
        <w:rPr>
          <w:rFonts w:ascii="Arial" w:cs="Arial" w:eastAsia="Arial" w:hAnsi="Arial"/>
          <w:sz w:val="16"/>
          <w:szCs w:val="16"/>
          <w:i w:val="1"/>
          <w:iCs w:val="1"/>
          <w:color w:val="auto"/>
        </w:rPr>
        <w:t xml:space="preserve">pro rata </w:t>
      </w:r>
      <w:r>
        <w:rPr>
          <w:rFonts w:ascii="Arial" w:cs="Arial" w:eastAsia="Arial" w:hAnsi="Arial"/>
          <w:sz w:val="16"/>
          <w:szCs w:val="16"/>
          <w:color w:val="auto"/>
        </w:rPr>
        <w:t>among the relevant Lenders according to the amounts of their respective Term Facility Commitments (in the case of the making of Loans) 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respective Term Loans (in the case of conversions and continuations of Loans); (c) except as otherwise provided in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13.05(d)</w:t>
      </w:r>
      <w:r>
        <w:rPr>
          <w:rFonts w:ascii="Arial" w:cs="Arial" w:eastAsia="Arial" w:hAnsi="Arial"/>
          <w:sz w:val="16"/>
          <w:szCs w:val="16"/>
          <w:color w:val="auto"/>
        </w:rPr>
        <w:t>, each payment or prepayment of principal of any particular Class of</w:t>
      </w:r>
    </w:p>
    <w:p>
      <w:pPr>
        <w:sectPr>
          <w:pgSz w:w="11900" w:h="16868" w:orient="portrait"/>
          <w:cols w:equalWidth="0" w:num="1">
            <w:col w:w="11420"/>
          </w:cols>
          <w:pgMar w:left="240" w:top="140" w:right="239" w:bottom="0" w:gutter="0" w:footer="0" w:header="0"/>
        </w:sectPr>
      </w:pPr>
    </w:p>
    <w:bookmarkStart w:id="97" w:name="page98"/>
    <w:bookmarkEnd w:id="97"/>
    <w:p>
      <w:pPr>
        <w:jc w:val="both"/>
        <w:spacing w:after="0" w:line="279" w:lineRule="auto"/>
        <w:rPr>
          <w:sz w:val="20"/>
          <w:szCs w:val="20"/>
          <w:color w:val="auto"/>
        </w:rPr>
      </w:pPr>
      <w:r>
        <w:rPr>
          <w:rFonts w:ascii="Arial" w:cs="Arial" w:eastAsia="Arial" w:hAnsi="Arial"/>
          <w:sz w:val="17"/>
          <w:szCs w:val="17"/>
          <w:color w:val="auto"/>
        </w:rPr>
        <w:t xml:space="preserve">Term Loans shall be made for the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respective unpaid outstanding principal amounts of the Loans of such Class held by them; and (d) except as otherwise provided in </w:t>
      </w:r>
      <w:r>
        <w:rPr>
          <w:rFonts w:ascii="Arial" w:cs="Arial" w:eastAsia="Arial" w:hAnsi="Arial"/>
          <w:sz w:val="17"/>
          <w:szCs w:val="17"/>
          <w:u w:val="single" w:color="auto"/>
          <w:color w:val="auto"/>
        </w:rPr>
        <w:t>Section 2.09(b)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13.05(d)</w:t>
      </w:r>
      <w:r>
        <w:rPr>
          <w:rFonts w:ascii="Arial" w:cs="Arial" w:eastAsia="Arial" w:hAnsi="Arial"/>
          <w:sz w:val="17"/>
          <w:szCs w:val="17"/>
          <w:color w:val="auto"/>
        </w:rPr>
        <w:t xml:space="preserve">, each payment of interest on Term Loans shall be made for account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 amounts of interest on such Loans then due and payable to the respective Lenders.</w:t>
      </w:r>
    </w:p>
    <w:p>
      <w:pPr>
        <w:spacing w:after="0" w:line="16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4.03. Computations</w:t>
      </w:r>
      <w:r>
        <w:rPr>
          <w:rFonts w:ascii="Arial" w:cs="Arial" w:eastAsia="Arial" w:hAnsi="Arial"/>
          <w:sz w:val="18"/>
          <w:szCs w:val="18"/>
          <w:color w:val="auto"/>
        </w:rPr>
        <w:t>. Interest on LIBOR Loans shall be computed on the basis of a year of 360 days and actual days elapsed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the first day but excluding the last day) occurring in the period for which such amounts are payable and interest on ABR Loans shall be computed on the basis of a year of 365 or 366 days, as the case may be, and actual days elapsed (including the first day but excluding the last day) occurring in the period for which such amounts are payable.</w:t>
      </w:r>
    </w:p>
    <w:p>
      <w:pPr>
        <w:spacing w:after="0" w:line="18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4.04. Minimum Amounts</w:t>
      </w:r>
      <w:r>
        <w:rPr>
          <w:rFonts w:ascii="Arial" w:cs="Arial" w:eastAsia="Arial" w:hAnsi="Arial"/>
          <w:sz w:val="17"/>
          <w:szCs w:val="17"/>
          <w:color w:val="auto"/>
        </w:rPr>
        <w:t>. Except for mandatory prepayments made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2.10</w:t>
      </w:r>
      <w:r>
        <w:rPr>
          <w:rFonts w:ascii="Arial" w:cs="Arial" w:eastAsia="Arial" w:hAnsi="Arial"/>
          <w:sz w:val="17"/>
          <w:szCs w:val="17"/>
          <w:b w:val="1"/>
          <w:bCs w:val="1"/>
          <w:color w:val="auto"/>
        </w:rPr>
        <w:t xml:space="preserve"> </w:t>
      </w:r>
      <w:r>
        <w:rPr>
          <w:rFonts w:ascii="Arial" w:cs="Arial" w:eastAsia="Arial" w:hAnsi="Arial"/>
          <w:sz w:val="17"/>
          <w:szCs w:val="17"/>
          <w:color w:val="auto"/>
        </w:rPr>
        <w:t>and conversions or prepayments made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w:t>
      </w:r>
      <w:r>
        <w:rPr>
          <w:rFonts w:ascii="Arial" w:cs="Arial" w:eastAsia="Arial" w:hAnsi="Arial"/>
          <w:sz w:val="17"/>
          <w:szCs w:val="17"/>
          <w:u w:val="single" w:color="auto"/>
          <w:color w:val="auto"/>
        </w:rPr>
        <w:t>Section 5.04</w:t>
      </w:r>
      <w:r>
        <w:rPr>
          <w:rFonts w:ascii="Arial" w:cs="Arial" w:eastAsia="Arial" w:hAnsi="Arial"/>
          <w:sz w:val="17"/>
          <w:szCs w:val="17"/>
          <w:color w:val="auto"/>
        </w:rPr>
        <w:t>, each Borrowing, conversion and partial prepayment of principal of Loans shall be in an amount at least equal to, in the case of Term Loans (x) with respect to Borrowings, $25.0 million and (y) with respect to conversions and partial repayments of principal, $5.0 million and, in each case, in multiples of $100,000 in excess thereof or, if less, the remaining Term Loans (borrowings, conversions or prepayments of or into Loans of different Types or, in the case of LIBOR Loans, having different Interest Periods at the same time hereunder to be deemed separate borrowings, conversions and prepayments for purposes of the foregoing, one for each Type or Interest Period).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ind w:left="4980"/>
              <w:spacing w:after="0"/>
              <w:rPr>
                <w:sz w:val="20"/>
                <w:szCs w:val="20"/>
                <w:color w:val="auto"/>
              </w:rPr>
            </w:pPr>
            <w:r>
              <w:rPr>
                <w:rFonts w:ascii="Arial" w:cs="Arial" w:eastAsia="Arial" w:hAnsi="Arial"/>
                <w:sz w:val="18"/>
                <w:szCs w:val="18"/>
                <w:color w:val="auto"/>
              </w:rPr>
              <w:t>NOTICE PERIODS</w:t>
            </w:r>
          </w:p>
        </w:tc>
        <w:tc>
          <w:tcPr>
            <w:tcW w:w="2540" w:type="dxa"/>
            <w:vAlign w:val="bottom"/>
          </w:tcPr>
          <w:p>
            <w:pPr>
              <w:spacing w:after="0"/>
              <w:rPr>
                <w:sz w:val="20"/>
                <w:szCs w:val="20"/>
                <w:color w:val="auto"/>
              </w:rPr>
            </w:pPr>
          </w:p>
        </w:tc>
      </w:tr>
      <w:tr>
        <w:trPr>
          <w:trHeight w:val="580"/>
        </w:trPr>
        <w:tc>
          <w:tcPr>
            <w:tcW w:w="8880" w:type="dxa"/>
            <w:vAlign w:val="bottom"/>
          </w:tcPr>
          <w:p>
            <w:pPr>
              <w:ind w:left="40"/>
              <w:spacing w:after="0"/>
              <w:rPr>
                <w:sz w:val="20"/>
                <w:szCs w:val="20"/>
                <w:color w:val="auto"/>
              </w:rPr>
            </w:pPr>
            <w:r>
              <w:rPr>
                <w:rFonts w:ascii="Arial" w:cs="Arial" w:eastAsia="Arial" w:hAnsi="Arial"/>
                <w:sz w:val="18"/>
                <w:szCs w:val="18"/>
                <w:color w:val="auto"/>
              </w:rPr>
              <w:t>Notice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r>
      <w:tr>
        <w:trPr>
          <w:trHeight w:val="230"/>
        </w:trPr>
        <w:tc>
          <w:tcPr>
            <w:tcW w:w="888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Business Days Prior</w:t>
            </w:r>
          </w:p>
        </w:tc>
      </w:tr>
      <w:tr>
        <w:trPr>
          <w:trHeight w:val="432"/>
        </w:trPr>
        <w:tc>
          <w:tcPr>
            <w:tcW w:w="8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r>
        <w:trPr>
          <w:trHeight w:val="237"/>
        </w:trPr>
        <w:tc>
          <w:tcPr>
            <w:tcW w:w="8880" w:type="dxa"/>
            <w:vAlign w:val="bottom"/>
          </w:tcPr>
          <w:p>
            <w:pPr>
              <w:ind w:left="40"/>
              <w:spacing w:after="0"/>
              <w:rPr>
                <w:sz w:val="20"/>
                <w:szCs w:val="20"/>
                <w:color w:val="auto"/>
              </w:rPr>
            </w:pPr>
            <w:r>
              <w:rPr>
                <w:rFonts w:ascii="Arial" w:cs="Arial" w:eastAsia="Arial" w:hAnsi="Arial"/>
                <w:sz w:val="18"/>
                <w:szCs w:val="18"/>
                <w:color w:val="auto"/>
              </w:rPr>
              <w:t>Termination or reduction of Commitments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675"/>
        </w:trPr>
        <w:tc>
          <w:tcPr>
            <w:tcW w:w="8880" w:type="dxa"/>
            <w:vAlign w:val="bottom"/>
          </w:tcPr>
          <w:p>
            <w:pPr>
              <w:ind w:left="40"/>
              <w:spacing w:after="0"/>
              <w:rPr>
                <w:sz w:val="20"/>
                <w:szCs w:val="20"/>
                <w:color w:val="auto"/>
              </w:rPr>
            </w:pPr>
            <w:r>
              <w:rPr>
                <w:rFonts w:ascii="Arial" w:cs="Arial" w:eastAsia="Arial" w:hAnsi="Arial"/>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661"/>
        </w:trPr>
        <w:tc>
          <w:tcPr>
            <w:tcW w:w="8880" w:type="dxa"/>
            <w:vAlign w:val="bottom"/>
          </w:tcPr>
          <w:p>
            <w:pPr>
              <w:ind w:left="40"/>
              <w:spacing w:after="0"/>
              <w:rPr>
                <w:sz w:val="20"/>
                <w:szCs w:val="20"/>
                <w:color w:val="auto"/>
              </w:rPr>
            </w:pPr>
            <w:r>
              <w:rPr>
                <w:rFonts w:ascii="Arial" w:cs="Arial" w:eastAsia="Arial" w:hAnsi="Arial"/>
                <w:sz w:val="18"/>
                <w:szCs w:val="18"/>
                <w:color w:val="auto"/>
                <w:w w:val="97"/>
              </w:rPr>
              <w:t>Borrowing or optional prepayment of, conversions into, continuations as, or duration of Interest Periods for, LIBOR</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8880" w:type="dxa"/>
            <w:vAlign w:val="bottom"/>
          </w:tcPr>
          <w:p>
            <w:pPr>
              <w:ind w:left="40"/>
              <w:spacing w:after="0"/>
              <w:rPr>
                <w:sz w:val="20"/>
                <w:szCs w:val="20"/>
                <w:color w:val="auto"/>
              </w:rPr>
            </w:pPr>
            <w:r>
              <w:rPr>
                <w:rFonts w:ascii="Arial" w:cs="Arial" w:eastAsia="Arial" w:hAnsi="Arial"/>
                <w:sz w:val="18"/>
                <w:szCs w:val="18"/>
                <w:color w:val="auto"/>
              </w:rPr>
              <w:t>Loans</w:t>
            </w:r>
          </w:p>
        </w:tc>
        <w:tc>
          <w:tcPr>
            <w:tcW w:w="2540" w:type="dxa"/>
            <w:vAlign w:val="bottom"/>
          </w:tcPr>
          <w:p>
            <w:pPr>
              <w:spacing w:after="0"/>
              <w:rPr>
                <w:sz w:val="20"/>
                <w:szCs w:val="20"/>
                <w:color w:val="auto"/>
              </w:rPr>
            </w:pPr>
          </w:p>
        </w:tc>
      </w:tr>
      <w:tr>
        <w:trPr>
          <w:trHeight w:val="675"/>
        </w:trPr>
        <w:tc>
          <w:tcPr>
            <w:tcW w:w="8880" w:type="dxa"/>
            <w:vAlign w:val="bottom"/>
          </w:tcPr>
          <w:p>
            <w:pPr>
              <w:ind w:left="40"/>
              <w:spacing w:after="0"/>
              <w:rPr>
                <w:sz w:val="20"/>
                <w:szCs w:val="20"/>
                <w:color w:val="auto"/>
              </w:rPr>
            </w:pPr>
            <w:r>
              <w:rPr>
                <w:rFonts w:ascii="Arial" w:cs="Arial" w:eastAsia="Arial" w:hAnsi="Arial"/>
                <w:sz w:val="18"/>
                <w:szCs w:val="18"/>
                <w:color w:val="auto"/>
              </w:rPr>
              <w:t>Borrowing of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same day</w:t>
            </w:r>
          </w:p>
        </w:tc>
      </w:tr>
    </w:tbl>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w:t>
      </w:r>
      <w:r>
        <w:rPr>
          <w:rFonts w:ascii="Arial" w:cs="Arial" w:eastAsia="Arial" w:hAnsi="Arial"/>
          <w:sz w:val="18"/>
          <w:szCs w:val="18"/>
          <w:u w:val="single" w:color="auto"/>
          <w:color w:val="auto"/>
        </w:rPr>
        <w:t>Section 4.04</w:t>
      </w:r>
      <w:r>
        <w:rPr>
          <w:rFonts w:ascii="Arial" w:cs="Arial" w:eastAsia="Arial" w:hAnsi="Arial"/>
          <w:sz w:val="18"/>
          <w:szCs w:val="18"/>
          <w:color w:val="auto"/>
        </w:rPr>
        <w:t xml:space="preserve">) and Type of each Loan to be borrowed, converted, continued or prepaid and the date of borrowing, conversion, continuation or prepayment (which shall be a Business Day). Each such notice of the duration of an Interest Period shall specify the Loans to which such Interest Period is to relate. Administrative Agent shall promptly notify the Lenders of the contents of each such notice. In the event that Borrower fails to select the Type of Loan within the time period and otherwise as provided in this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w:t>
      </w:r>
      <w:r>
        <w:rPr>
          <w:rFonts w:ascii="Arial" w:cs="Arial" w:eastAsia="Arial" w:hAnsi="Arial"/>
          <w:sz w:val="18"/>
          <w:szCs w:val="18"/>
          <w:u w:val="single" w:color="auto"/>
          <w:color w:val="auto"/>
        </w:rPr>
        <w:t>Section 4.05</w:t>
      </w:r>
      <w:r>
        <w:rPr>
          <w:rFonts w:ascii="Arial" w:cs="Arial" w:eastAsia="Arial" w:hAnsi="Arial"/>
          <w:sz w:val="18"/>
          <w:szCs w:val="18"/>
          <w:color w:val="auto"/>
        </w:rPr>
        <w:t>, such LIBOR Loan shall have an Interest Period of one month.</w:t>
      </w:r>
    </w:p>
    <w:p>
      <w:pPr>
        <w:spacing w:after="0" w:line="19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4.06.</w:t>
      </w:r>
      <w:r>
        <w:rPr>
          <w:sz w:val="20"/>
          <w:szCs w:val="20"/>
          <w:color w:val="auto"/>
        </w:rPr>
        <w:tab/>
      </w:r>
      <w:r>
        <w:rPr>
          <w:rFonts w:ascii="Arial" w:cs="Arial" w:eastAsia="Arial" w:hAnsi="Arial"/>
          <w:sz w:val="16"/>
          <w:szCs w:val="16"/>
          <w:b w:val="1"/>
          <w:bCs w:val="1"/>
          <w:color w:val="auto"/>
        </w:rPr>
        <w:t>Non-Receipt of Funds by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028" w:val="left"/>
        </w:tabs>
        <w:numPr>
          <w:ilvl w:val="0"/>
          <w:numId w:val="90"/>
        </w:numPr>
        <w:rPr>
          <w:rFonts w:ascii="Arial" w:cs="Arial" w:eastAsia="Arial" w:hAnsi="Arial"/>
          <w:sz w:val="16"/>
          <w:szCs w:val="16"/>
          <w:color w:val="auto"/>
        </w:rPr>
      </w:pPr>
      <w:r>
        <w:rPr>
          <w:rFonts w:ascii="Arial" w:cs="Arial" w:eastAsia="Arial" w:hAnsi="Arial"/>
          <w:sz w:val="16"/>
          <w:szCs w:val="16"/>
          <w:color w:val="auto"/>
        </w:rPr>
        <w:t xml:space="preserve">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6"/>
          <w:szCs w:val="16"/>
          <w:u w:val="single" w:color="auto"/>
          <w:color w:val="auto"/>
        </w:rPr>
        <w:t>Section 2.02</w:t>
      </w:r>
      <w:r>
        <w:rPr>
          <w:rFonts w:ascii="Arial" w:cs="Arial" w:eastAsia="Arial" w:hAnsi="Arial"/>
          <w:sz w:val="16"/>
          <w:szCs w:val="16"/>
          <w:color w:val="auto"/>
        </w:rPr>
        <w:t xml:space="preserve"> (or, in the case of a Borrowing of ABR Loans, that such Lender has made such share available in accordance with and at the time required by </w:t>
      </w:r>
      <w:r>
        <w:rPr>
          <w:rFonts w:ascii="Arial" w:cs="Arial" w:eastAsia="Arial" w:hAnsi="Arial"/>
          <w:sz w:val="16"/>
          <w:szCs w:val="16"/>
          <w:u w:val="single" w:color="auto"/>
          <w:color w:val="auto"/>
        </w:rPr>
        <w:t>Section 2.02</w:t>
      </w:r>
      <w:r>
        <w:rPr>
          <w:rFonts w:ascii="Arial" w:cs="Arial" w:eastAsia="Arial" w:hAnsi="Arial"/>
          <w:sz w:val="16"/>
          <w:szCs w:val="16"/>
          <w:color w:val="auto"/>
        </w:rPr>
        <w:t>) and may, in reliance upon such assumption, make available to Borrower 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 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ectPr>
          <w:pgSz w:w="11900" w:h="16838" w:orient="portrait"/>
          <w:cols w:equalWidth="0" w:num="1">
            <w:col w:w="11420"/>
          </w:cols>
          <w:pgMar w:left="240" w:top="125" w:right="239" w:bottom="19" w:gutter="0" w:footer="0" w:header="0"/>
        </w:sectPr>
      </w:pPr>
    </w:p>
    <w:bookmarkStart w:id="98" w:name="page99"/>
    <w:bookmarkEnd w:id="98"/>
    <w:p>
      <w:pPr>
        <w:spacing w:after="0" w:line="2" w:lineRule="exact"/>
        <w:rPr>
          <w:sz w:val="20"/>
          <w:szCs w:val="20"/>
          <w:color w:val="auto"/>
        </w:rPr>
      </w:pPr>
    </w:p>
    <w:p>
      <w:pPr>
        <w:jc w:val="both"/>
        <w:ind w:firstLine="656"/>
        <w:spacing w:after="0" w:line="291" w:lineRule="auto"/>
        <w:tabs>
          <w:tab w:leader="none" w:pos="1038"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Borrower prior to the date on which any payment is due to the Administrative Agent for the account of the Lenders hereunder that Borrower will not make such payment, the Administrative Agent may assume that Borrower has made such payment on such date in accordance herewith and may, in reliance upon such assumption, distribute to the Lenders the amount due. In such event, if Borrower has not in fact made such payment, then each of the Lenders severally agrees to repay to the Administrative Agent forthwith on demand the amount so distributed to such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clause (b) shall be conclusive, absent manifest error.</w:t>
      </w:r>
    </w:p>
    <w:p>
      <w:pPr>
        <w:spacing w:after="0" w:line="1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28" w:val="left"/>
        </w:tabs>
        <w:numPr>
          <w:ilvl w:val="1"/>
          <w:numId w:val="92"/>
        </w:numPr>
        <w:rPr>
          <w:rFonts w:ascii="Arial" w:cs="Arial" w:eastAsia="Arial" w:hAnsi="Arial"/>
          <w:sz w:val="17"/>
          <w:szCs w:val="17"/>
          <w:color w:val="auto"/>
        </w:rPr>
      </w:pPr>
      <w:r>
        <w:rPr>
          <w:rFonts w:ascii="Arial" w:cs="Arial" w:eastAsia="Arial" w:hAnsi="Arial"/>
          <w:sz w:val="17"/>
          <w:szCs w:val="17"/>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such Lender’s failure to give such notice shall not affect the validity thereof; and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no such right of setoff, banker’s lien or counterclaim shall apply to any funds held for further distribution to any Governmental Authority.</w:t>
      </w:r>
    </w:p>
    <w:p>
      <w:pPr>
        <w:spacing w:after="0" w:line="178" w:lineRule="exact"/>
        <w:rPr>
          <w:rFonts w:ascii="Arial" w:cs="Arial" w:eastAsia="Arial" w:hAnsi="Arial"/>
          <w:sz w:val="17"/>
          <w:szCs w:val="17"/>
          <w:color w:val="auto"/>
        </w:rPr>
      </w:pPr>
    </w:p>
    <w:p>
      <w:pPr>
        <w:jc w:val="both"/>
        <w:ind w:firstLine="656"/>
        <w:spacing w:after="0" w:line="288" w:lineRule="auto"/>
        <w:tabs>
          <w:tab w:leader="none" w:pos="1133"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Each of the Lenders agrees that, if it should receive (other than pursuant to </w:t>
      </w:r>
      <w:r>
        <w:rPr>
          <w:rFonts w:ascii="Arial" w:cs="Arial" w:eastAsia="Arial" w:hAnsi="Arial"/>
          <w:sz w:val="16"/>
          <w:szCs w:val="16"/>
          <w:u w:val="single" w:color="auto"/>
          <w:color w:val="auto"/>
        </w:rPr>
        <w:t>Section 2.09(b)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13.04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13.05(d)</w:t>
      </w:r>
      <w:r>
        <w:rPr>
          <w:rFonts w:ascii="Arial" w:cs="Arial" w:eastAsia="Arial" w:hAnsi="Arial"/>
          <w:sz w:val="16"/>
          <w:szCs w:val="16"/>
          <w:color w:val="auto"/>
        </w:rPr>
        <w:t xml:space="preserve">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all or any portion of such excess amount is thereafter recovered from such Lender, such purchase shall be rescinded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price restored to the extent of such recovery, but without interest. Borrower consents to the foregoing arrangements.</w:t>
      </w:r>
    </w:p>
    <w:p>
      <w:pPr>
        <w:spacing w:after="0" w:line="169" w:lineRule="exact"/>
        <w:rPr>
          <w:rFonts w:ascii="Arial" w:cs="Arial" w:eastAsia="Arial" w:hAnsi="Arial"/>
          <w:sz w:val="16"/>
          <w:szCs w:val="16"/>
          <w:color w:val="auto"/>
        </w:rPr>
      </w:pPr>
    </w:p>
    <w:p>
      <w:pPr>
        <w:jc w:val="both"/>
        <w:ind w:firstLine="656"/>
        <w:spacing w:after="0" w:line="264" w:lineRule="auto"/>
        <w:tabs>
          <w:tab w:leader="none" w:pos="1041" w:val="left"/>
        </w:tabs>
        <w:numPr>
          <w:ilvl w:val="1"/>
          <w:numId w:val="92"/>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5" w:val="left"/>
        </w:tabs>
        <w:numPr>
          <w:ilvl w:val="1"/>
          <w:numId w:val="92"/>
        </w:numPr>
        <w:rPr>
          <w:rFonts w:ascii="Arial" w:cs="Arial" w:eastAsia="Arial" w:hAnsi="Arial"/>
          <w:sz w:val="18"/>
          <w:szCs w:val="18"/>
          <w:color w:val="auto"/>
        </w:rPr>
      </w:pPr>
      <w:r>
        <w:rPr>
          <w:rFonts w:ascii="Arial" w:cs="Arial" w:eastAsia="Arial" w:hAnsi="Arial"/>
          <w:sz w:val="18"/>
          <w:szCs w:val="18"/>
          <w:color w:val="auto"/>
        </w:rPr>
        <w:t xml:space="preserve">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applies, such Lender shall, to the extent practicable, exercise its rights in respect of such secured claim in a manner consistent with the rights of the Lenders entitled under this </w:t>
      </w:r>
      <w:r>
        <w:rPr>
          <w:rFonts w:ascii="Arial" w:cs="Arial" w:eastAsia="Arial" w:hAnsi="Arial"/>
          <w:sz w:val="18"/>
          <w:szCs w:val="18"/>
          <w:u w:val="single" w:color="auto"/>
          <w:color w:val="auto"/>
        </w:rPr>
        <w:t>Section 4.07</w:t>
      </w:r>
      <w:r>
        <w:rPr>
          <w:rFonts w:ascii="Arial" w:cs="Arial" w:eastAsia="Arial" w:hAnsi="Arial"/>
          <w:sz w:val="18"/>
          <w:szCs w:val="18"/>
          <w:color w:val="auto"/>
        </w:rPr>
        <w:t xml:space="preserve"> to share in the benefits of any recovery on such secured claim.</w:t>
      </w:r>
    </w:p>
    <w:p>
      <w:pPr>
        <w:spacing w:after="0" w:line="188" w:lineRule="exact"/>
        <w:rPr>
          <w:rFonts w:ascii="Arial" w:cs="Arial" w:eastAsia="Arial" w:hAnsi="Arial"/>
          <w:sz w:val="18"/>
          <w:szCs w:val="18"/>
          <w:color w:val="auto"/>
        </w:rPr>
      </w:pPr>
    </w:p>
    <w:p>
      <w:pPr>
        <w:ind w:left="1060" w:hanging="404"/>
        <w:spacing w:after="0"/>
        <w:tabs>
          <w:tab w:leader="none" w:pos="1060" w:val="left"/>
        </w:tabs>
        <w:numPr>
          <w:ilvl w:val="1"/>
          <w:numId w:val="9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w:t>
      </w:r>
      <w:r>
        <w:rPr>
          <w:rFonts w:ascii="Arial" w:cs="Arial" w:eastAsia="Arial" w:hAnsi="Arial"/>
          <w:sz w:val="16"/>
          <w:szCs w:val="16"/>
          <w:u w:val="single" w:color="auto"/>
          <w:color w:val="auto"/>
        </w:rPr>
        <w:t>Section 4.07</w:t>
      </w:r>
      <w:r>
        <w:rPr>
          <w:rFonts w:ascii="Arial" w:cs="Arial" w:eastAsia="Arial" w:hAnsi="Arial"/>
          <w:sz w:val="16"/>
          <w:szCs w:val="16"/>
          <w:color w:val="auto"/>
        </w:rPr>
        <w:t>, in the event that any Defaulting Lender exercises any right of setoff,</w:t>
      </w:r>
    </w:p>
    <w:p>
      <w:pPr>
        <w:spacing w:after="0" w:line="46" w:lineRule="exact"/>
        <w:rPr>
          <w:rFonts w:ascii="Arial" w:cs="Arial" w:eastAsia="Arial" w:hAnsi="Arial"/>
          <w:sz w:val="16"/>
          <w:szCs w:val="16"/>
          <w:color w:val="auto"/>
        </w:rPr>
      </w:pPr>
    </w:p>
    <w:p>
      <w:pPr>
        <w:jc w:val="both"/>
        <w:ind w:firstLine="8"/>
        <w:spacing w:after="0" w:line="254" w:lineRule="auto"/>
        <w:tabs>
          <w:tab w:leader="none" w:pos="218"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all amounts so set off will be paid over immediately to Administrative Agent for further application in accordance with the provisions of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and, pending such payment, will be segregated by such Defaulting Lender from its other funds and deemed held in trust for the benefit of Administrative Agent and the Lenders and (ii) the Defaulting Lender will provide promptly to Administrative Agent a statement describing in reasonable detail the Obligations owing to such Defaulting Lender as to which it exercised such right of setoff.</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Additional Costs</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ind w:left="660" w:firstLine="888"/>
        <w:spacing w:after="0" w:line="277" w:lineRule="auto"/>
        <w:tabs>
          <w:tab w:leader="none" w:pos="1915" w:val="left"/>
        </w:tabs>
        <w:numPr>
          <w:ilvl w:val="1"/>
          <w:numId w:val="94"/>
        </w:numPr>
        <w:rPr>
          <w:rFonts w:ascii="Arial" w:cs="Arial" w:eastAsia="Arial" w:hAnsi="Arial"/>
          <w:sz w:val="18"/>
          <w:szCs w:val="18"/>
          <w:color w:val="auto"/>
        </w:rPr>
      </w:pPr>
      <w:r>
        <w:rPr>
          <w:rFonts w:ascii="Arial" w:cs="Arial" w:eastAsia="Arial" w:hAnsi="Arial"/>
          <w:sz w:val="18"/>
          <w:szCs w:val="18"/>
          <w:color w:val="auto"/>
        </w:rPr>
        <w:t>subject any Lender to any Taxes with respect to this Agreement, any Note or any Lender’s participation therein, any Loan made by it (except for (1) any reserve requirement reflected in the LIBO Rate, (2) Covered Taxes and (3) Excluded Taxes);</w:t>
      </w:r>
    </w:p>
    <w:p>
      <w:pPr>
        <w:spacing w:after="0" w:line="170" w:lineRule="exact"/>
        <w:rPr>
          <w:rFonts w:ascii="Arial" w:cs="Arial" w:eastAsia="Arial" w:hAnsi="Arial"/>
          <w:sz w:val="18"/>
          <w:szCs w:val="18"/>
          <w:color w:val="auto"/>
        </w:rPr>
      </w:pPr>
    </w:p>
    <w:p>
      <w:pPr>
        <w:jc w:val="both"/>
        <w:ind w:left="660" w:firstLine="888"/>
        <w:spacing w:after="0" w:line="286" w:lineRule="auto"/>
        <w:tabs>
          <w:tab w:leader="none" w:pos="1978" w:val="left"/>
        </w:tabs>
        <w:numPr>
          <w:ilvl w:val="1"/>
          <w:numId w:val="94"/>
        </w:numPr>
        <w:rPr>
          <w:rFonts w:ascii="Arial" w:cs="Arial" w:eastAsia="Arial" w:hAnsi="Arial"/>
          <w:sz w:val="17"/>
          <w:szCs w:val="17"/>
          <w:color w:val="auto"/>
        </w:rPr>
      </w:pPr>
      <w:r>
        <w:rPr>
          <w:rFonts w:ascii="Arial" w:cs="Arial" w:eastAsia="Arial" w:hAnsi="Arial"/>
          <w:sz w:val="17"/>
          <w:szCs w:val="17"/>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that is not otherwise included in the determination of the LIBO Rate hereunder; or</w:t>
      </w:r>
    </w:p>
    <w:p>
      <w:pPr>
        <w:spacing w:after="0" w:line="165" w:lineRule="exact"/>
        <w:rPr>
          <w:rFonts w:ascii="Arial" w:cs="Arial" w:eastAsia="Arial" w:hAnsi="Arial"/>
          <w:sz w:val="17"/>
          <w:szCs w:val="17"/>
          <w:color w:val="auto"/>
        </w:rPr>
      </w:pPr>
    </w:p>
    <w:p>
      <w:pPr>
        <w:ind w:left="660" w:firstLine="888"/>
        <w:spacing w:after="0" w:line="277" w:lineRule="auto"/>
        <w:tabs>
          <w:tab w:leader="none" w:pos="2082" w:val="left"/>
        </w:tabs>
        <w:numPr>
          <w:ilvl w:val="1"/>
          <w:numId w:val="94"/>
        </w:numPr>
        <w:rPr>
          <w:rFonts w:ascii="Arial" w:cs="Arial" w:eastAsia="Arial" w:hAnsi="Arial"/>
          <w:sz w:val="18"/>
          <w:szCs w:val="18"/>
          <w:color w:val="auto"/>
        </w:rPr>
      </w:pPr>
      <w:r>
        <w:rPr>
          <w:rFonts w:ascii="Arial" w:cs="Arial" w:eastAsia="Arial" w:hAnsi="Arial"/>
          <w:sz w:val="18"/>
          <w:szCs w:val="18"/>
          <w:color w:val="auto"/>
        </w:rPr>
        <w:t>impose on any Lender or the London interbank market any other condition, cost or expense (other than Taxes) affecting this Agreement or LIBOR Loans made by such Lender or participation therein;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and the result of any of the foregoing is to materially increase the cost to such Lender of making, converting into, continuing or maintaining LIBOR Loans (or of maintaining its obligation to make any LIBOR Loans), then, in any such case, Borrower shall, within 10 days of written demand therefor, pay such Lender any additional amounts necessary to compensate such Lender for such increased cost. If any Lender becomes entitled to claim any additional amounts pursuant to this subsection, it shall promptly notify Borrower, through Administrative Agent, of the event by reason of which it has become so entitled.</w:t>
      </w:r>
    </w:p>
    <w:p>
      <w:pPr>
        <w:spacing w:after="0" w:line="154" w:lineRule="exact"/>
        <w:rPr>
          <w:sz w:val="20"/>
          <w:szCs w:val="20"/>
          <w:color w:val="auto"/>
        </w:rPr>
      </w:pPr>
    </w:p>
    <w:p>
      <w:pPr>
        <w:jc w:val="both"/>
        <w:ind w:firstLine="656"/>
        <w:spacing w:after="0" w:line="259" w:lineRule="auto"/>
        <w:tabs>
          <w:tab w:leader="none" w:pos="107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 certificate as to any additional amounts setting forth the calculation of such additional amounts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submitted by such Lender, through Administrative Agent, to Borrower shall be conclusive in the absence of clearly demonstrable error. Without limiting the survival of any other covenant hereunder,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survive the termination of this Agreement and the payment of the Notes and all other Obligations payable hereunder.</w:t>
      </w:r>
    </w:p>
    <w:p>
      <w:pPr>
        <w:spacing w:after="0" w:line="186" w:lineRule="exact"/>
        <w:rPr>
          <w:rFonts w:ascii="Arial" w:cs="Arial" w:eastAsia="Arial" w:hAnsi="Arial"/>
          <w:sz w:val="18"/>
          <w:szCs w:val="18"/>
          <w:color w:val="auto"/>
        </w:rPr>
      </w:pPr>
    </w:p>
    <w:p>
      <w:pPr>
        <w:jc w:val="both"/>
        <w:ind w:firstLine="656"/>
        <w:spacing w:after="0" w:line="342" w:lineRule="auto"/>
        <w:tabs>
          <w:tab w:leader="none" w:pos="1041"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w:t>
      </w:r>
    </w:p>
    <w:p>
      <w:pPr>
        <w:sectPr>
          <w:pgSz w:w="11900" w:h="16840" w:orient="portrait"/>
          <w:cols w:equalWidth="0" w:num="1">
            <w:col w:w="11420"/>
          </w:cols>
          <w:pgMar w:left="240" w:top="125" w:right="239" w:bottom="0" w:gutter="0" w:footer="0" w:header="0"/>
        </w:sectPr>
      </w:pPr>
    </w:p>
    <w:bookmarkStart w:id="99" w:name="page100"/>
    <w:bookmarkEnd w:id="99"/>
    <w:p>
      <w:pPr>
        <w:jc w:val="both"/>
        <w:spacing w:after="0" w:line="297" w:lineRule="auto"/>
        <w:rPr>
          <w:sz w:val="20"/>
          <w:szCs w:val="20"/>
          <w:color w:val="auto"/>
        </w:rPr>
      </w:pPr>
      <w:r>
        <w:rPr>
          <w:rFonts w:ascii="Arial" w:cs="Arial" w:eastAsia="Arial" w:hAnsi="Arial"/>
          <w:sz w:val="16"/>
          <w:szCs w:val="16"/>
          <w:color w:val="auto"/>
        </w:rPr>
        <w:t>such holding company’s capital as a consequence of its obligations hereunder, the Commitments of such Lender or the Loans made by such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58" w:lineRule="exact"/>
        <w:rPr>
          <w:sz w:val="20"/>
          <w:szCs w:val="20"/>
          <w:color w:val="auto"/>
        </w:rPr>
      </w:pPr>
    </w:p>
    <w:p>
      <w:pPr>
        <w:jc w:val="both"/>
        <w:ind w:firstLine="656"/>
        <w:spacing w:after="0" w:line="255" w:lineRule="auto"/>
        <w:tabs>
          <w:tab w:leader="none" w:pos="10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Inability To Determine Interest Rate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7" w:lineRule="auto"/>
        <w:tabs>
          <w:tab w:leader="none" w:pos="1082"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prior to the first day of any Interest Period: (i) Administrative Agent shall have determined (which determination shall be conclusive and binding upon Borrower) that, by reason of circumstances affecting the relevant market, adequate and reasonable means do not exist for ascertaining the LIBO Base Rate for such Interest Period or (ii) Administrative Agent shall have received notice from the Required Lenders that Dollar deposits are not available in the relevant amount and for the relevant Interest Period available to the Required Lenders in the London interbank market or (iii) the Required Lenders determine that the LIBO Rate for any requested Interest Period with respect to a proposed LIBOR Loan does not adequately and fairly reflect the cost to such Lenders of funding such LIBOR Loans (in each case, “</w:t>
      </w:r>
      <w:r>
        <w:rPr>
          <w:rFonts w:ascii="Arial" w:cs="Arial" w:eastAsia="Arial" w:hAnsi="Arial"/>
          <w:sz w:val="16"/>
          <w:szCs w:val="16"/>
          <w:b w:val="1"/>
          <w:bCs w:val="1"/>
          <w:color w:val="auto"/>
        </w:rPr>
        <w:t>Impacted Loans</w:t>
      </w:r>
      <w:r>
        <w:rPr>
          <w:rFonts w:ascii="Arial" w:cs="Arial" w:eastAsia="Arial" w:hAnsi="Arial"/>
          <w:sz w:val="16"/>
          <w:szCs w:val="16"/>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172" w:lineRule="exact"/>
        <w:rPr>
          <w:rFonts w:ascii="Arial" w:cs="Arial" w:eastAsia="Arial" w:hAnsi="Arial"/>
          <w:sz w:val="16"/>
          <w:szCs w:val="16"/>
          <w:color w:val="auto"/>
        </w:rPr>
      </w:pPr>
    </w:p>
    <w:p>
      <w:pPr>
        <w:jc w:val="both"/>
        <w:ind w:firstLine="656"/>
        <w:spacing w:after="0" w:line="270" w:lineRule="auto"/>
        <w:tabs>
          <w:tab w:leader="none" w:pos="1079"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77" w:lineRule="exact"/>
        <w:rPr>
          <w:rFonts w:ascii="Arial" w:cs="Arial" w:eastAsia="Arial" w:hAnsi="Arial"/>
          <w:sz w:val="17"/>
          <w:szCs w:val="17"/>
          <w:color w:val="auto"/>
        </w:rPr>
      </w:pPr>
    </w:p>
    <w:p>
      <w:pPr>
        <w:jc w:val="both"/>
        <w:ind w:firstLine="656"/>
        <w:spacing w:after="0" w:line="284" w:lineRule="auto"/>
        <w:tabs>
          <w:tab w:leader="none" w:pos="1055" w:val="left"/>
        </w:tabs>
        <w:numPr>
          <w:ilvl w:val="0"/>
          <w:numId w:val="97"/>
        </w:numPr>
        <w:rPr>
          <w:rFonts w:ascii="Arial" w:cs="Arial" w:eastAsia="Arial" w:hAnsi="Arial"/>
          <w:sz w:val="16"/>
          <w:szCs w:val="16"/>
          <w:color w:val="auto"/>
        </w:rPr>
      </w:pPr>
      <w:r>
        <w:rPr>
          <w:rFonts w:ascii="Arial" w:cs="Arial" w:eastAsia="Arial" w:hAnsi="Arial"/>
          <w:sz w:val="16"/>
          <w:szCs w:val="16"/>
          <w:color w:val="auto"/>
        </w:rPr>
        <w:t>If at any time the Administrative Agent determines (which determination shall be conclusive absent manifest error) that (i) the circumstances set forth in clause (a)(i) have arisen and such circumstances are unlikely to be temporary or (ii) the circumstances set forth in clause (a)(i) have not arisen but either (w) the supervisor for the administrator of the LIBO Base Rate has made a public statement that the administrator of the LIBO Base Rate is insolvent (and there is no successor administrator that will continue publication of the LIBO Base Rate), (x) the administrator of the LIBO Base Rate has made a public statement identifying a specific date after which the LIBO Base Rate will permanently or indefinitely cease to be published by it (and there is no successor administrator that will continue publication of the LIBO Base Rate), (y) the supervisor for the administrator of the LIBO Base Rate has made a public statement identifying a specific date after which the LIBO Base Rate will permanently or indefinitely cease to be published or (z) the supervisor for the administrator of the LIBO Base Rate or a Governmental Authority having jurisdiction over the Administrative Agent has made a public statement identifying a specific date after which the LIBO Base Rate may no longer be used for determining interest rates for loans, then the Administrative Agent and the Borrower shall endeavor to establish an alternate rate of interest to the LIBO Rate that gives due consideration to the then prevailing market convention for determining a rate of interest for syndicated loans in the United States at such time, and shall enter into an amendment to this Agreement to reflect such alternate rate of interest and such other related changes to this Agreement as may be applicable (and make adjustments to applicable margins and related amendments to this Agreement as referred to below such that the all-in interest rate based on the replacement index will, to the extent practicable, be equivalent to the all-in LIBO Rate-based interest rate in effect prior to its replacement); provided that, if such alternate rate of interest as so determined would be less than zero, such rate shall be deemed to be zero for the purposes of this Agreement. Notwithstanding anything to the contrary in Section 13.04, such amendment shall become effective without any further action or consent of any other party to this Agreement so long as the Administrative Agent shall not have received, within five Business Days of the date notice of such alternate rate of interest is provided to the Lenders, a written notice from the Required Lenders stating that such Required Lenders object to such amendment. Until an alternate rate of interest shall be determined in accordance with this clause (c) (but, in the case of the circumstances described in clause (ii)(w), clause (ii)(x) or clause (ii)(y) of the first sentence of this Section 5.02(c), only to the extent the LIBO Base Rate for such Interest Period is not available or published at such time on a current basis), (x) any Notice of Continuation/Conversion that requests the conversion of any Borrowing to, or continuation of any Borrowing as, a Borrowing of LIBOR Loans shall be ineffective and (y) if any Notice of Borrowing requests a Borrowing of LIBOR Loans, such Borrowing shall be made as ABR Loans.</w:t>
      </w:r>
    </w:p>
    <w:p>
      <w:pPr>
        <w:spacing w:after="0" w:line="394"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5.03. Illegality</w:t>
      </w:r>
      <w:r>
        <w:rPr>
          <w:rFonts w:ascii="Arial" w:cs="Arial" w:eastAsia="Arial" w:hAnsi="Arial"/>
          <w:sz w:val="16"/>
          <w:szCs w:val="16"/>
          <w:color w:val="auto"/>
        </w:rPr>
        <w:t>. Notwithstanding any other provision of this Agreement, in the event that any change after the date hereof in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Requirement of Law or in the interpretation or application thereof shall make it unlawful for any Lender or its Applicable Lending Office to honor its obligation to make or maintain LIBOR Loans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shall be suspended until such time as such Lender may again make and maintain LIBOR Loans (in which case the provisions of </w:t>
      </w:r>
      <w:r>
        <w:rPr>
          <w:rFonts w:ascii="Arial" w:cs="Arial" w:eastAsia="Arial" w:hAnsi="Arial"/>
          <w:sz w:val="16"/>
          <w:szCs w:val="16"/>
          <w:u w:val="single" w:color="auto"/>
          <w:color w:val="auto"/>
        </w:rPr>
        <w:t>Section 5.04</w:t>
      </w:r>
      <w:r>
        <w:rPr>
          <w:rFonts w:ascii="Arial" w:cs="Arial" w:eastAsia="Arial" w:hAnsi="Arial"/>
          <w:sz w:val="16"/>
          <w:szCs w:val="16"/>
          <w:color w:val="auto"/>
        </w:rPr>
        <w:t xml:space="preserve"> shall be applicable).</w:t>
      </w:r>
    </w:p>
    <w:p>
      <w:pPr>
        <w:spacing w:after="0" w:line="15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5.04. Treatment of Affected Loans</w:t>
      </w:r>
      <w:r>
        <w:rPr>
          <w:rFonts w:ascii="Arial" w:cs="Arial" w:eastAsia="Arial" w:hAnsi="Arial"/>
          <w:sz w:val="18"/>
          <w:szCs w:val="18"/>
          <w:color w:val="auto"/>
        </w:rPr>
        <w:t>. If the obligation of any Lender to make LIBOR Loans or to continue, or to convert ABR Loans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into, LIBOR Loans shall be suspended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which gave rise to such conversion no longer exist:</w:t>
      </w:r>
    </w:p>
    <w:p>
      <w:pPr>
        <w:spacing w:after="0" w:line="188" w:lineRule="exact"/>
        <w:rPr>
          <w:sz w:val="20"/>
          <w:szCs w:val="20"/>
          <w:color w:val="auto"/>
        </w:rPr>
      </w:pPr>
    </w:p>
    <w:p>
      <w:pPr>
        <w:ind w:left="660" w:firstLine="645"/>
        <w:spacing w:after="0" w:line="277" w:lineRule="auto"/>
        <w:tabs>
          <w:tab w:leader="none" w:pos="1753"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ectPr>
          <w:pgSz w:w="11900" w:h="16838" w:orient="portrait"/>
          <w:cols w:equalWidth="0" w:num="1">
            <w:col w:w="11420"/>
          </w:cols>
          <w:pgMar w:left="240" w:top="125" w:right="239" w:bottom="0" w:gutter="0" w:footer="0" w:header="0"/>
        </w:sectPr>
      </w:pPr>
    </w:p>
    <w:bookmarkStart w:id="100" w:name="page101"/>
    <w:bookmarkEnd w:id="100"/>
    <w:p>
      <w:pPr>
        <w:spacing w:after="0" w:line="21" w:lineRule="exact"/>
        <w:rPr>
          <w:sz w:val="20"/>
          <w:szCs w:val="20"/>
          <w:color w:val="auto"/>
        </w:rPr>
      </w:pPr>
    </w:p>
    <w:p>
      <w:pPr>
        <w:ind w:left="660" w:firstLine="645"/>
        <w:spacing w:after="0" w:line="308" w:lineRule="auto"/>
        <w:tabs>
          <w:tab w:leader="none" w:pos="1722" w:val="left"/>
        </w:tabs>
        <w:numPr>
          <w:ilvl w:val="0"/>
          <w:numId w:val="99"/>
        </w:numPr>
        <w:rPr>
          <w:rFonts w:ascii="Arial" w:cs="Arial" w:eastAsia="Arial" w:hAnsi="Arial"/>
          <w:sz w:val="17"/>
          <w:szCs w:val="17"/>
          <w:color w:val="auto"/>
        </w:rPr>
      </w:pPr>
      <w:r>
        <w:rPr>
          <w:rFonts w:ascii="Arial" w:cs="Arial" w:eastAsia="Arial" w:hAnsi="Arial"/>
          <w:sz w:val="17"/>
          <w:szCs w:val="17"/>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which gave rise to the conversion of such Lender’s LIBOR Loans pursuant to this </w:t>
      </w:r>
      <w:r>
        <w:rPr>
          <w:rFonts w:ascii="Arial" w:cs="Arial" w:eastAsia="Arial" w:hAnsi="Arial"/>
          <w:sz w:val="18"/>
          <w:szCs w:val="18"/>
          <w:u w:val="single" w:color="auto"/>
          <w:color w:val="auto"/>
        </w:rPr>
        <w:t>Section 5.04</w:t>
      </w:r>
      <w:r>
        <w:rPr>
          <w:rFonts w:ascii="Arial" w:cs="Arial" w:eastAsia="Arial" w:hAnsi="Arial"/>
          <w:sz w:val="18"/>
          <w:szCs w:val="18"/>
          <w:color w:val="auto"/>
        </w:rPr>
        <w:t xml:space="preserve">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5"/>
          <w:szCs w:val="15"/>
          <w:b w:val="1"/>
          <w:bCs w:val="1"/>
          <w:color w:val="auto"/>
        </w:rPr>
        <w:t>Compensation</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0" w:lineRule="auto"/>
        <w:tabs>
          <w:tab w:leader="none" w:pos="1028"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 date specified in the relevant prepayment notice, or (4) the conversion or the making of a payment or a prepayment (including any repayments or prepayments made pursuant to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2.10</w:t>
      </w:r>
      <w:r>
        <w:rPr>
          <w:rFonts w:ascii="Arial" w:cs="Arial" w:eastAsia="Arial" w:hAnsi="Arial"/>
          <w:sz w:val="17"/>
          <w:szCs w:val="17"/>
          <w:color w:val="auto"/>
        </w:rPr>
        <w:t xml:space="preserve"> or as a result of an acceleration of Loans pursuant to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or as a result of the replacement of a Lender pursuant to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13.04(b)</w:t>
      </w:r>
      <w:r>
        <w:rPr>
          <w:rFonts w:ascii="Arial" w:cs="Arial" w:eastAsia="Arial" w:hAnsi="Arial"/>
          <w:sz w:val="17"/>
          <w:szCs w:val="17"/>
          <w:color w:val="auto"/>
        </w:rPr>
        <w:t>)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81" w:lineRule="exact"/>
        <w:rPr>
          <w:rFonts w:ascii="Arial" w:cs="Arial" w:eastAsia="Arial" w:hAnsi="Arial"/>
          <w:sz w:val="17"/>
          <w:szCs w:val="17"/>
          <w:color w:val="auto"/>
        </w:rPr>
      </w:pPr>
    </w:p>
    <w:p>
      <w:pPr>
        <w:jc w:val="both"/>
        <w:ind w:firstLine="656"/>
        <w:spacing w:after="0" w:line="272" w:lineRule="auto"/>
        <w:tabs>
          <w:tab w:leader="none" w:pos="1052" w:val="left"/>
        </w:tabs>
        <w:numPr>
          <w:ilvl w:val="0"/>
          <w:numId w:val="100"/>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each Lender may fund each of its LIBOR Loans in any manner it sees fit, and the foregoing assumption shall be utilized only for the calculation of amounts payable under this subsection. Any Lender requesting compensation pursuant to this </w:t>
      </w:r>
      <w:r>
        <w:rPr>
          <w:rFonts w:ascii="Arial" w:cs="Arial" w:eastAsia="Arial" w:hAnsi="Arial"/>
          <w:sz w:val="17"/>
          <w:szCs w:val="17"/>
          <w:u w:val="single" w:color="auto"/>
          <w:color w:val="auto"/>
        </w:rPr>
        <w:t>Section 5.05</w:t>
      </w:r>
      <w:r>
        <w:rPr>
          <w:rFonts w:ascii="Arial" w:cs="Arial" w:eastAsia="Arial" w:hAnsi="Arial"/>
          <w:sz w:val="17"/>
          <w:szCs w:val="17"/>
          <w:color w:val="auto"/>
        </w:rPr>
        <w:t xml:space="preserve">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5"/>
          <w:szCs w:val="15"/>
          <w:b w:val="1"/>
          <w:bCs w:val="1"/>
          <w:color w:val="auto"/>
        </w:rPr>
        <w:t>Net 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5" w:lineRule="auto"/>
        <w:tabs>
          <w:tab w:leader="none" w:pos="105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Except as provided in this </w:t>
      </w:r>
      <w:r>
        <w:rPr>
          <w:rFonts w:ascii="Arial" w:cs="Arial" w:eastAsia="Arial" w:hAnsi="Arial"/>
          <w:sz w:val="16"/>
          <w:szCs w:val="16"/>
          <w:u w:val="single" w:color="auto"/>
          <w:color w:val="auto"/>
        </w:rPr>
        <w:t>Section 5.06(a)</w:t>
      </w:r>
      <w:r>
        <w:rPr>
          <w:rFonts w:ascii="Arial" w:cs="Arial" w:eastAsia="Arial" w:hAnsi="Arial"/>
          <w:sz w:val="16"/>
          <w:szCs w:val="16"/>
          <w:color w:val="auto"/>
        </w:rPr>
        <w:t xml:space="preserve">, all payments made by or on account of any obligation of any Credit Party hereunder or under any Note, Guarantee or other Credit Document will be made without setoff, counterclaim or other defense. Except as required by Law, all such payments will be made free and clear of, and without deduction or withholding for, any Taxes (including Taxes imposed or asserted on amounts payable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w:t>
      </w:r>
      <w:r>
        <w:rPr>
          <w:rFonts w:ascii="Arial" w:cs="Arial" w:eastAsia="Arial" w:hAnsi="Arial"/>
          <w:sz w:val="16"/>
          <w:szCs w:val="16"/>
          <w:u w:val="single" w:color="auto"/>
          <w:color w:val="auto"/>
        </w:rPr>
        <w:t>Section 5.06</w:t>
      </w:r>
      <w:r>
        <w:rPr>
          <w:rFonts w:ascii="Arial" w:cs="Arial" w:eastAsia="Arial" w:hAnsi="Arial"/>
          <w:sz w:val="16"/>
          <w:szCs w:val="16"/>
          <w:color w:val="auto"/>
        </w:rPr>
        <w:t>)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72" w:lineRule="exact"/>
        <w:rPr>
          <w:rFonts w:ascii="Arial" w:cs="Arial" w:eastAsia="Arial" w:hAnsi="Arial"/>
          <w:sz w:val="16"/>
          <w:szCs w:val="16"/>
          <w:color w:val="auto"/>
        </w:rPr>
      </w:pPr>
    </w:p>
    <w:p>
      <w:pPr>
        <w:jc w:val="both"/>
        <w:ind w:firstLine="656"/>
        <w:spacing w:after="0" w:line="284" w:lineRule="auto"/>
        <w:tabs>
          <w:tab w:leader="none" w:pos="106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%3.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6"/>
          <w:szCs w:val="16"/>
          <w:u w:val="single" w:color="auto"/>
          <w:color w:val="auto"/>
        </w:rPr>
        <w:t>Section 5.06(b)(ii)</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jc w:val="both"/>
        <w:spacing w:after="0" w:line="277" w:lineRule="auto"/>
        <w:rPr>
          <w:rFonts w:ascii="Arial" w:cs="Arial" w:eastAsia="Arial" w:hAnsi="Arial"/>
          <w:sz w:val="16"/>
          <w:szCs w:val="16"/>
          <w:color w:val="auto"/>
        </w:rPr>
      </w:pPr>
      <w:r>
        <w:rPr>
          <w:rFonts w:ascii="Arial" w:cs="Arial" w:eastAsia="Arial" w:hAnsi="Arial"/>
          <w:sz w:val="17"/>
          <w:szCs w:val="17"/>
          <w:u w:val="single" w:color="auto"/>
          <w:color w:val="auto"/>
        </w:rPr>
        <w:t>(c)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w:t>
      </w:r>
      <w:r>
        <w:rPr>
          <w:rFonts w:ascii="Arial" w:cs="Arial" w:eastAsia="Arial" w:hAnsi="Arial"/>
          <w:sz w:val="17"/>
          <w:szCs w:val="17"/>
          <w:u w:val="single" w:color="auto"/>
          <w:color w:val="auto"/>
        </w:rPr>
        <w:t>Section 5.06(b)</w:t>
      </w:r>
      <w:r>
        <w:rPr>
          <w:rFonts w:ascii="Arial" w:cs="Arial" w:eastAsia="Arial" w:hAnsi="Arial"/>
          <w:sz w:val="17"/>
          <w:szCs w:val="17"/>
          <w:color w:val="auto"/>
        </w:rPr>
        <w:t>, no Lender shall be required to provide any documentation that such Lender is not legally eligible to deliver.</w:t>
      </w:r>
    </w:p>
    <w:p>
      <w:pPr>
        <w:spacing w:after="0" w:line="173" w:lineRule="exact"/>
        <w:rPr>
          <w:rFonts w:ascii="Arial" w:cs="Arial" w:eastAsia="Arial" w:hAnsi="Arial"/>
          <w:sz w:val="16"/>
          <w:szCs w:val="16"/>
          <w:color w:val="auto"/>
        </w:rPr>
      </w:pPr>
    </w:p>
    <w:p>
      <w:pPr>
        <w:jc w:val="both"/>
        <w:ind w:left="660" w:firstLine="645"/>
        <w:spacing w:after="0" w:line="286" w:lineRule="auto"/>
        <w:tabs>
          <w:tab w:leader="none" w:pos="1672" w:val="left"/>
        </w:tabs>
        <w:numPr>
          <w:ilvl w:val="1"/>
          <w:numId w:val="101"/>
        </w:numPr>
        <w:rPr>
          <w:rFonts w:ascii="Arial" w:cs="Arial" w:eastAsia="Arial" w:hAnsi="Arial"/>
          <w:sz w:val="16"/>
          <w:szCs w:val="16"/>
          <w:color w:val="auto"/>
        </w:rPr>
      </w:pPr>
      <w:r>
        <w:rPr>
          <w:rFonts w:ascii="Arial" w:cs="Arial" w:eastAsia="Arial" w:hAnsi="Arial"/>
          <w:sz w:val="16"/>
          <w:szCs w:val="16"/>
          <w:color w:val="auto"/>
        </w:rPr>
        <w:t>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 W-8BEN or W-8BEN-E; or (4) to the extent a Foreign Lender is not the beneficial owner (for example, where the Foreign Lender is a partnership or participating Lender), IRS Form W-8IMY, accompanied by IRS Form W-8ECI, IRS Form W-8BEN or W-8BEN-E, a U.S. Tax Compliance</w:t>
      </w:r>
    </w:p>
    <w:p>
      <w:pPr>
        <w:sectPr>
          <w:pgSz w:w="11900" w:h="16860" w:orient="portrait"/>
          <w:cols w:equalWidth="0" w:num="1">
            <w:col w:w="11420"/>
          </w:cols>
          <w:pgMar w:left="240" w:top="193" w:right="239" w:bottom="0" w:gutter="0" w:footer="0" w:header="0"/>
        </w:sectPr>
      </w:pPr>
    </w:p>
    <w:bookmarkStart w:id="101" w:name="page102"/>
    <w:bookmarkEnd w:id="101"/>
    <w:p>
      <w:pPr>
        <w:jc w:val="both"/>
        <w:ind w:left="660"/>
        <w:spacing w:after="0" w:line="288" w:lineRule="auto"/>
        <w:rPr>
          <w:sz w:val="20"/>
          <w:szCs w:val="20"/>
          <w:color w:val="auto"/>
        </w:rPr>
      </w:pPr>
      <w:r>
        <w:rPr>
          <w:rFonts w:ascii="Arial" w:cs="Arial" w:eastAsia="Arial" w:hAnsi="Arial"/>
          <w:sz w:val="16"/>
          <w:szCs w:val="16"/>
          <w:color w:val="auto"/>
        </w:rPr>
        <w:t xml:space="preserve">Certificate substantially in the form of Exhibit D-2 or Exhibit D-3,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documentation it previously delivered expires or becomes obsolete or inaccurate in any respect, it shall update such documentation or promptly notify Borrower and the Administrative Agent in writing of its legal ineligibility to do so.</w:t>
      </w:r>
    </w:p>
    <w:p>
      <w:pPr>
        <w:spacing w:after="0" w:line="169" w:lineRule="exact"/>
        <w:rPr>
          <w:sz w:val="20"/>
          <w:szCs w:val="20"/>
          <w:color w:val="auto"/>
        </w:rPr>
      </w:pPr>
    </w:p>
    <w:p>
      <w:pPr>
        <w:jc w:val="both"/>
        <w:ind w:firstLine="656"/>
        <w:spacing w:after="0" w:line="264" w:lineRule="auto"/>
        <w:tabs>
          <w:tab w:leader="none" w:pos="112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1.1441-1(b)(2)(iv)(A) or IRS Form W-9.</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038"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77" w:lineRule="exact"/>
        <w:rPr>
          <w:rFonts w:ascii="Arial" w:cs="Arial" w:eastAsia="Arial" w:hAnsi="Arial"/>
          <w:sz w:val="17"/>
          <w:szCs w:val="17"/>
          <w:color w:val="auto"/>
        </w:rPr>
      </w:pPr>
    </w:p>
    <w:p>
      <w:pPr>
        <w:jc w:val="both"/>
        <w:ind w:firstLine="656"/>
        <w:spacing w:after="0" w:line="255" w:lineRule="auto"/>
        <w:tabs>
          <w:tab w:leader="none" w:pos="1041"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 respect to, any Credit Document, except any such Taxes that are imposed with respect to an assignment (other than an assignment made pursuant to </w:t>
      </w:r>
      <w:r>
        <w:rPr>
          <w:rFonts w:ascii="Arial" w:cs="Arial" w:eastAsia="Arial" w:hAnsi="Arial"/>
          <w:sz w:val="18"/>
          <w:szCs w:val="18"/>
          <w:u w:val="single" w:color="auto"/>
          <w:color w:val="auto"/>
        </w:rPr>
        <w:t>Section 2.11(a)</w:t>
      </w:r>
      <w:r>
        <w:rPr>
          <w:rFonts w:ascii="Arial" w:cs="Arial" w:eastAsia="Arial" w:hAnsi="Arial"/>
          <w:sz w:val="18"/>
          <w:szCs w:val="18"/>
          <w:color w:val="auto"/>
        </w:rPr>
        <w:t xml:space="preserve">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9" w:lineRule="exact"/>
        <w:rPr>
          <w:rFonts w:ascii="Arial" w:cs="Arial" w:eastAsia="Arial" w:hAnsi="Arial"/>
          <w:sz w:val="18"/>
          <w:szCs w:val="18"/>
          <w:color w:val="auto"/>
        </w:rPr>
      </w:pPr>
    </w:p>
    <w:p>
      <w:pPr>
        <w:jc w:val="both"/>
        <w:ind w:firstLine="656"/>
        <w:spacing w:after="0" w:line="279" w:lineRule="auto"/>
        <w:tabs>
          <w:tab w:leader="none" w:pos="1062"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Any Lender claiming any additional amounts payable pursuant to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71" w:lineRule="exact"/>
        <w:rPr>
          <w:rFonts w:ascii="Arial" w:cs="Arial" w:eastAsia="Arial" w:hAnsi="Arial"/>
          <w:sz w:val="17"/>
          <w:szCs w:val="17"/>
          <w:color w:val="auto"/>
        </w:rPr>
      </w:pPr>
    </w:p>
    <w:p>
      <w:pPr>
        <w:jc w:val="both"/>
        <w:ind w:firstLine="656"/>
        <w:spacing w:after="0" w:line="287" w:lineRule="auto"/>
        <w:tabs>
          <w:tab w:leader="none" w:pos="113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If any party determines, in its sole discretion exercised in good faith, that it has received a refund of any Taxes as to which it has been indemnified pursuant to this </w:t>
      </w:r>
      <w:r>
        <w:rPr>
          <w:rFonts w:ascii="Arial" w:cs="Arial" w:eastAsia="Arial" w:hAnsi="Arial"/>
          <w:sz w:val="16"/>
          <w:szCs w:val="16"/>
          <w:u w:val="single" w:color="auto"/>
          <w:color w:val="auto"/>
        </w:rPr>
        <w:t>Section 5.06</w:t>
      </w:r>
      <w:r>
        <w:rPr>
          <w:rFonts w:ascii="Arial" w:cs="Arial" w:eastAsia="Arial" w:hAnsi="Arial"/>
          <w:sz w:val="16"/>
          <w:szCs w:val="16"/>
          <w:color w:val="auto"/>
        </w:rPr>
        <w:t xml:space="preserve"> (including by the payment of additional amounts pursuant to this </w:t>
      </w:r>
      <w:r>
        <w:rPr>
          <w:rFonts w:ascii="Arial" w:cs="Arial" w:eastAsia="Arial" w:hAnsi="Arial"/>
          <w:sz w:val="16"/>
          <w:szCs w:val="16"/>
          <w:u w:val="single" w:color="auto"/>
          <w:color w:val="auto"/>
        </w:rPr>
        <w:t>Section 5.06</w:t>
      </w:r>
      <w:r>
        <w:rPr>
          <w:rFonts w:ascii="Arial" w:cs="Arial" w:eastAsia="Arial" w:hAnsi="Arial"/>
          <w:sz w:val="16"/>
          <w:szCs w:val="16"/>
          <w:color w:val="auto"/>
        </w:rPr>
        <w:t>),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8" w:lineRule="exact"/>
        <w:rPr>
          <w:rFonts w:ascii="Arial" w:cs="Arial" w:eastAsia="Arial" w:hAnsi="Arial"/>
          <w:sz w:val="16"/>
          <w:szCs w:val="16"/>
          <w:color w:val="auto"/>
        </w:rPr>
      </w:pPr>
    </w:p>
    <w:p>
      <w:pPr>
        <w:ind w:firstLine="656"/>
        <w:spacing w:after="0" w:line="277" w:lineRule="auto"/>
        <w:tabs>
          <w:tab w:leader="none" w:pos="113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Each Lender hereby authorizes the Administrative Agent to deliver to the Credit Parties and to any successor Administrative Agent any documentation provided by such Lender to the Administrative Agent pursuant to </w:t>
      </w:r>
      <w:r>
        <w:rPr>
          <w:rFonts w:ascii="Arial" w:cs="Arial" w:eastAsia="Arial" w:hAnsi="Arial"/>
          <w:sz w:val="18"/>
          <w:szCs w:val="18"/>
          <w:u w:val="single" w:color="auto"/>
          <w:color w:val="auto"/>
        </w:rPr>
        <w:t>Section 5.06(b)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5.06(d)</w:t>
      </w:r>
      <w:r>
        <w:rPr>
          <w:rFonts w:ascii="Arial" w:cs="Arial" w:eastAsia="Arial" w:hAnsi="Arial"/>
          <w:sz w:val="18"/>
          <w:szCs w:val="18"/>
          <w:color w:val="auto"/>
        </w:rPr>
        <w:t>.</w:t>
      </w:r>
    </w:p>
    <w:p>
      <w:pPr>
        <w:spacing w:after="0" w:line="17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GUARANTEES</w:t>
      </w:r>
    </w:p>
    <w:p>
      <w:pPr>
        <w:spacing w:after="0" w:line="22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SECTION 6.01. The Guarantees</w:t>
      </w:r>
      <w:r>
        <w:rPr>
          <w:rFonts w:ascii="Arial" w:cs="Arial" w:eastAsia="Arial" w:hAnsi="Arial"/>
          <w:sz w:val="17"/>
          <w:szCs w:val="17"/>
          <w:color w:val="auto"/>
        </w:rPr>
        <w:t>. Each (a) Guarantor, jointly and severally with each other Guarantor, hereby guarantees as primary obligor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or any Swap Contract entered into with a Swap Provider, in each case now or hereinafter created, incurred or made, whether absolute or contingent, liquidated or unliquidated and strictly in accordance with the terms thereof; </w:t>
      </w:r>
      <w:r>
        <w:rPr>
          <w:rFonts w:ascii="Arial" w:cs="Arial" w:eastAsia="Arial" w:hAnsi="Arial"/>
          <w:sz w:val="17"/>
          <w:szCs w:val="17"/>
          <w:i w:val="1"/>
          <w:iCs w:val="1"/>
          <w:color w:val="auto"/>
        </w:rPr>
        <w:t>provided</w:t>
      </w:r>
      <w:r>
        <w:rPr>
          <w:rFonts w:ascii="Arial" w:cs="Arial" w:eastAsia="Arial" w:hAnsi="Arial"/>
          <w:sz w:val="17"/>
          <w:szCs w:val="17"/>
          <w:color w:val="auto"/>
        </w:rPr>
        <w:t>, that (i) the obligations guaranteed shall exclude obligations under any Swap Contract with respect to which the applicable Swap Provider or Cash Management Bank, as applicable, provides notice to Borrower that it does not want such Swap Contract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(it being understood that the Guaranteed Obligations of Borrower shall be limited to those referred to in clause (b) above)). 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ectPr>
          <w:pgSz w:w="11900" w:h="16838" w:orient="portrait"/>
          <w:cols w:equalWidth="0" w:num="1">
            <w:col w:w="11420"/>
          </w:cols>
          <w:pgMar w:left="240" w:top="125" w:right="239" w:bottom="0" w:gutter="0" w:footer="0" w:header="0"/>
        </w:sectPr>
      </w:pPr>
    </w:p>
    <w:bookmarkStart w:id="102" w:name="page103"/>
    <w:bookmarkEnd w:id="102"/>
    <w:p>
      <w:pPr>
        <w:jc w:val="both"/>
        <w:ind w:firstLine="648"/>
        <w:spacing w:after="0" w:line="272" w:lineRule="auto"/>
        <w:rPr>
          <w:sz w:val="20"/>
          <w:szCs w:val="20"/>
          <w:color w:val="auto"/>
        </w:rPr>
      </w:pPr>
      <w:r>
        <w:rPr>
          <w:rFonts w:ascii="Arial" w:cs="Arial" w:eastAsia="Arial" w:hAnsi="Arial"/>
          <w:sz w:val="17"/>
          <w:szCs w:val="17"/>
          <w:b w:val="1"/>
          <w:bCs w:val="1"/>
          <w:color w:val="auto"/>
        </w:rPr>
        <w:t>SECTION 6.02. Obligations Unconditional</w:t>
      </w:r>
      <w:r>
        <w:rPr>
          <w:rFonts w:ascii="Arial" w:cs="Arial" w:eastAsia="Arial" w:hAnsi="Arial"/>
          <w:sz w:val="17"/>
          <w:szCs w:val="17"/>
          <w:color w:val="auto"/>
        </w:rPr>
        <w:t>. The obligations of the Credit Parties under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6.01</w:t>
      </w:r>
      <w:r>
        <w:rPr>
          <w:rFonts w:ascii="Arial" w:cs="Arial" w:eastAsia="Arial" w:hAnsi="Arial"/>
          <w:sz w:val="17"/>
          <w:szCs w:val="17"/>
          <w:b w:val="1"/>
          <w:bCs w:val="1"/>
          <w:color w:val="auto"/>
        </w:rPr>
        <w:t xml:space="preserve"> </w:t>
      </w:r>
      <w:r>
        <w:rPr>
          <w:rFonts w:ascii="Arial" w:cs="Arial" w:eastAsia="Arial" w:hAnsi="Arial"/>
          <w:sz w:val="17"/>
          <w:szCs w:val="17"/>
          <w:color w:val="auto"/>
        </w:rPr>
        <w:t>shall constitute a guaranty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176" w:lineRule="exact"/>
        <w:rPr>
          <w:sz w:val="20"/>
          <w:szCs w:val="20"/>
          <w:color w:val="auto"/>
        </w:rPr>
      </w:pPr>
    </w:p>
    <w:p>
      <w:pPr>
        <w:ind w:left="660" w:firstLine="888"/>
        <w:spacing w:after="0" w:line="277" w:lineRule="auto"/>
        <w:tabs>
          <w:tab w:leader="none" w:pos="190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jc w:val="both"/>
        <w:ind w:left="660" w:firstLine="888"/>
        <w:spacing w:after="0" w:line="259" w:lineRule="auto"/>
        <w:tabs>
          <w:tab w:leader="none" w:pos="197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2000" w:hanging="452"/>
        <w:spacing w:after="0"/>
        <w:tabs>
          <w:tab w:leader="none" w:pos="20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release of any other Credit Party pursuant to </w:t>
      </w:r>
      <w:r>
        <w:rPr>
          <w:rFonts w:ascii="Arial" w:cs="Arial" w:eastAsia="Arial" w:hAnsi="Arial"/>
          <w:sz w:val="18"/>
          <w:szCs w:val="18"/>
          <w:u w:val="single" w:color="auto"/>
          <w:color w:val="auto"/>
        </w:rPr>
        <w:t>Section 6.08</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20" w:firstLine="888"/>
        <w:spacing w:after="0" w:line="277" w:lineRule="auto"/>
        <w:tabs>
          <w:tab w:leader="none" w:pos="208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70" w:lineRule="exact"/>
        <w:rPr>
          <w:rFonts w:ascii="Arial" w:cs="Arial" w:eastAsia="Arial" w:hAnsi="Arial"/>
          <w:sz w:val="18"/>
          <w:szCs w:val="18"/>
          <w:color w:val="auto"/>
        </w:rPr>
      </w:pPr>
    </w:p>
    <w:p>
      <w:pPr>
        <w:jc w:val="both"/>
        <w:ind w:left="660" w:firstLine="888"/>
        <w:spacing w:after="0" w:line="279" w:lineRule="auto"/>
        <w:tabs>
          <w:tab w:leader="none" w:pos="196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firstLine="888"/>
        <w:spacing w:after="0" w:line="308" w:lineRule="auto"/>
        <w:tabs>
          <w:tab w:leader="none" w:pos="199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firstLine="888"/>
        <w:spacing w:after="0" w:line="277" w:lineRule="auto"/>
        <w:tabs>
          <w:tab w:leader="none" w:pos="206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firstLine="888"/>
        <w:spacing w:after="0" w:line="257" w:lineRule="auto"/>
        <w:tabs>
          <w:tab w:leader="none" w:pos="222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 extinguish any right of reimbursement or subrogation or other right or remedy that any Credit Party would otherwise have; or</w:t>
      </w:r>
    </w:p>
    <w:p>
      <w:pPr>
        <w:spacing w:after="0" w:line="188" w:lineRule="exact"/>
        <w:rPr>
          <w:rFonts w:ascii="Arial" w:cs="Arial" w:eastAsia="Arial" w:hAnsi="Arial"/>
          <w:sz w:val="18"/>
          <w:szCs w:val="18"/>
          <w:color w:val="auto"/>
        </w:rPr>
      </w:pPr>
    </w:p>
    <w:p>
      <w:pPr>
        <w:jc w:val="both"/>
        <w:ind w:left="660" w:firstLine="888"/>
        <w:spacing w:after="0" w:line="276" w:lineRule="auto"/>
        <w:tabs>
          <w:tab w:leader="none" w:pos="2059" w:val="left"/>
        </w:tabs>
        <w:numPr>
          <w:ilvl w:val="0"/>
          <w:numId w:val="103"/>
        </w:numPr>
        <w:rPr>
          <w:rFonts w:ascii="Arial" w:cs="Arial" w:eastAsia="Arial" w:hAnsi="Arial"/>
          <w:sz w:val="17"/>
          <w:szCs w:val="17"/>
          <w:color w:val="auto"/>
        </w:rPr>
      </w:pPr>
      <w:r>
        <w:rPr>
          <w:rFonts w:ascii="Arial" w:cs="Arial" w:eastAsia="Arial" w:hAnsi="Arial"/>
          <w:sz w:val="17"/>
          <w:szCs w:val="17"/>
          <w:color w:val="auto"/>
        </w:rPr>
        <w:t xml:space="preserve">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For the avoidance of doubt, nothing in this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shall permit amendments to the Credit Documents or an acceleration of the Obligations other than as set forth in the Credit Documents.</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6.03. Reinstatement</w:t>
      </w:r>
      <w:r>
        <w:rPr>
          <w:rFonts w:ascii="Arial" w:cs="Arial" w:eastAsia="Arial" w:hAnsi="Arial"/>
          <w:sz w:val="16"/>
          <w:szCs w:val="16"/>
          <w:color w:val="auto"/>
        </w:rPr>
        <w:t>. The obligations of the Credit Parties under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automatically reinstated if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for 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62"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SECTION 6.04. Subrogation; Subordination</w:t>
      </w:r>
      <w:r>
        <w:rPr>
          <w:rFonts w:ascii="Arial" w:cs="Arial" w:eastAsia="Arial" w:hAnsi="Arial"/>
          <w:sz w:val="16"/>
          <w:szCs w:val="16"/>
          <w:color w:val="auto"/>
        </w:rPr>
        <w:t>. Each Credit Party hereby agrees that until the payment and satisfaction in full in cash of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Guaranteed Obligations and the expiration and termination of the Commitments of the Lenders under this Agreement it shall not exercise any right or remedy arising by reason of any performance by it of its guarantee in </w:t>
      </w:r>
      <w:r>
        <w:rPr>
          <w:rFonts w:ascii="Arial" w:cs="Arial" w:eastAsia="Arial" w:hAnsi="Arial"/>
          <w:sz w:val="16"/>
          <w:szCs w:val="16"/>
          <w:u w:val="single" w:color="auto"/>
          <w:color w:val="auto"/>
        </w:rPr>
        <w:t>Section 6.01</w:t>
      </w:r>
      <w:r>
        <w:rPr>
          <w:rFonts w:ascii="Arial" w:cs="Arial" w:eastAsia="Arial" w:hAnsi="Arial"/>
          <w:sz w:val="16"/>
          <w:szCs w:val="16"/>
          <w:color w:val="auto"/>
        </w:rPr>
        <w:t>, whether by subrogation, contribution or otherwise, against any Credit Party of any of the Guaranteed Obligations or any security for any of the Guaranteed Obligations. The payment of any amounts due with respect to any indebtedness of</w:t>
      </w:r>
    </w:p>
    <w:p>
      <w:pPr>
        <w:sectPr>
          <w:pgSz w:w="11900" w:h="16838" w:orient="portrait"/>
          <w:cols w:equalWidth="0" w:num="1">
            <w:col w:w="11420"/>
          </w:cols>
          <w:pgMar w:left="240" w:top="121" w:right="239" w:bottom="0" w:gutter="0" w:footer="0" w:header="0"/>
        </w:sectPr>
      </w:pPr>
    </w:p>
    <w:bookmarkStart w:id="103" w:name="page104"/>
    <w:bookmarkEnd w:id="103"/>
    <w:p>
      <w:pPr>
        <w:jc w:val="both"/>
        <w:spacing w:after="0" w:line="255" w:lineRule="auto"/>
        <w:rPr>
          <w:sz w:val="20"/>
          <w:szCs w:val="20"/>
          <w:color w:val="auto"/>
        </w:rPr>
      </w:pPr>
      <w:r>
        <w:rPr>
          <w:rFonts w:ascii="Arial" w:cs="Arial" w:eastAsia="Arial" w:hAnsi="Arial"/>
          <w:sz w:val="18"/>
          <w:szCs w:val="18"/>
          <w:color w:val="auto"/>
        </w:rPr>
        <w:t xml:space="preserve">any Credit Party now or hereafter owing to any Credit Party by reason of any payment by such Credit Party under the Guarantee in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 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Credit Party under this Agreement and the Notes may be declared to be forthwith due and payable as provided in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(and shall be deemed to have become automatically due and payable in the circumstances provided in said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7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b w:val="1"/>
          <w:bCs w:val="1"/>
          <w:color w:val="auto"/>
        </w:rPr>
        <w:t xml:space="preserve"> </w:t>
      </w:r>
      <w:r>
        <w:rPr>
          <w:rFonts w:ascii="Arial" w:cs="Arial" w:eastAsia="Arial" w:hAnsi="Arial"/>
          <w:sz w:val="18"/>
          <w:szCs w:val="18"/>
          <w:color w:val="auto"/>
        </w:rPr>
        <w:t>is a continuing guarantee of payment, and shall apply to all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whenever arising.</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or foreign bankruptcy, insolvency, reorganization or other law affecting the rights of creditors generally, if the obligations of any Credit Party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would otherwise be held or determined to be void, voidable, invalid or unenforceable, or subordinated to the claims of any other creditors, on account of the amount of its liability under </w:t>
      </w:r>
      <w:r>
        <w:rPr>
          <w:rFonts w:ascii="Arial" w:cs="Arial" w:eastAsia="Arial" w:hAnsi="Arial"/>
          <w:sz w:val="17"/>
          <w:szCs w:val="17"/>
          <w:u w:val="single" w:color="auto"/>
          <w:color w:val="auto"/>
        </w:rPr>
        <w:t>Section 6.01</w:t>
      </w:r>
      <w:r>
        <w:rPr>
          <w:rFonts w:ascii="Arial" w:cs="Arial" w:eastAsia="Arial" w:hAnsi="Arial"/>
          <w:sz w:val="17"/>
          <w:szCs w:val="17"/>
          <w:color w:val="auto"/>
        </w:rPr>
        <w:t>,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6.08. Release of Guarantors</w:t>
      </w:r>
      <w:r>
        <w:rPr>
          <w:rFonts w:ascii="Arial" w:cs="Arial" w:eastAsia="Arial" w:hAnsi="Arial"/>
          <w:sz w:val="17"/>
          <w:szCs w:val="17"/>
          <w:color w:val="auto"/>
        </w:rPr>
        <w:t>. If, in compliance with the terms and provisions of the Credit Documents, the Equity Interests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are directly or indirectly sold or otherwise transferred such that such Guarantor no longer constitutes a Subsidiary (a “</w:t>
      </w:r>
      <w:r>
        <w:rPr>
          <w:rFonts w:ascii="Arial" w:cs="Arial" w:eastAsia="Arial" w:hAnsi="Arial"/>
          <w:sz w:val="17"/>
          <w:szCs w:val="17"/>
          <w:b w:val="1"/>
          <w:bCs w:val="1"/>
          <w:color w:val="auto"/>
        </w:rPr>
        <w:t>Transferred Guarantor</w:t>
      </w:r>
      <w:r>
        <w:rPr>
          <w:rFonts w:ascii="Arial" w:cs="Arial" w:eastAsia="Arial" w:hAnsi="Arial"/>
          <w:sz w:val="17"/>
          <w:szCs w:val="17"/>
          <w:color w:val="auto"/>
        </w:rPr>
        <w:t xml:space="preserve">”) to a Person or Persons, none of which is a Credit Party, such Transferred Guarantor, upon the consummation of such sale or transfer, shall be automatically released from its obligations under this Agreement (including under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hereof) and the other Credit Documents, and its obligations to pledge and grant any Collateral owned by it pursuant to any Security Document, and the pledge of Equity Interests in any Transferred Guarantor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w:t>
      </w:r>
      <w:r>
        <w:rPr>
          <w:rFonts w:ascii="Arial" w:cs="Arial" w:eastAsia="Arial" w:hAnsi="Arial"/>
          <w:sz w:val="17"/>
          <w:szCs w:val="17"/>
          <w:u w:val="single" w:color="auto"/>
          <w:color w:val="auto"/>
        </w:rPr>
        <w:t>Section 6.08</w:t>
      </w:r>
      <w:r>
        <w:rPr>
          <w:rFonts w:ascii="Arial" w:cs="Arial" w:eastAsia="Arial" w:hAnsi="Arial"/>
          <w:sz w:val="17"/>
          <w:szCs w:val="17"/>
          <w:color w:val="auto"/>
        </w:rPr>
        <w:t xml:space="preserve"> in accordance with the relevant provisions of the Security Documents and this Agreement.</w:t>
      </w:r>
    </w:p>
    <w:p>
      <w:pPr>
        <w:spacing w:after="0" w:line="17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6.09. Keepwell</w:t>
      </w:r>
      <w:r>
        <w:rPr>
          <w:rFonts w:ascii="Arial" w:cs="Arial" w:eastAsia="Arial" w:hAnsi="Arial"/>
          <w:sz w:val="17"/>
          <w:szCs w:val="17"/>
          <w:color w:val="auto"/>
        </w:rPr>
        <w:t>. Each Qualified ECP Guarantor hereby jointly and severally absolutely, unconditionally and irrevocably undertakes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such funds or other support as may be needed from time to time by each other Credit Party to honor all of its obligations under the Guarantee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Qualified ECP Guarantor shall only be liable under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constitute, and this </w:t>
      </w:r>
      <w:r>
        <w:rPr>
          <w:rFonts w:ascii="Arial" w:cs="Arial" w:eastAsia="Arial" w:hAnsi="Arial"/>
          <w:sz w:val="17"/>
          <w:szCs w:val="17"/>
          <w:u w:val="single" w:color="auto"/>
          <w:color w:val="auto"/>
        </w:rPr>
        <w:t>Section 6.09</w:t>
      </w:r>
      <w:r>
        <w:rPr>
          <w:rFonts w:ascii="Arial" w:cs="Arial" w:eastAsia="Arial" w:hAnsi="Arial"/>
          <w:sz w:val="17"/>
          <w:szCs w:val="17"/>
          <w:color w:val="auto"/>
        </w:rPr>
        <w:t xml:space="preserve"> shall be deemed to constitute, a “keepwell, support, or other agreement” for the benefit of each other Credit Party for all purposes of Section 1a(18)(A)(v)(II) of the Commodity Exchange Act.</w:t>
      </w:r>
    </w:p>
    <w:p>
      <w:pPr>
        <w:spacing w:after="0" w:line="17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6.10. Right of Contribution</w:t>
      </w:r>
      <w:r>
        <w:rPr>
          <w:rFonts w:ascii="Arial" w:cs="Arial" w:eastAsia="Arial" w:hAnsi="Arial"/>
          <w:sz w:val="16"/>
          <w:szCs w:val="16"/>
          <w:color w:val="auto"/>
        </w:rPr>
        <w:t>. Each Credit Party hereby agrees that to the extent that a Credit Party (a “</w:t>
      </w:r>
      <w:r>
        <w:rPr>
          <w:rFonts w:ascii="Arial" w:cs="Arial" w:eastAsia="Arial" w:hAnsi="Arial"/>
          <w:sz w:val="16"/>
          <w:szCs w:val="16"/>
          <w:b w:val="1"/>
          <w:bCs w:val="1"/>
          <w:color w:val="auto"/>
        </w:rPr>
        <w:t>Funding Credit Party</w:t>
      </w:r>
      <w:r>
        <w:rPr>
          <w:rFonts w:ascii="Arial" w:cs="Arial" w:eastAsia="Arial" w:hAnsi="Arial"/>
          <w:sz w:val="16"/>
          <w:szCs w:val="16"/>
          <w:color w:val="auto"/>
        </w:rPr>
        <w:t>”)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shall in no respect limit the obligations and liabilities of any Credit Party to the Secured Parties, and each Credit Party shall remain liable to the Secured Parties for the full amount guaranteed by such Credit Party hereunder. “</w:t>
      </w:r>
      <w:r>
        <w:rPr>
          <w:rFonts w:ascii="Arial" w:cs="Arial" w:eastAsia="Arial" w:hAnsi="Arial"/>
          <w:sz w:val="16"/>
          <w:szCs w:val="16"/>
          <w:b w:val="1"/>
          <w:bCs w:val="1"/>
          <w:color w:val="auto"/>
        </w:rPr>
        <w:t>Fair</w:t>
      </w:r>
      <w:r>
        <w:rPr>
          <w:rFonts w:ascii="Arial" w:cs="Arial" w:eastAsia="Arial" w:hAnsi="Arial"/>
          <w:sz w:val="16"/>
          <w:szCs w:val="16"/>
          <w:color w:val="auto"/>
        </w:rPr>
        <w:t xml:space="preserve"> </w:t>
      </w:r>
      <w:r>
        <w:rPr>
          <w:rFonts w:ascii="Arial" w:cs="Arial" w:eastAsia="Arial" w:hAnsi="Arial"/>
          <w:sz w:val="16"/>
          <w:szCs w:val="16"/>
          <w:b w:val="1"/>
          <w:bCs w:val="1"/>
          <w:color w:val="auto"/>
        </w:rPr>
        <w:t>Share</w:t>
      </w:r>
      <w:r>
        <w:rPr>
          <w:rFonts w:ascii="Arial" w:cs="Arial" w:eastAsia="Arial" w:hAnsi="Arial"/>
          <w:sz w:val="16"/>
          <w:szCs w:val="16"/>
          <w:color w:val="auto"/>
        </w:rPr>
        <w:t>” means, with respect to a Credit Party as of any date of determination, an amount equal to (i) the ratio of (A) the Adjusted Maximum Amount (as</w:t>
      </w:r>
      <w:r>
        <w:rPr>
          <w:rFonts w:ascii="Arial" w:cs="Arial" w:eastAsia="Arial" w:hAnsi="Arial"/>
          <w:sz w:val="16"/>
          <w:szCs w:val="16"/>
          <w:b w:val="1"/>
          <w:bCs w:val="1"/>
          <w:color w:val="auto"/>
        </w:rPr>
        <w:t xml:space="preserve"> </w:t>
      </w:r>
      <w:r>
        <w:rPr>
          <w:rFonts w:ascii="Arial" w:cs="Arial" w:eastAsia="Arial" w:hAnsi="Arial"/>
          <w:sz w:val="16"/>
          <w:szCs w:val="16"/>
          <w:color w:val="auto"/>
        </w:rPr>
        <w:t>defined below) with respect to such Credit Party to (B) the aggregate of the Adjusted Maximum Amounts with respect to all Credit Parties multiplied by</w:t>
      </w:r>
    </w:p>
    <w:p>
      <w:pPr>
        <w:spacing w:after="0" w:line="2" w:lineRule="exact"/>
        <w:rPr>
          <w:sz w:val="20"/>
          <w:szCs w:val="20"/>
          <w:color w:val="auto"/>
        </w:rPr>
      </w:pPr>
    </w:p>
    <w:p>
      <w:pPr>
        <w:jc w:val="both"/>
        <w:ind w:firstLine="8"/>
        <w:spacing w:after="0" w:line="281" w:lineRule="auto"/>
        <w:tabs>
          <w:tab w:leader="none" w:pos="299"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the aggregate amount paid or distributed on or before such date by all Funding Credit Parties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in respect of the Guaranteed Obligations. “</w:t>
      </w:r>
      <w:r>
        <w:rPr>
          <w:rFonts w:ascii="Arial" w:cs="Arial" w:eastAsia="Arial" w:hAnsi="Arial"/>
          <w:sz w:val="16"/>
          <w:szCs w:val="16"/>
          <w:b w:val="1"/>
          <w:bCs w:val="1"/>
          <w:color w:val="auto"/>
        </w:rPr>
        <w:t>Fair Share Shortfall</w:t>
      </w:r>
      <w:r>
        <w:rPr>
          <w:rFonts w:ascii="Arial" w:cs="Arial" w:eastAsia="Arial" w:hAnsi="Arial"/>
          <w:sz w:val="16"/>
          <w:szCs w:val="16"/>
          <w:color w:val="auto"/>
        </w:rPr>
        <w:t>” means, with respect to a Credit Party as of any date of determination, the excess, if any, of the Fair Share of such Credit Party over the Aggregate Payments of such Credit Party. “</w:t>
      </w:r>
      <w:r>
        <w:rPr>
          <w:rFonts w:ascii="Arial" w:cs="Arial" w:eastAsia="Arial" w:hAnsi="Arial"/>
          <w:sz w:val="16"/>
          <w:szCs w:val="16"/>
          <w:b w:val="1"/>
          <w:bCs w:val="1"/>
          <w:color w:val="auto"/>
        </w:rPr>
        <w:t>Adjusted Maximum Amount</w:t>
      </w:r>
      <w:r>
        <w:rPr>
          <w:rFonts w:ascii="Arial" w:cs="Arial" w:eastAsia="Arial" w:hAnsi="Arial"/>
          <w:sz w:val="16"/>
          <w:szCs w:val="16"/>
          <w:color w:val="auto"/>
        </w:rPr>
        <w:t xml:space="preserve">” means, with respect to a Credit Party as of any date of determination, the maximum aggregate amount of the obligations of such Credit Party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calculating the “Adjusted Maximum Amount” with respect to any Credit Party for purposes of this </w:t>
      </w:r>
      <w:r>
        <w:rPr>
          <w:rFonts w:ascii="Arial" w:cs="Arial" w:eastAsia="Arial" w:hAnsi="Arial"/>
          <w:sz w:val="16"/>
          <w:szCs w:val="16"/>
          <w:u w:val="single" w:color="auto"/>
          <w:color w:val="auto"/>
        </w:rPr>
        <w:t>Section 6.10</w:t>
      </w:r>
      <w:r>
        <w:rPr>
          <w:rFonts w:ascii="Arial" w:cs="Arial" w:eastAsia="Arial" w:hAnsi="Arial"/>
          <w:sz w:val="16"/>
          <w:szCs w:val="16"/>
          <w:color w:val="auto"/>
        </w:rPr>
        <w:t>, any assets or liabilities of such Credit Party arising by virtue of any rights to subrogation, reimbursement or indemnification or any rights to or obligations of contribution hereunder shall not be considered as assets or liabilities of such Credit Party. “</w:t>
      </w:r>
      <w:r>
        <w:rPr>
          <w:rFonts w:ascii="Arial" w:cs="Arial" w:eastAsia="Arial" w:hAnsi="Arial"/>
          <w:sz w:val="16"/>
          <w:szCs w:val="16"/>
          <w:b w:val="1"/>
          <w:bCs w:val="1"/>
          <w:color w:val="auto"/>
        </w:rPr>
        <w:t>Aggregate Payments</w:t>
      </w:r>
      <w:r>
        <w:rPr>
          <w:rFonts w:ascii="Arial" w:cs="Arial" w:eastAsia="Arial" w:hAnsi="Arial"/>
          <w:sz w:val="16"/>
          <w:szCs w:val="16"/>
          <w:color w:val="auto"/>
        </w:rPr>
        <w:t>” means, with respect to a Credit Party as of any date of determination, an amount equal to</w:t>
      </w:r>
    </w:p>
    <w:p>
      <w:pPr>
        <w:spacing w:after="0" w:line="4" w:lineRule="exact"/>
        <w:rPr>
          <w:rFonts w:ascii="Arial" w:cs="Arial" w:eastAsia="Arial" w:hAnsi="Arial"/>
          <w:sz w:val="16"/>
          <w:szCs w:val="16"/>
          <w:color w:val="auto"/>
        </w:rPr>
      </w:pPr>
    </w:p>
    <w:p>
      <w:pPr>
        <w:jc w:val="both"/>
        <w:ind w:firstLine="8"/>
        <w:spacing w:after="0" w:line="254" w:lineRule="auto"/>
        <w:tabs>
          <w:tab w:leader="none" w:pos="21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aggregate amount of all payments and distributions made on or before such date by such Credit party in respect of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(including in respect of this </w:t>
      </w:r>
      <w:r>
        <w:rPr>
          <w:rFonts w:ascii="Arial" w:cs="Arial" w:eastAsia="Arial" w:hAnsi="Arial"/>
          <w:sz w:val="18"/>
          <w:szCs w:val="18"/>
          <w:u w:val="single" w:color="auto"/>
          <w:color w:val="auto"/>
        </w:rPr>
        <w:t>Section 6.10</w:t>
      </w:r>
      <w:r>
        <w:rPr>
          <w:rFonts w:ascii="Arial" w:cs="Arial" w:eastAsia="Arial" w:hAnsi="Arial"/>
          <w:sz w:val="18"/>
          <w:szCs w:val="18"/>
          <w:color w:val="auto"/>
        </w:rPr>
        <w:t xml:space="preserve">) minus (ii) the aggregate amount of all payments received on or before such date by such Credit Party from the other Credit Parties as contributions under this </w:t>
      </w:r>
      <w:r>
        <w:rPr>
          <w:rFonts w:ascii="Arial" w:cs="Arial" w:eastAsia="Arial" w:hAnsi="Arial"/>
          <w:sz w:val="18"/>
          <w:szCs w:val="18"/>
          <w:u w:val="single" w:color="auto"/>
          <w:color w:val="auto"/>
        </w:rPr>
        <w:t>Section 6.10</w:t>
      </w:r>
      <w:r>
        <w:rPr>
          <w:rFonts w:ascii="Arial" w:cs="Arial" w:eastAsia="Arial" w:hAnsi="Arial"/>
          <w:sz w:val="18"/>
          <w:szCs w:val="18"/>
          <w:color w:val="auto"/>
        </w:rPr>
        <w:t>. The amounts payable as contributions hereunder shall be determined as of the date on which the related payment or distribution is made by the applicable Funding Credit Party.</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Conditions to Initial Extensions of Credit</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obligations of Lenders to enter into this Agreement on the Closing Date and make the initial extension of Term Facility Loans hereunder are subject to the satisfaction of the following:</w:t>
      </w:r>
    </w:p>
    <w:p>
      <w:pPr>
        <w:spacing w:after="0" w:line="166" w:lineRule="exact"/>
        <w:rPr>
          <w:sz w:val="20"/>
          <w:szCs w:val="20"/>
          <w:color w:val="auto"/>
        </w:rPr>
      </w:pPr>
    </w:p>
    <w:p>
      <w:pPr>
        <w:jc w:val="both"/>
        <w:ind w:firstLine="656"/>
        <w:spacing w:after="0" w:line="314" w:lineRule="auto"/>
        <w:tabs>
          <w:tab w:leader="none" w:pos="1055" w:val="left"/>
        </w:tabs>
        <w:numPr>
          <w:ilvl w:val="0"/>
          <w:numId w:val="106"/>
        </w:numPr>
        <w:rPr>
          <w:rFonts w:ascii="Arial" w:cs="Arial" w:eastAsia="Arial" w:hAnsi="Arial"/>
          <w:sz w:val="16"/>
          <w:szCs w:val="16"/>
          <w:color w:val="auto"/>
        </w:rPr>
      </w:pPr>
      <w:r>
        <w:rPr>
          <w:rFonts w:ascii="Arial" w:cs="Arial" w:eastAsia="Arial" w:hAnsi="Arial"/>
          <w:sz w:val="16"/>
          <w:szCs w:val="16"/>
          <w:b w:val="1"/>
          <w:bCs w:val="1"/>
          <w:color w:val="auto"/>
        </w:rPr>
        <w:t>Corporate Documents</w:t>
      </w:r>
      <w:r>
        <w:rPr>
          <w:rFonts w:ascii="Arial" w:cs="Arial" w:eastAsia="Arial" w:hAnsi="Arial"/>
          <w:sz w:val="16"/>
          <w:szCs w:val="16"/>
          <w:color w:val="auto"/>
        </w:rPr>
        <w:t>. Administrative Agent shall have received copies of the Organizational Documents of each Credit Party and evidence</w:t>
      </w:r>
      <w:r>
        <w:rPr>
          <w:rFonts w:ascii="Arial" w:cs="Arial" w:eastAsia="Arial" w:hAnsi="Arial"/>
          <w:sz w:val="16"/>
          <w:szCs w:val="16"/>
          <w:b w:val="1"/>
          <w:bCs w:val="1"/>
          <w:color w:val="auto"/>
        </w:rPr>
        <w:t xml:space="preserve"> </w:t>
      </w:r>
      <w:r>
        <w:rPr>
          <w:rFonts w:ascii="Arial" w:cs="Arial" w:eastAsia="Arial" w:hAnsi="Arial"/>
          <w:sz w:val="16"/>
          <w:szCs w:val="16"/>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w:t>
      </w:r>
    </w:p>
    <w:p>
      <w:pPr>
        <w:sectPr>
          <w:pgSz w:w="11900" w:h="16838" w:orient="portrait"/>
          <w:cols w:equalWidth="0" w:num="1">
            <w:col w:w="11420"/>
          </w:cols>
          <w:pgMar w:left="240" w:top="125" w:right="239" w:bottom="0" w:gutter="0" w:footer="0" w:header="0"/>
        </w:sectPr>
      </w:pPr>
    </w:p>
    <w:bookmarkStart w:id="104" w:name="page105"/>
    <w:bookmarkEnd w:id="104"/>
    <w:p>
      <w:pPr>
        <w:ind w:right="20"/>
        <w:spacing w:after="0" w:line="277" w:lineRule="auto"/>
        <w:rPr>
          <w:sz w:val="20"/>
          <w:szCs w:val="20"/>
          <w:color w:val="auto"/>
        </w:rPr>
      </w:pPr>
      <w:r>
        <w:rPr>
          <w:rFonts w:ascii="Arial" w:cs="Arial" w:eastAsia="Arial" w:hAnsi="Arial"/>
          <w:sz w:val="18"/>
          <w:szCs w:val="18"/>
          <w:color w:val="auto"/>
        </w:rPr>
        <w:t>certified as of the Closing Date as complete and correct copies thereof by the Secretary or an Assistant Secretary of each such Credit Party (or the member or manager or general partner of such Credit Party, as applicable).</w:t>
      </w:r>
    </w:p>
    <w:p>
      <w:pPr>
        <w:spacing w:after="0" w:line="166" w:lineRule="exact"/>
        <w:rPr>
          <w:sz w:val="20"/>
          <w:szCs w:val="20"/>
          <w:color w:val="auto"/>
        </w:rPr>
      </w:pPr>
    </w:p>
    <w:p>
      <w:pPr>
        <w:ind w:firstLine="656"/>
        <w:spacing w:after="0" w:line="282" w:lineRule="auto"/>
        <w:tabs>
          <w:tab w:leader="none" w:pos="1038"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conditions set forth in </w:t>
      </w:r>
      <w:r>
        <w:rPr>
          <w:rFonts w:ascii="Arial" w:cs="Arial" w:eastAsia="Arial" w:hAnsi="Arial"/>
          <w:sz w:val="18"/>
          <w:szCs w:val="18"/>
          <w:u w:val="single" w:color="auto"/>
          <w:color w:val="auto"/>
        </w:rPr>
        <w:t>Section 7.01(o)</w:t>
      </w:r>
      <w:r>
        <w:rPr>
          <w:rFonts w:ascii="Arial" w:cs="Arial" w:eastAsia="Arial" w:hAnsi="Arial"/>
          <w:sz w:val="18"/>
          <w:szCs w:val="18"/>
          <w:color w:val="auto"/>
        </w:rPr>
        <w:t xml:space="preserve"> (giving effect to the provisions contained therein) have been satisfied.</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28"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Lenders, dated the Closing Date and covering such matters as the Administrative Agent shall reasonably request in a manner customary for transactions of this type:</w:t>
      </w:r>
    </w:p>
    <w:p>
      <w:pPr>
        <w:spacing w:after="0" w:line="180" w:lineRule="exact"/>
        <w:rPr>
          <w:rFonts w:ascii="Arial" w:cs="Arial" w:eastAsia="Arial" w:hAnsi="Arial"/>
          <w:sz w:val="18"/>
          <w:szCs w:val="18"/>
          <w:color w:val="auto"/>
        </w:rPr>
      </w:pPr>
    </w:p>
    <w:p>
      <w:pPr>
        <w:ind w:left="1660" w:hanging="355"/>
        <w:spacing w:after="0"/>
        <w:tabs>
          <w:tab w:leader="none" w:pos="1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 opinion of Latham &amp; Watkins LLP, special New York counsel to the Credit Parties;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 opinion of Brownstein Hyatt Farber Schreck, LLP, special Nevada counsel to the Credit Parties.</w:t>
      </w:r>
    </w:p>
    <w:p>
      <w:pPr>
        <w:spacing w:after="0" w:line="221" w:lineRule="exact"/>
        <w:rPr>
          <w:rFonts w:ascii="Arial" w:cs="Arial" w:eastAsia="Arial" w:hAnsi="Arial"/>
          <w:sz w:val="18"/>
          <w:szCs w:val="18"/>
          <w:color w:val="auto"/>
        </w:rPr>
      </w:pPr>
    </w:p>
    <w:p>
      <w:pPr>
        <w:ind w:right="20" w:firstLine="656"/>
        <w:spacing w:after="0" w:line="282" w:lineRule="auto"/>
        <w:tabs>
          <w:tab w:leader="none" w:pos="1079"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 Administrative Agent shall have received copies of the Notes, duly completed and executed, for each Lender that requested a Note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Business Days prior to the Closing Date.</w:t>
      </w:r>
    </w:p>
    <w:p>
      <w:pPr>
        <w:spacing w:after="0" w:line="161" w:lineRule="exact"/>
        <w:rPr>
          <w:rFonts w:ascii="Arial" w:cs="Arial" w:eastAsia="Arial" w:hAnsi="Arial"/>
          <w:sz w:val="18"/>
          <w:szCs w:val="18"/>
          <w:color w:val="auto"/>
        </w:rPr>
      </w:pPr>
    </w:p>
    <w:p>
      <w:pPr>
        <w:ind w:firstLine="656"/>
        <w:spacing w:after="0" w:line="282" w:lineRule="auto"/>
        <w:tabs>
          <w:tab w:leader="none" w:pos="1055"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Credit 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89"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Filings and Lien Searches</w:t>
      </w:r>
      <w:r>
        <w:rPr>
          <w:rFonts w:ascii="Arial" w:cs="Arial" w:eastAsia="Arial" w:hAnsi="Arial"/>
          <w:sz w:val="18"/>
          <w:szCs w:val="18"/>
          <w:color w:val="auto"/>
        </w:rPr>
        <w:t>. Administrative Agent shall have received (i) a UCC financing statement in form appropriate for filing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organization of the Borrower and (ii) results of lien searches conducted in the jurisdictions in which each Credit Party is organized and such other jurisdictions as may be requested by the Administrative Agent.</w:t>
      </w:r>
    </w:p>
    <w:p>
      <w:pPr>
        <w:spacing w:after="0" w:line="176" w:lineRule="exact"/>
        <w:rPr>
          <w:rFonts w:ascii="Arial" w:cs="Arial" w:eastAsia="Arial" w:hAnsi="Arial"/>
          <w:sz w:val="18"/>
          <w:szCs w:val="18"/>
          <w:color w:val="auto"/>
        </w:rPr>
      </w:pPr>
    </w:p>
    <w:p>
      <w:pPr>
        <w:jc w:val="both"/>
        <w:ind w:firstLine="656"/>
        <w:spacing w:after="0" w:line="295" w:lineRule="auto"/>
        <w:tabs>
          <w:tab w:leader="none" w:pos="1038"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Pledge Agreement</w:t>
      </w:r>
      <w:r>
        <w:rPr>
          <w:rFonts w:ascii="Arial" w:cs="Arial" w:eastAsia="Arial" w:hAnsi="Arial"/>
          <w:sz w:val="16"/>
          <w:szCs w:val="16"/>
          <w:color w:val="auto"/>
        </w:rPr>
        <w:t>. (i) Administrative Agent shall have received the Pledge Agreement and the Initial Perfection Certificate, in each case duly</w:t>
      </w:r>
      <w:r>
        <w:rPr>
          <w:rFonts w:ascii="Arial" w:cs="Arial" w:eastAsia="Arial" w:hAnsi="Arial"/>
          <w:sz w:val="16"/>
          <w:szCs w:val="16"/>
          <w:b w:val="1"/>
          <w:bCs w:val="1"/>
          <w:color w:val="auto"/>
        </w:rPr>
        <w:t xml:space="preserve"> </w:t>
      </w:r>
      <w:r>
        <w:rPr>
          <w:rFonts w:ascii="Arial" w:cs="Arial" w:eastAsia="Arial" w:hAnsi="Arial"/>
          <w:sz w:val="16"/>
          <w:szCs w:val="16"/>
          <w:color w:val="auto"/>
        </w:rPr>
        <w:t>authorized, executed, and delivered by the Credit Parties, and (ii) Collateral Agent shall have received, to the extent required pursuant to the Pledge Agreement and not prohibited by applicable Requirements of Law (including, without limitation, any Gaming Laws), original certificates representing the certificated Pledged Securities (as defined in the Pledge Agreement) required to be delivered to Collateral Agent pursuant to the Pledge Agreement, accompanied by original undated stock powers executed in blank, and all of the foregoing shall be reasonably satisfactory to Administrative Agent in form and substance (in each case to the extent required to be delivered to Collateral Agent pursuant to the terms of the Pledge Agreement).</w:t>
      </w:r>
    </w:p>
    <w:p>
      <w:pPr>
        <w:spacing w:after="0" w:line="155" w:lineRule="exact"/>
        <w:rPr>
          <w:rFonts w:ascii="Arial" w:cs="Arial" w:eastAsia="Arial" w:hAnsi="Arial"/>
          <w:sz w:val="16"/>
          <w:szCs w:val="16"/>
          <w:color w:val="auto"/>
        </w:rPr>
      </w:pPr>
    </w:p>
    <w:p>
      <w:pPr>
        <w:jc w:val="both"/>
        <w:ind w:right="20" w:firstLine="656"/>
        <w:spacing w:after="0" w:line="289" w:lineRule="auto"/>
        <w:tabs>
          <w:tab w:leader="none" w:pos="1106"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Credit Documents in Full Force and Effect; Fee Letter</w:t>
      </w:r>
      <w:r>
        <w:rPr>
          <w:rFonts w:ascii="Arial" w:cs="Arial" w:eastAsia="Arial" w:hAnsi="Arial"/>
          <w:sz w:val="17"/>
          <w:szCs w:val="17"/>
          <w:color w:val="auto"/>
        </w:rPr>
        <w:t>. The Credit Documents required to be executed and delivered on or prior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Closing Date shall be in full force and effect. Borrower shall have complied, or shall comply substantially concurrently with the funding of the Term Facility Loans hereunder, in all respects with its payment obligations under the Fee Letter required to be performed on the Closing Date.</w:t>
      </w:r>
    </w:p>
    <w:p>
      <w:pPr>
        <w:spacing w:after="0" w:line="158" w:lineRule="exact"/>
        <w:rPr>
          <w:rFonts w:ascii="Arial" w:cs="Arial" w:eastAsia="Arial" w:hAnsi="Arial"/>
          <w:sz w:val="17"/>
          <w:szCs w:val="17"/>
          <w:color w:val="auto"/>
        </w:rPr>
      </w:pPr>
    </w:p>
    <w:p>
      <w:pPr>
        <w:jc w:val="both"/>
        <w:ind w:firstLine="656"/>
        <w:spacing w:after="0" w:line="266" w:lineRule="auto"/>
        <w:tabs>
          <w:tab w:leader="none" w:pos="1025"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Consummation of Transactions</w:t>
      </w:r>
      <w:r>
        <w:rPr>
          <w:rFonts w:ascii="Arial" w:cs="Arial" w:eastAsia="Arial" w:hAnsi="Arial"/>
          <w:sz w:val="18"/>
          <w:szCs w:val="18"/>
          <w:color w:val="auto"/>
        </w:rPr>
        <w:t>. The Transactions shall have been consummated and the consummation thereof shall be in compliance in all</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respects with all applicable Laws (including Gaming Laws and Regulation T, Regulation U, and Regulation X) and all applicable Gaming Approvals and other applicable regulatory approvals.</w:t>
      </w:r>
    </w:p>
    <w:p>
      <w:pPr>
        <w:spacing w:after="0" w:line="176" w:lineRule="exact"/>
        <w:rPr>
          <w:rFonts w:ascii="Arial" w:cs="Arial" w:eastAsia="Arial" w:hAnsi="Arial"/>
          <w:sz w:val="18"/>
          <w:szCs w:val="18"/>
          <w:color w:val="auto"/>
        </w:rPr>
      </w:pPr>
    </w:p>
    <w:p>
      <w:pPr>
        <w:jc w:val="both"/>
        <w:ind w:firstLine="656"/>
        <w:spacing w:after="0" w:line="281" w:lineRule="auto"/>
        <w:tabs>
          <w:tab w:leader="none" w:pos="1066"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Approvals</w:t>
      </w:r>
      <w:r>
        <w:rPr>
          <w:rFonts w:ascii="Arial" w:cs="Arial" w:eastAsia="Arial" w:hAnsi="Arial"/>
          <w:sz w:val="17"/>
          <w:szCs w:val="17"/>
          <w:color w:val="auto"/>
        </w:rPr>
        <w:t>. Other than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7.01(j)</w:t>
      </w:r>
      <w:r>
        <w:rPr>
          <w:rFonts w:ascii="Arial" w:cs="Arial" w:eastAsia="Arial" w:hAnsi="Arial"/>
          <w:sz w:val="17"/>
          <w:szCs w:val="17"/>
          <w:b w:val="1"/>
          <w:bCs w:val="1"/>
          <w:color w:val="auto"/>
        </w:rPr>
        <w:t xml:space="preserve"> </w:t>
      </w:r>
      <w:r>
        <w:rPr>
          <w:rFonts w:ascii="Arial" w:cs="Arial" w:eastAsia="Arial" w:hAnsi="Arial"/>
          <w:sz w:val="17"/>
          <w:szCs w:val="17"/>
          <w:color w:val="auto"/>
        </w:rPr>
        <w:t>or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8.06</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8.15</w:t>
      </w:r>
      <w:r>
        <w:rPr>
          <w:rFonts w:ascii="Arial" w:cs="Arial" w:eastAsia="Arial" w:hAnsi="Arial"/>
          <w:sz w:val="17"/>
          <w:szCs w:val="17"/>
          <w:color w:val="auto"/>
        </w:rPr>
        <w:t>, all necessary Governmental Authority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64" w:lineRule="exact"/>
        <w:rPr>
          <w:rFonts w:ascii="Arial" w:cs="Arial" w:eastAsia="Arial" w:hAnsi="Arial"/>
          <w:sz w:val="17"/>
          <w:szCs w:val="17"/>
          <w:color w:val="auto"/>
        </w:rPr>
      </w:pPr>
    </w:p>
    <w:p>
      <w:pPr>
        <w:ind w:firstLine="656"/>
        <w:spacing w:after="0" w:line="347" w:lineRule="auto"/>
        <w:tabs>
          <w:tab w:leader="none" w:pos="1052" w:val="left"/>
        </w:tabs>
        <w:numPr>
          <w:ilvl w:val="0"/>
          <w:numId w:val="107"/>
        </w:numPr>
        <w:rPr>
          <w:rFonts w:ascii="Arial" w:cs="Arial" w:eastAsia="Arial" w:hAnsi="Arial"/>
          <w:sz w:val="16"/>
          <w:szCs w:val="16"/>
          <w:color w:val="auto"/>
        </w:rPr>
      </w:pPr>
      <w:r>
        <w:rPr>
          <w:rFonts w:ascii="Arial" w:cs="Arial" w:eastAsia="Arial" w:hAnsi="Arial"/>
          <w:sz w:val="16"/>
          <w:szCs w:val="16"/>
          <w:b w:val="1"/>
          <w:bCs w:val="1"/>
          <w:color w:val="auto"/>
        </w:rPr>
        <w:t>Solvency</w:t>
      </w:r>
      <w:r>
        <w:rPr>
          <w:rFonts w:ascii="Arial" w:cs="Arial" w:eastAsia="Arial" w:hAnsi="Arial"/>
          <w:sz w:val="16"/>
          <w:szCs w:val="16"/>
          <w:color w:val="auto"/>
        </w:rPr>
        <w:t>. Administrative Agent shall have received a certificate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F</w:t>
      </w:r>
      <w:r>
        <w:rPr>
          <w:rFonts w:ascii="Arial" w:cs="Arial" w:eastAsia="Arial" w:hAnsi="Arial"/>
          <w:sz w:val="16"/>
          <w:szCs w:val="16"/>
          <w:b w:val="1"/>
          <w:bCs w:val="1"/>
          <w:color w:val="auto"/>
        </w:rPr>
        <w:t xml:space="preserve"> </w:t>
      </w:r>
      <w:r>
        <w:rPr>
          <w:rFonts w:ascii="Arial" w:cs="Arial" w:eastAsia="Arial" w:hAnsi="Arial"/>
          <w:sz w:val="16"/>
          <w:szCs w:val="16"/>
          <w:color w:val="auto"/>
        </w:rPr>
        <w:t>from a Responsible Officer of Borrower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Solvency of Borrower (on a consolidated basis with its Subsidiaries), immediately after giving effect to the consummation of the Transactions.</w:t>
      </w:r>
    </w:p>
    <w:p>
      <w:pPr>
        <w:spacing w:after="0" w:line="116" w:lineRule="exact"/>
        <w:rPr>
          <w:rFonts w:ascii="Arial" w:cs="Arial" w:eastAsia="Arial" w:hAnsi="Arial"/>
          <w:sz w:val="16"/>
          <w:szCs w:val="16"/>
          <w:color w:val="auto"/>
        </w:rPr>
      </w:pPr>
    </w:p>
    <w:p>
      <w:pPr>
        <w:jc w:val="both"/>
        <w:ind w:firstLine="656"/>
        <w:spacing w:after="0" w:line="261" w:lineRule="auto"/>
        <w:tabs>
          <w:tab w:leader="none" w:pos="1066"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five (5) Business Days prior to the closing date, all reasonable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Administrative Agent, Lead Arrangers and (in the case of fees only) the Lenders required to be paid by this Agreement, the Fee Letter or as otherwise agreed by Borrower, in each case, payable to Administrative Agent, Lead Arrangers and/or Lenders in respect of the Transactions, shall have been paid to the extent due.</w:t>
      </w:r>
    </w:p>
    <w:p>
      <w:pPr>
        <w:spacing w:after="0" w:line="180" w:lineRule="exact"/>
        <w:rPr>
          <w:rFonts w:ascii="Arial" w:cs="Arial" w:eastAsia="Arial" w:hAnsi="Arial"/>
          <w:sz w:val="18"/>
          <w:szCs w:val="18"/>
          <w:color w:val="auto"/>
        </w:rPr>
      </w:pPr>
    </w:p>
    <w:p>
      <w:pPr>
        <w:jc w:val="both"/>
        <w:ind w:firstLine="656"/>
        <w:spacing w:after="0" w:line="255" w:lineRule="auto"/>
        <w:tabs>
          <w:tab w:leader="none" w:pos="1129"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KYC Information</w:t>
      </w:r>
      <w:r>
        <w:rPr>
          <w:rFonts w:ascii="Arial" w:cs="Arial" w:eastAsia="Arial" w:hAnsi="Arial"/>
          <w:sz w:val="18"/>
          <w:szCs w:val="18"/>
          <w:color w:val="auto"/>
        </w:rPr>
        <w:t>. (i) On or prior to the Closing Date, Administrative Agent shall have received at least five (5) days prior to the Closing</w:t>
      </w:r>
      <w:r>
        <w:rPr>
          <w:rFonts w:ascii="Arial" w:cs="Arial" w:eastAsia="Arial" w:hAnsi="Arial"/>
          <w:sz w:val="18"/>
          <w:szCs w:val="18"/>
          <w:b w:val="1"/>
          <w:bCs w:val="1"/>
          <w:color w:val="auto"/>
        </w:rPr>
        <w:t xml:space="preserve"> </w:t>
      </w:r>
      <w:r>
        <w:rPr>
          <w:rFonts w:ascii="Arial" w:cs="Arial" w:eastAsia="Arial" w:hAnsi="Arial"/>
          <w:sz w:val="18"/>
          <w:szCs w:val="18"/>
          <w:color w:val="auto"/>
        </w:rPr>
        <w:t>Date all 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 and (ii) to the extent the Borrower qualifies as a “legal entity customer” under the Beneficial Ownership Regulation, at least five days prior to the Closing Date, any Lender that has requested, in a written notice to the Borrower at least three days prior to the Closing Date, a Beneficial Ownership Certification in relation to the Borrower shall have received such Beneficial Ownership Certification (provided that, upon the execution and delivery by such Lender of its signature page to this Agreement, the condition set forth in this clause (ii) shall be deemed to be satisfied).</w:t>
      </w:r>
    </w:p>
    <w:p>
      <w:pPr>
        <w:spacing w:after="0" w:line="185" w:lineRule="exact"/>
        <w:rPr>
          <w:rFonts w:ascii="Arial" w:cs="Arial" w:eastAsia="Arial" w:hAnsi="Arial"/>
          <w:sz w:val="18"/>
          <w:szCs w:val="18"/>
          <w:color w:val="auto"/>
        </w:rPr>
      </w:pPr>
    </w:p>
    <w:p>
      <w:pPr>
        <w:jc w:val="both"/>
        <w:ind w:firstLine="656"/>
        <w:spacing w:after="0" w:line="277" w:lineRule="auto"/>
        <w:tabs>
          <w:tab w:leader="none" w:pos="1092"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Financials</w:t>
      </w:r>
      <w:r>
        <w:rPr>
          <w:rFonts w:ascii="Arial" w:cs="Arial" w:eastAsia="Arial" w:hAnsi="Arial"/>
          <w:sz w:val="17"/>
          <w:szCs w:val="17"/>
          <w:color w:val="auto"/>
        </w:rPr>
        <w:t>. Borrower has delivered to the Administrative Agent or made publically available (a) the audited consolidated balance sheets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as of December 31, 2015, 2016, and 2017, and the related statements of earnings, changes in stockholders’ equity and cash flows for the fiscal years ended on those dates, together with reports thereon by Ernst &amp; Young LLP, certified public accountants and (b) the unaudited interim consolidated balance sheet of Borrower and the related statements of earnings, changes in stockholders’ equity and cash flows for the most recent fiscal quarter ending after December 31, 2017 (other than the fourth fiscal quarter of any fiscal year) and at least 45 days prior to the Closing Date.</w:t>
      </w:r>
    </w:p>
    <w:p>
      <w:pPr>
        <w:spacing w:after="0" w:line="168" w:lineRule="exact"/>
        <w:rPr>
          <w:rFonts w:ascii="Arial" w:cs="Arial" w:eastAsia="Arial" w:hAnsi="Arial"/>
          <w:sz w:val="17"/>
          <w:szCs w:val="17"/>
          <w:color w:val="auto"/>
        </w:rPr>
      </w:pPr>
    </w:p>
    <w:p>
      <w:pPr>
        <w:ind w:right="20" w:firstLine="656"/>
        <w:spacing w:after="0" w:line="282" w:lineRule="auto"/>
        <w:tabs>
          <w:tab w:leader="none" w:pos="1065"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No Default or Event of Default; Representations and Warranties True</w:t>
      </w:r>
      <w:r>
        <w:rPr>
          <w:rFonts w:ascii="Arial" w:cs="Arial" w:eastAsia="Arial" w:hAnsi="Arial"/>
          <w:sz w:val="18"/>
          <w:szCs w:val="18"/>
          <w:color w:val="auto"/>
        </w:rPr>
        <w:t>. Both immediately prior to the making of the Term Facility Loans</w:t>
      </w:r>
      <w:r>
        <w:rPr>
          <w:rFonts w:ascii="Arial" w:cs="Arial" w:eastAsia="Arial" w:hAnsi="Arial"/>
          <w:sz w:val="18"/>
          <w:szCs w:val="18"/>
          <w:b w:val="1"/>
          <w:bCs w:val="1"/>
          <w:color w:val="auto"/>
        </w:rPr>
        <w:t xml:space="preserve"> </w:t>
      </w:r>
      <w:r>
        <w:rPr>
          <w:rFonts w:ascii="Arial" w:cs="Arial" w:eastAsia="Arial" w:hAnsi="Arial"/>
          <w:sz w:val="18"/>
          <w:szCs w:val="18"/>
          <w:color w:val="auto"/>
        </w:rPr>
        <w:t>and also after giving effect thereto and to the intended use thereof:</w:t>
      </w:r>
    </w:p>
    <w:p>
      <w:pPr>
        <w:spacing w:after="0" w:line="165" w:lineRule="exact"/>
        <w:rPr>
          <w:rFonts w:ascii="Arial" w:cs="Arial" w:eastAsia="Arial" w:hAnsi="Arial"/>
          <w:sz w:val="18"/>
          <w:szCs w:val="18"/>
          <w:color w:val="auto"/>
        </w:rPr>
      </w:pPr>
    </w:p>
    <w:p>
      <w:pPr>
        <w:ind w:left="1660" w:hanging="355"/>
        <w:spacing w:after="0"/>
        <w:tabs>
          <w:tab w:leader="none" w:pos="166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jc w:val="both"/>
        <w:ind w:left="660" w:firstLine="645"/>
        <w:spacing w:after="0" w:line="302" w:lineRule="auto"/>
        <w:tabs>
          <w:tab w:leader="none" w:pos="176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Term Facility Loans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w:t>
      </w:r>
    </w:p>
    <w:p>
      <w:pPr>
        <w:sectPr>
          <w:pgSz w:w="11900" w:h="16838" w:orient="portrait"/>
          <w:cols w:equalWidth="0" w:num="1">
            <w:col w:w="11420"/>
          </w:cols>
          <w:pgMar w:left="240" w:top="125" w:right="239" w:bottom="0" w:gutter="0" w:footer="0" w:header="0"/>
        </w:sectPr>
      </w:pPr>
    </w:p>
    <w:bookmarkStart w:id="105" w:name="page106"/>
    <w:bookmarkEnd w:id="105"/>
    <w:p>
      <w:pPr>
        <w:ind w:left="660"/>
        <w:spacing w:after="0" w:line="277" w:lineRule="auto"/>
        <w:rPr>
          <w:sz w:val="20"/>
          <w:szCs w:val="20"/>
          <w:color w:val="auto"/>
        </w:rPr>
      </w:pPr>
      <w:r>
        <w:rPr>
          <w:rFonts w:ascii="Arial" w:cs="Arial" w:eastAsia="Arial" w:hAnsi="Arial"/>
          <w:sz w:val="18"/>
          <w:szCs w:val="18"/>
          <w:color w:val="auto"/>
        </w:rPr>
        <w:t>representation and warranty that is qualified as to “materiality,” “Material Adverse Effect” or similar language shall be true and correct in all respects on the applicable date); and</w:t>
      </w:r>
    </w:p>
    <w:p>
      <w:pPr>
        <w:spacing w:after="0" w:line="166" w:lineRule="exact"/>
        <w:rPr>
          <w:sz w:val="20"/>
          <w:szCs w:val="20"/>
          <w:color w:val="auto"/>
        </w:rPr>
      </w:pPr>
    </w:p>
    <w:p>
      <w:pPr>
        <w:ind w:left="1040" w:hanging="384"/>
        <w:spacing w:after="0"/>
        <w:tabs>
          <w:tab w:leader="none" w:pos="104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Notice of Borrowing</w:t>
      </w:r>
      <w:r>
        <w:rPr>
          <w:rFonts w:ascii="Arial" w:cs="Arial" w:eastAsia="Arial" w:hAnsi="Arial"/>
          <w:sz w:val="17"/>
          <w:szCs w:val="17"/>
          <w:color w:val="auto"/>
        </w:rPr>
        <w:t>. Administrative Agent shall have received a Notice of Borrowing duly completed and complying with</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4.05</w:t>
      </w:r>
      <w:r>
        <w:rPr>
          <w:rFonts w:ascii="Arial" w:cs="Arial" w:eastAsia="Arial" w:hAnsi="Arial"/>
          <w:sz w:val="17"/>
          <w:szCs w:val="17"/>
          <w:color w:val="auto"/>
        </w:rPr>
        <w:t>.</w:t>
      </w:r>
    </w:p>
    <w:p>
      <w:pPr>
        <w:spacing w:after="0" w:line="236" w:lineRule="exact"/>
        <w:rPr>
          <w:rFonts w:ascii="Arial" w:cs="Arial" w:eastAsia="Arial" w:hAnsi="Arial"/>
          <w:sz w:val="17"/>
          <w:szCs w:val="17"/>
          <w:color w:val="auto"/>
        </w:rPr>
      </w:pPr>
    </w:p>
    <w:p>
      <w:pPr>
        <w:ind w:firstLine="656"/>
        <w:spacing w:after="0" w:line="282" w:lineRule="auto"/>
        <w:tabs>
          <w:tab w:leader="none" w:pos="1173"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Collateral Agency Agreement</w:t>
      </w:r>
      <w:r>
        <w:rPr>
          <w:rFonts w:ascii="Arial" w:cs="Arial" w:eastAsia="Arial" w:hAnsi="Arial"/>
          <w:sz w:val="18"/>
          <w:szCs w:val="18"/>
          <w:color w:val="auto"/>
        </w:rPr>
        <w:t>. Collateral Agent shall have received the Collateral Agency Agreement duly authorized, executed, and</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by the Nevada Collateral Agent.</w:t>
      </w: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7" w:lineRule="auto"/>
        <w:tabs>
          <w:tab w:leader="none" w:pos="104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Each Company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58" w:lineRule="exact"/>
        <w:rPr>
          <w:rFonts w:ascii="Arial" w:cs="Arial" w:eastAsia="Arial" w:hAnsi="Arial"/>
          <w:sz w:val="16"/>
          <w:szCs w:val="16"/>
          <w:color w:val="auto"/>
        </w:rPr>
      </w:pPr>
    </w:p>
    <w:p>
      <w:pPr>
        <w:jc w:val="both"/>
        <w:ind w:firstLine="656"/>
        <w:spacing w:after="0" w:line="286" w:lineRule="auto"/>
        <w:tabs>
          <w:tab w:leader="none" w:pos="114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Neither Borrower nor any Subsidiary nor any of its Property is in violation of, nor will the continued operation of Borrower’s or such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Since December 31, 2017, there shall not have occurred any event or circumstance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either individually or in the aggregate, a Material Adverse Effect.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8.03. Litigation</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8.03</w:t>
      </w:r>
      <w:r>
        <w:rPr>
          <w:rFonts w:ascii="Arial" w:cs="Arial" w:eastAsia="Arial" w:hAnsi="Arial"/>
          <w:sz w:val="18"/>
          <w:szCs w:val="18"/>
          <w:color w:val="auto"/>
        </w:rPr>
        <w:t>, there is no Proceeding (other than any (a)</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qui tam</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 to which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is limited to knowledge of any Responsible Officer of Borrower, and (b) normal overseeing reviews of the Gaming Authorities) pending against, or to the knowledge of any Responsible Officer of Borrower, threatened in writing against, any Company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5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w:t>
      </w:r>
      <w:r>
        <w:rPr>
          <w:rFonts w:ascii="Arial" w:cs="Arial" w:eastAsia="Arial" w:hAnsi="Arial"/>
          <w:sz w:val="17"/>
          <w:szCs w:val="17"/>
          <w:u w:val="single" w:color="auto"/>
          <w:color w:val="auto"/>
        </w:rPr>
        <w:t>Section 13.13</w:t>
      </w:r>
      <w:r>
        <w:rPr>
          <w:rFonts w:ascii="Arial" w:cs="Arial" w:eastAsia="Arial" w:hAnsi="Arial"/>
          <w:sz w:val="17"/>
          <w:szCs w:val="17"/>
          <w:color w:val="auto"/>
        </w:rPr>
        <w:t xml:space="preserve">,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w:t>
      </w:r>
      <w:r>
        <w:rPr>
          <w:rFonts w:ascii="Arial" w:cs="Arial" w:eastAsia="Arial" w:hAnsi="Arial"/>
          <w:sz w:val="17"/>
          <w:szCs w:val="17"/>
          <w:u w:val="single" w:color="auto"/>
          <w:color w:val="auto"/>
        </w:rPr>
        <w:t>(i)(y)</w:t>
      </w:r>
      <w:r>
        <w:rPr>
          <w:rFonts w:ascii="Arial" w:cs="Arial" w:eastAsia="Arial" w:hAnsi="Arial"/>
          <w:sz w:val="17"/>
          <w:szCs w:val="17"/>
          <w:color w:val="auto"/>
        </w:rPr>
        <w:t xml:space="preserve">, </w:t>
      </w:r>
      <w:r>
        <w:rPr>
          <w:rFonts w:ascii="Arial" w:cs="Arial" w:eastAsia="Arial" w:hAnsi="Arial"/>
          <w:sz w:val="17"/>
          <w:szCs w:val="17"/>
          <w:u w:val="single" w:color="auto"/>
          <w:color w:val="auto"/>
        </w:rPr>
        <w:t>(i)(z)</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which would not reasonably be expected to result in a Material Adverse Effect.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8.05. Action</w:t>
      </w:r>
      <w:r>
        <w:rPr>
          <w:rFonts w:ascii="Arial" w:cs="Arial" w:eastAsia="Arial" w:hAnsi="Arial"/>
          <w:sz w:val="16"/>
          <w:szCs w:val="16"/>
          <w:color w:val="auto"/>
        </w:rPr>
        <w:t>. Borrower and each Guarantor has all necessary corporate or other organizational power, authority and legal right to</w:t>
      </w:r>
      <w:r>
        <w:rPr>
          <w:rFonts w:ascii="Arial" w:cs="Arial" w:eastAsia="Arial" w:hAnsi="Arial"/>
          <w:sz w:val="16"/>
          <w:szCs w:val="16"/>
          <w:b w:val="1"/>
          <w:bCs w:val="1"/>
          <w:color w:val="auto"/>
        </w:rPr>
        <w:t xml:space="preserve"> </w:t>
      </w:r>
      <w:r>
        <w:rPr>
          <w:rFonts w:ascii="Arial" w:cs="Arial" w:eastAsia="Arial" w:hAnsi="Arial"/>
          <w:sz w:val="16"/>
          <w:szCs w:val="16"/>
          <w:color w:val="auto"/>
        </w:rPr>
        <w:t>execute, deliver and perform its obligations under each Credit Document to which it is a party and to consummate the transactions herein and therein contemplated; the execution, delivery and performance by Borrower and each Guarantor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 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6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8.06. Approvals</w:t>
      </w:r>
      <w:r>
        <w:rPr>
          <w:rFonts w:ascii="Arial" w:cs="Arial" w:eastAsia="Arial" w:hAnsi="Arial"/>
          <w:sz w:val="17"/>
          <w:szCs w:val="17"/>
          <w:color w:val="auto"/>
        </w:rPr>
        <w:t>. No authorizations, approvals or consents of, and no filings or registrations with, any Governmental Authority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securities exchange are necessary for the execution, delivery or performance by Borrower or any Guarantor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Pledge Agreement and the Notes executed on the Closing Date to the relevant Gaming Authorities, (iv) the filings referred to in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(v) satisfaction of or waiver by the Gaming Authorities of any qualification requirement on the part of the Lenders who do not otherwise qualify, (vi) [reserved], (vii) consents, authorizations and filings that have been obtained or made and are in full force and effect or the failure of which to obtain would not reasonably be expected to have a Material Adverse Effect, (viii) 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w:t>
      </w:r>
      <w:r>
        <w:rPr>
          <w:rFonts w:ascii="Arial" w:cs="Arial" w:eastAsia="Arial" w:hAnsi="Arial"/>
          <w:sz w:val="17"/>
          <w:szCs w:val="17"/>
          <w:u w:val="single" w:color="auto"/>
          <w:color w:val="auto"/>
        </w:rPr>
        <w:t>Section 13.13</w:t>
      </w:r>
      <w:r>
        <w:rPr>
          <w:rFonts w:ascii="Arial" w:cs="Arial" w:eastAsia="Arial" w:hAnsi="Arial"/>
          <w:sz w:val="17"/>
          <w:szCs w:val="17"/>
          <w:color w:val="auto"/>
        </w:rPr>
        <w:t>) and (ix) prior approval from the Nevada Gaming Commission of the pledge of any Pledged Nevada Gaming Interests (as defined in the Pledge Agreement).</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all other such ERISA Events for which liability is reasonably expected to occur, would reasonably be expected to result in a Material Adverse Effect. Except as set forth on </w:t>
      </w:r>
      <w:r>
        <w:rPr>
          <w:rFonts w:ascii="Arial" w:cs="Arial" w:eastAsia="Arial" w:hAnsi="Arial"/>
          <w:sz w:val="16"/>
          <w:szCs w:val="16"/>
          <w:u w:val="single" w:color="auto"/>
          <w:color w:val="auto"/>
        </w:rPr>
        <w:t>Schedule 8.07</w:t>
      </w:r>
      <w:r>
        <w:rPr>
          <w:rFonts w:ascii="Arial" w:cs="Arial" w:eastAsia="Arial" w:hAnsi="Arial"/>
          <w:sz w:val="16"/>
          <w:szCs w:val="16"/>
          <w:color w:val="auto"/>
        </w:rPr>
        <w:t>, as of the Closing Date, no member of the ERISA Group maintains or contributes to any Pension Plan. Each</w:t>
      </w:r>
    </w:p>
    <w:p>
      <w:pPr>
        <w:sectPr>
          <w:pgSz w:w="11900" w:h="16838" w:orient="portrait"/>
          <w:cols w:equalWidth="0" w:num="1">
            <w:col w:w="11420"/>
          </w:cols>
          <w:pgMar w:left="240" w:top="125" w:right="239" w:bottom="0" w:gutter="0" w:footer="0" w:header="0"/>
        </w:sectPr>
      </w:pPr>
    </w:p>
    <w:bookmarkStart w:id="106" w:name="page107"/>
    <w:bookmarkEnd w:id="106"/>
    <w:p>
      <w:pPr>
        <w:jc w:val="both"/>
        <w:ind w:right="20"/>
        <w:spacing w:after="0" w:line="286" w:lineRule="auto"/>
        <w:rPr>
          <w:sz w:val="20"/>
          <w:szCs w:val="20"/>
          <w:color w:val="auto"/>
        </w:rPr>
      </w:pPr>
      <w:r>
        <w:rPr>
          <w:rFonts w:ascii="Arial" w:cs="Arial" w:eastAsia="Arial" w:hAnsi="Arial"/>
          <w:sz w:val="17"/>
          <w:szCs w:val="17"/>
          <w:color w:val="auto"/>
        </w:rPr>
        <w:t>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8.08. Taxes</w:t>
      </w:r>
      <w:r>
        <w:rPr>
          <w:rFonts w:ascii="Arial" w:cs="Arial" w:eastAsia="Arial" w:hAnsi="Arial"/>
          <w:sz w:val="17"/>
          <w:szCs w:val="17"/>
          <w:color w:val="auto"/>
        </w:rPr>
        <w:t>. Except as would not, individually or in the aggregate, reasonably be expected to have a Material Adverse Effect, (i) all</w:t>
      </w:r>
      <w:r>
        <w:rPr>
          <w:rFonts w:ascii="Arial" w:cs="Arial" w:eastAsia="Arial" w:hAnsi="Arial"/>
          <w:sz w:val="17"/>
          <w:szCs w:val="17"/>
          <w:b w:val="1"/>
          <w:bCs w:val="1"/>
          <w:color w:val="auto"/>
        </w:rPr>
        <w:t xml:space="preserve"> </w:t>
      </w:r>
      <w:r>
        <w:rPr>
          <w:rFonts w:ascii="Arial" w:cs="Arial" w:eastAsia="Arial" w:hAnsi="Arial"/>
          <w:sz w:val="17"/>
          <w:szCs w:val="17"/>
          <w:color w:val="auto"/>
        </w:rPr>
        <w:t>Tax returns, statements, reports and forms required to be filed with any Governmental Authority by, or with respect to, Borrower and each of the Guarantors have been timely filed (taking into account any applicable extensions) in accordance with all applicable laws; (ii) Borrower and each of the Guarantors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the Guarantors has made adequate provision in accordance with GAAP for all Taxes payable by Borrower or such Guarantor that are not yet due and payable. Neither Borrower nor any of the Guarantors has received written notice of any proposed or pending Tax assessment, audit or deficiency against Borrower or such Guarantor that would in the aggregate reasonably be expected to have a Material Adverse Effect.</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of the Guarantors is an “investment company,” or a company “controlled”</w:t>
      </w:r>
      <w:r>
        <w:rPr>
          <w:rFonts w:ascii="Arial" w:cs="Arial" w:eastAsia="Arial" w:hAnsi="Arial"/>
          <w:sz w:val="18"/>
          <w:szCs w:val="18"/>
          <w:b w:val="1"/>
          <w:bCs w:val="1"/>
          <w:color w:val="auto"/>
        </w:rPr>
        <w:t xml:space="preserve"> </w:t>
      </w:r>
      <w:r>
        <w:rPr>
          <w:rFonts w:ascii="Arial" w:cs="Arial" w:eastAsia="Arial" w:hAnsi="Arial"/>
          <w:sz w:val="18"/>
          <w:szCs w:val="18"/>
          <w:color w:val="auto"/>
        </w:rPr>
        <w:t>by an “investment company” required to be regulated under the Investment Company Act of 1940, as amended.</w:t>
      </w:r>
    </w:p>
    <w:p>
      <w:pPr>
        <w:spacing w:after="0" w:line="16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8.10. Environmental Matters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8.10</w:t>
      </w:r>
      <w:r>
        <w:rPr>
          <w:rFonts w:ascii="Arial" w:cs="Arial" w:eastAsia="Arial" w:hAnsi="Arial"/>
          <w:sz w:val="17"/>
          <w:szCs w:val="17"/>
          <w:b w:val="1"/>
          <w:bCs w:val="1"/>
          <w:color w:val="auto"/>
        </w:rPr>
        <w:t xml:space="preserve"> </w:t>
      </w:r>
      <w:r>
        <w:rPr>
          <w:rFonts w:ascii="Arial" w:cs="Arial" w:eastAsia="Arial" w:hAnsi="Arial"/>
          <w:sz w:val="17"/>
          <w:szCs w:val="17"/>
          <w:color w:val="auto"/>
        </w:rPr>
        <w:t>or as would not, individually or in the aggregate, reasonably be</w:t>
      </w:r>
      <w:r>
        <w:rPr>
          <w:rFonts w:ascii="Arial" w:cs="Arial" w:eastAsia="Arial" w:hAnsi="Arial"/>
          <w:sz w:val="17"/>
          <w:szCs w:val="17"/>
          <w:b w:val="1"/>
          <w:bCs w:val="1"/>
          <w:color w:val="auto"/>
        </w:rPr>
        <w:t xml:space="preserve"> </w:t>
      </w:r>
      <w:r>
        <w:rPr>
          <w:rFonts w:ascii="Arial" w:cs="Arial" w:eastAsia="Arial" w:hAnsi="Arial"/>
          <w:sz w:val="17"/>
          <w:szCs w:val="17"/>
          <w:color w:val="auto"/>
        </w:rPr>
        <w:t>expected to result in a Material Adverse Effect: (i) each Credit Party and each of their businesses, operations and Real Property is in material compliance with, and each has no liability under, any Environmental Law; (ii) each Credit Party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any Credit Party that would reasonably be expected to result in liability to Borrower or any Guarantor under any Environmental Law; (iv) there is no Environmental Action pending or, to the knowledge of any Responsible Officer of Borrower or Guarantor, threatened, against Borrower or any Guarantor or, relating to real property currently or formerly owned, leased or operated by Borrower or any Guarantor or relating to the operations of Borrower or the Guarantors; and (v) no circumstances exist that would reasonably be expected to form the basis of an Environmental Action against any Credit Party, or any of their Real Property, facilities or assets.</w:t>
      </w:r>
    </w:p>
    <w:p>
      <w:pPr>
        <w:spacing w:after="0" w:line="17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2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Borrower will use the proceeds of the Term Loans to finance the Transactions, for working capital, capital expenditures, Permitted Acquisitions (and other Acquisitions not prohibited hereunder), Restricted Payments, Investments, and other general corporate purposes and for any other purposes not prohibited by this Agreement (including Capital Expenditures with respect to the Wynn Massachusetts Project).</w:t>
      </w:r>
    </w:p>
    <w:p>
      <w:pPr>
        <w:spacing w:after="0" w:line="181" w:lineRule="exact"/>
        <w:rPr>
          <w:rFonts w:ascii="Arial" w:cs="Arial" w:eastAsia="Arial" w:hAnsi="Arial"/>
          <w:sz w:val="18"/>
          <w:szCs w:val="18"/>
          <w:color w:val="auto"/>
        </w:rPr>
      </w:pPr>
    </w:p>
    <w:p>
      <w:pPr>
        <w:jc w:val="both"/>
        <w:ind w:firstLine="656"/>
        <w:spacing w:after="0" w:line="255" w:lineRule="auto"/>
        <w:tabs>
          <w:tab w:leader="none" w:pos="113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Credit Party is engaged principally, or as one of its important activities, in the business of extending credit for the purpose, whether immediate, incidental or ultimate, of buying or carrying Margin Stock. No part of the proceeds of any extension of credit (including any Term Loans)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Pledge Agreement does not violate such regulations.</w:t>
      </w:r>
    </w:p>
    <w:p>
      <w:pPr>
        <w:spacing w:after="0" w:line="1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8.12. Subsidiaries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8.12</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a true and complete list of the following: (i) the name and jurisdiction of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organization of each Credit Party as of the Closing Date; and (ii) the percentage and number of each class of Equity Interests of each Guarantor owned by Borrower as of the Closing Date.</w:t>
      </w:r>
    </w:p>
    <w:p>
      <w:pPr>
        <w:spacing w:after="0" w:line="17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8.13. Ownership of Property; Liens</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8.13</w:t>
      </w:r>
      <w:r>
        <w:rPr>
          <w:rFonts w:ascii="Arial" w:cs="Arial" w:eastAsia="Arial" w:hAnsi="Arial"/>
          <w:sz w:val="16"/>
          <w:szCs w:val="16"/>
          <w:color w:val="auto"/>
        </w:rPr>
        <w:t>, (a) each Credit Party has good and valid title to, or a valid</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Real Property) leasehold interest in (or subleasehold interest in or other right to occupy), all assets and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each Credit Party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5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SECTION 8.14. Security Interest; Absence of Financing Statements; Etc. </w:t>
      </w:r>
      <w:r>
        <w:rPr>
          <w:rFonts w:ascii="Arial" w:cs="Arial" w:eastAsia="Arial" w:hAnsi="Arial"/>
          <w:sz w:val="16"/>
          <w:szCs w:val="16"/>
          <w:color w:val="auto"/>
        </w:rPr>
        <w:t>The Security Documents, once executed and delivered, will create,</w:t>
      </w:r>
      <w:r>
        <w:rPr>
          <w:rFonts w:ascii="Arial" w:cs="Arial" w:eastAsia="Arial" w:hAnsi="Arial"/>
          <w:sz w:val="16"/>
          <w:szCs w:val="16"/>
          <w:b w:val="1"/>
          <w:bCs w:val="1"/>
          <w:color w:val="auto"/>
        </w:rPr>
        <w:t xml:space="preserve"> </w:t>
      </w:r>
      <w:r>
        <w:rPr>
          <w:rFonts w:ascii="Arial" w:cs="Arial" w:eastAsia="Arial" w:hAnsi="Arial"/>
          <w:sz w:val="16"/>
          <w:szCs w:val="16"/>
          <w:color w:val="auto"/>
        </w:rPr>
        <w:t>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w:t>
      </w:r>
    </w:p>
    <w:p>
      <w:pPr>
        <w:spacing w:after="0" w:line="3" w:lineRule="exact"/>
        <w:rPr>
          <w:sz w:val="20"/>
          <w:szCs w:val="20"/>
          <w:color w:val="auto"/>
        </w:rPr>
      </w:pPr>
    </w:p>
    <w:p>
      <w:pPr>
        <w:jc w:val="both"/>
        <w:ind w:firstLine="8"/>
        <w:spacing w:after="0" w:line="252" w:lineRule="auto"/>
        <w:tabs>
          <w:tab w:leader="none" w:pos="24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Pledge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8.15</w:t>
      </w:r>
      <w:r>
        <w:rPr>
          <w:rFonts w:ascii="Arial" w:cs="Arial" w:eastAsia="Arial" w:hAnsi="Arial"/>
          <w:sz w:val="18"/>
          <w:szCs w:val="18"/>
          <w:color w:val="auto"/>
        </w:rPr>
        <w:t>, each Company holds all material governmental permits, licenses,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authorizations, consents and approvals necessary for the Credit Parties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8.16. Disclosure</w:t>
      </w:r>
      <w:r>
        <w:rPr>
          <w:rFonts w:ascii="Arial" w:cs="Arial" w:eastAsia="Arial" w:hAnsi="Arial"/>
          <w:sz w:val="16"/>
          <w:szCs w:val="16"/>
          <w:color w:val="auto"/>
        </w:rPr>
        <w:t>. (a) The information, reports, financial statements, exhibits and schedules furnished in writing by or on behalf of any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Credit 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financial information furnished at any time by any Credit Party to any Secured Party pursuant to this Agreement have been prepared in good faith based on</w:t>
      </w:r>
    </w:p>
    <w:p>
      <w:pPr>
        <w:sectPr>
          <w:pgSz w:w="11900" w:h="16838" w:orient="portrait"/>
          <w:cols w:equalWidth="0" w:num="1">
            <w:col w:w="11420"/>
          </w:cols>
          <w:pgMar w:left="240" w:top="125" w:right="239" w:bottom="0" w:gutter="0" w:footer="0" w:header="0"/>
        </w:sectPr>
      </w:pPr>
    </w:p>
    <w:bookmarkStart w:id="107" w:name="page108"/>
    <w:bookmarkEnd w:id="107"/>
    <w:p>
      <w:pPr>
        <w:jc w:val="both"/>
        <w:spacing w:after="0" w:line="259" w:lineRule="auto"/>
        <w:rPr>
          <w:sz w:val="20"/>
          <w:szCs w:val="20"/>
          <w:color w:val="auto"/>
        </w:rPr>
      </w:pPr>
      <w:r>
        <w:rPr>
          <w:rFonts w:ascii="Arial" w:cs="Arial" w:eastAsia="Arial" w:hAnsi="Arial"/>
          <w:sz w:val="18"/>
          <w:szCs w:val="18"/>
          <w:color w:val="auto"/>
        </w:rPr>
        <w:t>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87" w:lineRule="exact"/>
        <w:rPr>
          <w:sz w:val="20"/>
          <w:szCs w:val="20"/>
          <w:color w:val="auto"/>
        </w:rPr>
      </w:pPr>
    </w:p>
    <w:p>
      <w:pPr>
        <w:ind w:firstLine="656"/>
        <w:spacing w:after="0" w:line="277" w:lineRule="auto"/>
        <w:tabs>
          <w:tab w:leader="none" w:pos="90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As of the Closing Date, to the best knowledge of the Borrower, the information included in the Beneficial Ownership Certification provided on or prior to the Closing Date to any Lender in connection with this Agreement is true and correct in all respects.</w:t>
      </w:r>
    </w:p>
    <w:p>
      <w:pPr>
        <w:spacing w:after="0" w:line="16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the Closing Date, immediately prior to and immediately following the consummation of the Transactions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extensions of credit to occur on the Closing Date, Borrower (on a consolidated basis with its Subsidiaries) is and will be Solvent (after giving effect to </w:t>
      </w:r>
      <w:r>
        <w:rPr>
          <w:rFonts w:ascii="Arial" w:cs="Arial" w:eastAsia="Arial" w:hAnsi="Arial"/>
          <w:sz w:val="18"/>
          <w:szCs w:val="18"/>
          <w:u w:val="single" w:color="auto"/>
          <w:color w:val="auto"/>
        </w:rPr>
        <w:t>Section 6.07</w:t>
      </w:r>
      <w:r>
        <w:rPr>
          <w:rFonts w:ascii="Arial" w:cs="Arial" w:eastAsia="Arial" w:hAnsi="Arial"/>
          <w:sz w:val="18"/>
          <w:szCs w:val="18"/>
          <w:color w:val="auto"/>
        </w:rPr>
        <w:t>).</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8.18. Intellectual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Borrower and each Guarantor owns or possesses adequate licenses</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has the right to use all of the patents, patent applications, trademarks, trademark applications, service marks, service mark applications, trade names, copyrights, trade secrets, know-how and processes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xml:space="preserve">”) that are necessary for the operation of its business as presently conducted except where failure to own or have such right would not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as of the Closing Date, no claim is pending or, to the knowledge of any Responsible Officer of Borrower, threatened to the effect that Borrower or any of the Guarantors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as of the Closing Date, no claim is pending or, to the knowledge of any Responsible Officer of Borrower, threatened to the effect that any such material Intellectual Property owned or licensed by Borrower or any Guarantor or which Borrower or any Guarantor otherwise has the right to use is invalid or unenforceable, except for such claims that would not, individually or in the aggregate, reasonably be expected to have a Material Adverse Effect.</w:t>
      </w:r>
    </w:p>
    <w:p>
      <w:pPr>
        <w:spacing w:after="0" w:line="16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8.19.</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8.20. Insurance</w:t>
      </w:r>
      <w:r>
        <w:rPr>
          <w:rFonts w:ascii="Arial" w:cs="Arial" w:eastAsia="Arial" w:hAnsi="Arial"/>
          <w:sz w:val="17"/>
          <w:szCs w:val="17"/>
          <w:color w:val="auto"/>
        </w:rPr>
        <w:t>. Borrower and each Guarantor are insured by insurers of recognized financial responsibility (determined as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such insurance was obtained) against such losses and risks (other than wind and flood damage) and in such amounts as are prudent and customary in the businesses in which it is engaged, except to the extent that such insurance is not available on commercially reasonable terms.</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6"/>
          <w:szCs w:val="16"/>
          <w:b w:val="1"/>
          <w:bCs w:val="1"/>
          <w:color w:val="auto"/>
        </w:rPr>
        <w:t>Anti-Terrorism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2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656"/>
        <w:spacing w:after="0" w:line="277" w:lineRule="auto"/>
        <w:tabs>
          <w:tab w:leader="none" w:pos="103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is any of the following:</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firstLine="888"/>
        <w:spacing w:after="0" w:line="277" w:lineRule="auto"/>
        <w:tabs>
          <w:tab w:leader="none" w:pos="1978"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170" w:lineRule="exact"/>
        <w:rPr>
          <w:rFonts w:ascii="Arial" w:cs="Arial" w:eastAsia="Arial" w:hAnsi="Arial"/>
          <w:sz w:val="18"/>
          <w:szCs w:val="18"/>
          <w:color w:val="auto"/>
        </w:rPr>
      </w:pPr>
    </w:p>
    <w:p>
      <w:pPr>
        <w:ind w:left="2000" w:hanging="452"/>
        <w:spacing w:after="0"/>
        <w:tabs>
          <w:tab w:leader="none" w:pos="200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248" w:lineRule="exact"/>
        <w:rPr>
          <w:rFonts w:ascii="Arial" w:cs="Arial" w:eastAsia="Arial" w:hAnsi="Arial"/>
          <w:sz w:val="16"/>
          <w:szCs w:val="16"/>
          <w:color w:val="auto"/>
        </w:rPr>
      </w:pPr>
    </w:p>
    <w:p>
      <w:pPr>
        <w:ind w:left="1980" w:hanging="432"/>
        <w:spacing w:after="0"/>
        <w:tabs>
          <w:tab w:leader="none" w:pos="1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25" w:lineRule="exact"/>
        <w:rPr>
          <w:rFonts w:ascii="Arial" w:cs="Arial" w:eastAsia="Arial" w:hAnsi="Arial"/>
          <w:sz w:val="18"/>
          <w:szCs w:val="18"/>
          <w:color w:val="auto"/>
        </w:rPr>
      </w:pPr>
    </w:p>
    <w:p>
      <w:pPr>
        <w:jc w:val="both"/>
        <w:ind w:left="660" w:firstLine="888"/>
        <w:spacing w:after="0" w:line="264" w:lineRule="auto"/>
        <w:tabs>
          <w:tab w:leader="none" w:pos="2009"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1980" w:hanging="432"/>
        <w:spacing w:after="0"/>
        <w:tabs>
          <w:tab w:leader="none" w:pos="19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Borrower, any of its Affiliates, directors, brokers or agents acting in any capacity in connection with the Loans, is in violation in any material respect of any Requirement of Law relating to any anti-bribery or anti-corruption laws or regulations in any applicable jurisdiction.</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8.24.</w:t>
      </w:r>
      <w:r>
        <w:rPr>
          <w:sz w:val="20"/>
          <w:szCs w:val="20"/>
          <w:color w:val="auto"/>
        </w:rPr>
        <w:tab/>
      </w:r>
      <w:r>
        <w:rPr>
          <w:rFonts w:ascii="Arial" w:cs="Arial" w:eastAsia="Arial" w:hAnsi="Arial"/>
          <w:sz w:val="16"/>
          <w:szCs w:val="16"/>
          <w:b w:val="1"/>
          <w:bCs w:val="1"/>
          <w:color w:val="auto"/>
        </w:rPr>
        <w:t>Labor Matters</w:t>
      </w:r>
      <w:r>
        <w:rPr>
          <w:rFonts w:ascii="Arial" w:cs="Arial" w:eastAsia="Arial" w:hAnsi="Arial"/>
          <w:sz w:val="16"/>
          <w:szCs w:val="16"/>
          <w:color w:val="auto"/>
        </w:rPr>
        <w:t>. Except as would not reasonably be expected, individually or in the aggregate, to have a Material Adverse Effect,</w:t>
      </w:r>
    </w:p>
    <w:p>
      <w:pPr>
        <w:spacing w:after="0" w:line="27" w:lineRule="exact"/>
        <w:rPr>
          <w:sz w:val="20"/>
          <w:szCs w:val="20"/>
          <w:color w:val="auto"/>
        </w:rPr>
      </w:pPr>
    </w:p>
    <w:p>
      <w:pPr>
        <w:jc w:val="both"/>
        <w:ind w:firstLine="8"/>
        <w:spacing w:after="0" w:line="255" w:lineRule="auto"/>
        <w:tabs>
          <w:tab w:leader="none" w:pos="25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are no strikes or other labor disputes against Borrower or any of its Subsidiaries pending or, to the knowledge of Borrower, threatened and (b) the hours worked by and payments made to employees of Borrower or any of its Subsidiaries have not been in violation of the Fair Labor Standards Act or any other applicable Law dealing with such matters.</w:t>
      </w:r>
    </w:p>
    <w:p>
      <w:pPr>
        <w:spacing w:after="0" w:line="1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Credit Party covenants and agrees with Administrative Agent, Collateral Agent and Lenders that until the Obligations have been Paid in Full:</w:t>
      </w:r>
    </w:p>
    <w:p>
      <w:pPr>
        <w:spacing w:after="0" w:line="24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r>
        <w:rPr>
          <w:rFonts w:ascii="Arial" w:cs="Arial" w:eastAsia="Arial" w:hAnsi="Arial"/>
          <w:sz w:val="15"/>
          <w:szCs w:val="15"/>
          <w:color w:val="auto"/>
        </w:rPr>
        <w:t>.</w:t>
      </w:r>
    </w:p>
    <w:p>
      <w:pPr>
        <w:spacing w:after="0" w:line="229" w:lineRule="exact"/>
        <w:rPr>
          <w:sz w:val="20"/>
          <w:szCs w:val="20"/>
          <w:color w:val="auto"/>
        </w:rPr>
      </w:pPr>
    </w:p>
    <w:p>
      <w:pPr>
        <w:ind w:firstLine="656"/>
        <w:spacing w:after="0" w:line="277" w:lineRule="auto"/>
        <w:tabs>
          <w:tab w:leader="none" w:pos="108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Borrower and each Guarantor shall do or cause to be done all things necessary to preserve, renew and keep in full force and effect its legal existence, except in a transaction permitted by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108" w:name="page109"/>
    <w:bookmarkEnd w:id="108"/>
    <w:p>
      <w:pPr>
        <w:spacing w:after="0" w:line="47" w:lineRule="exact"/>
        <w:rPr>
          <w:sz w:val="20"/>
          <w:szCs w:val="20"/>
          <w:color w:val="auto"/>
        </w:rPr>
      </w:pPr>
    </w:p>
    <w:p>
      <w:pPr>
        <w:jc w:val="both"/>
        <w:ind w:firstLine="656"/>
        <w:spacing w:after="0" w:line="286" w:lineRule="auto"/>
        <w:tabs>
          <w:tab w:leader="none" w:pos="1079" w:val="left"/>
        </w:tabs>
        <w:numPr>
          <w:ilvl w:val="0"/>
          <w:numId w:val="117"/>
        </w:numPr>
        <w:rPr>
          <w:rFonts w:ascii="Arial" w:cs="Arial" w:eastAsia="Arial" w:hAnsi="Arial"/>
          <w:sz w:val="16"/>
          <w:szCs w:val="16"/>
          <w:color w:val="auto"/>
        </w:rPr>
      </w:pPr>
      <w:r>
        <w:rPr>
          <w:rFonts w:ascii="Arial" w:cs="Arial" w:eastAsia="Arial" w:hAnsi="Arial"/>
          <w:sz w:val="16"/>
          <w:szCs w:val="16"/>
          <w:color w:val="auto"/>
        </w:rPr>
        <w:t xml:space="preserve">Borrower and each Guarantor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nothing in this </w:t>
      </w:r>
      <w:r>
        <w:rPr>
          <w:rFonts w:ascii="Arial" w:cs="Arial" w:eastAsia="Arial" w:hAnsi="Arial"/>
          <w:sz w:val="16"/>
          <w:szCs w:val="16"/>
          <w:u w:val="single" w:color="auto"/>
          <w:color w:val="auto"/>
        </w:rPr>
        <w:t>Section 9.01(b)</w:t>
      </w:r>
      <w:r>
        <w:rPr>
          <w:rFonts w:ascii="Arial" w:cs="Arial" w:eastAsia="Arial" w:hAnsi="Arial"/>
          <w:sz w:val="16"/>
          <w:szCs w:val="16"/>
          <w:color w:val="auto"/>
        </w:rPr>
        <w:t xml:space="preserve"> shall prevent (i) sales, conveyances, transfers or other dispositions of assets, consolidations or mergers by or involving any Credit Party or any other transaction in accordance with </w:t>
      </w:r>
      <w:r>
        <w:rPr>
          <w:rFonts w:ascii="Arial" w:cs="Arial" w:eastAsia="Arial" w:hAnsi="Arial"/>
          <w:sz w:val="16"/>
          <w:szCs w:val="16"/>
          <w:u w:val="single" w:color="auto"/>
          <w:color w:val="auto"/>
        </w:rPr>
        <w:t>Section 10.05</w:t>
      </w:r>
      <w:r>
        <w:rPr>
          <w:rFonts w:ascii="Arial" w:cs="Arial" w:eastAsia="Arial" w:hAnsi="Arial"/>
          <w:sz w:val="16"/>
          <w:szCs w:val="16"/>
          <w:color w:val="auto"/>
        </w:rPr>
        <w:t>; (ii) the withdrawal by any Credit Party of its qualification as a foreign corporation in any jurisdiction where such withdrawal, individually or in the aggregate, would not reasonably be expected to result in a Material Adverse Effect; or (iii) the abandonment by any Credit Party of any rights, permits, authorizations, copyrights, trademarks, trade names, franchises, licenses and patents that such Credit Party reasonably determines are not useful to its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9.02. Insurance</w:t>
      </w:r>
      <w:r>
        <w:rPr>
          <w:rFonts w:ascii="Arial" w:cs="Arial" w:eastAsia="Arial" w:hAnsi="Arial"/>
          <w:sz w:val="18"/>
          <w:szCs w:val="18"/>
          <w:color w:val="auto"/>
        </w:rPr>
        <w:t>. The Credit Parties shall maintain with insurers of recognized financial responsibility (determined at the time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Guarantor operates; and furnish to Administrative Agent, upon written request, information as to the insurance carried;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Credit Parties shall not be required to maintain insurance with respect to wind and flood damage on any property for any insurance coverage period unless, and to the extent, such insurance is required by an applicable Requirement of Law.</w:t>
      </w:r>
    </w:p>
    <w:p>
      <w:pPr>
        <w:spacing w:after="0" w:line="18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9.03. Taxes</w:t>
      </w:r>
      <w:r>
        <w:rPr>
          <w:rFonts w:ascii="Arial" w:cs="Arial" w:eastAsia="Arial" w:hAnsi="Arial"/>
          <w:sz w:val="17"/>
          <w:szCs w:val="17"/>
          <w:color w:val="auto"/>
        </w:rPr>
        <w:t>. The Credit Parties shall timely file all Tax returns, statements, reports and forms required to be filed by it and pay and</w:t>
      </w:r>
      <w:r>
        <w:rPr>
          <w:rFonts w:ascii="Arial" w:cs="Arial" w:eastAsia="Arial" w:hAnsi="Arial"/>
          <w:sz w:val="17"/>
          <w:szCs w:val="17"/>
          <w:b w:val="1"/>
          <w:bCs w:val="1"/>
          <w:color w:val="auto"/>
        </w:rPr>
        <w:t xml:space="preserve"> </w:t>
      </w:r>
      <w:r>
        <w:rPr>
          <w:rFonts w:ascii="Arial" w:cs="Arial" w:eastAsia="Arial" w:hAnsi="Arial"/>
          <w:sz w:val="17"/>
          <w:szCs w:val="17"/>
          <w:color w:val="auto"/>
        </w:rPr>
        <w:t>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the Credit Parties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74"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7"/>
          <w:szCs w:val="17"/>
          <w:b w:val="1"/>
          <w:bCs w:val="1"/>
          <w:color w:val="auto"/>
        </w:rPr>
        <w:t xml:space="preserve">Financial Statements, Etc. </w:t>
      </w:r>
      <w:r>
        <w:rPr>
          <w:rFonts w:ascii="Arial" w:cs="Arial" w:eastAsia="Arial" w:hAnsi="Arial"/>
          <w:sz w:val="17"/>
          <w:szCs w:val="17"/>
          <w:color w:val="auto"/>
        </w:rPr>
        <w:t>Borrower shall deliver to Administrative Agent for distribution by Administrative Agent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Lenders (unless a Lender expressly declines in writing to accept):</w:t>
      </w:r>
    </w:p>
    <w:p>
      <w:pPr>
        <w:spacing w:after="0" w:line="207" w:lineRule="exact"/>
        <w:rPr>
          <w:sz w:val="20"/>
          <w:szCs w:val="20"/>
          <w:color w:val="auto"/>
        </w:rPr>
      </w:pPr>
    </w:p>
    <w:p>
      <w:pPr>
        <w:jc w:val="both"/>
        <w:ind w:firstLine="656"/>
        <w:spacing w:after="0" w:line="254" w:lineRule="auto"/>
        <w:tabs>
          <w:tab w:leader="none" w:pos="1055"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Quarterly Financials</w:t>
      </w:r>
      <w:r>
        <w:rPr>
          <w:rFonts w:ascii="Arial" w:cs="Arial" w:eastAsia="Arial" w:hAnsi="Arial"/>
          <w:sz w:val="18"/>
          <w:szCs w:val="18"/>
          <w:color w:val="auto"/>
        </w:rPr>
        <w:t>. As soon as available and in any event within 45 days after the end of each of the first three quarterly fiscal periods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fiscal year beginning with the fiscal quarter ending March 31, 2019 (x)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 and (y) the Supplemental Credit Party Financial Information for the period presented in the financial statements delivered pursuant to clause (x);</w:t>
      </w:r>
    </w:p>
    <w:p>
      <w:pPr>
        <w:spacing w:after="0" w:line="186" w:lineRule="exact"/>
        <w:rPr>
          <w:rFonts w:ascii="Arial" w:cs="Arial" w:eastAsia="Arial" w:hAnsi="Arial"/>
          <w:sz w:val="18"/>
          <w:szCs w:val="18"/>
          <w:color w:val="auto"/>
        </w:rPr>
      </w:pPr>
    </w:p>
    <w:p>
      <w:pPr>
        <w:jc w:val="both"/>
        <w:ind w:firstLine="656"/>
        <w:spacing w:after="0" w:line="290" w:lineRule="auto"/>
        <w:tabs>
          <w:tab w:leader="none" w:pos="1038"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Annual Financials</w:t>
      </w:r>
      <w:r>
        <w:rPr>
          <w:rFonts w:ascii="Arial" w:cs="Arial" w:eastAsia="Arial" w:hAnsi="Arial"/>
          <w:sz w:val="16"/>
          <w:szCs w:val="16"/>
          <w:color w:val="auto"/>
        </w:rPr>
        <w:t>. As soon as available and in any event within 90 days after the end of each fiscal year beginning with the fiscal year ending</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31, 2018 (x)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 and (y) the Supplemental Credit Party Financial Information for such fiscal year;</w:t>
      </w:r>
    </w:p>
    <w:p>
      <w:pPr>
        <w:spacing w:after="0" w:line="159" w:lineRule="exact"/>
        <w:rPr>
          <w:rFonts w:ascii="Arial" w:cs="Arial" w:eastAsia="Arial" w:hAnsi="Arial"/>
          <w:sz w:val="16"/>
          <w:szCs w:val="16"/>
          <w:color w:val="auto"/>
        </w:rPr>
      </w:pPr>
    </w:p>
    <w:p>
      <w:pPr>
        <w:jc w:val="both"/>
        <w:ind w:firstLine="656"/>
        <w:spacing w:after="0" w:line="314" w:lineRule="auto"/>
        <w:tabs>
          <w:tab w:leader="none" w:pos="1149"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Compliance Certificate</w:t>
      </w:r>
      <w:r>
        <w:rPr>
          <w:rFonts w:ascii="Arial" w:cs="Arial" w:eastAsia="Arial" w:hAnsi="Arial"/>
          <w:sz w:val="16"/>
          <w:szCs w:val="16"/>
          <w:color w:val="auto"/>
        </w:rPr>
        <w:t>. At the time Borrower furnishes each set of financial statements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9.04(b)</w:t>
      </w:r>
      <w:r>
        <w:rPr>
          <w:rFonts w:ascii="Arial" w:cs="Arial" w:eastAsia="Arial" w:hAnsi="Arial"/>
          <w:sz w:val="16"/>
          <w:szCs w:val="16"/>
          <w:color w:val="auto"/>
        </w:rPr>
        <w:t>, a certificate of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Responsible Officer of Borrower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to the effect that no Default has occurred and is continuing (or, if any Default has occurred and is continuing, describing the same in reasonable detail and describing the action that the Companies have taken and propose to take with respect thereto);</w:t>
      </w:r>
    </w:p>
    <w:p>
      <w:pPr>
        <w:spacing w:after="0" w:line="142" w:lineRule="exact"/>
        <w:rPr>
          <w:rFonts w:ascii="Arial" w:cs="Arial" w:eastAsia="Arial" w:hAnsi="Arial"/>
          <w:sz w:val="16"/>
          <w:szCs w:val="16"/>
          <w:color w:val="auto"/>
        </w:rPr>
      </w:pPr>
    </w:p>
    <w:p>
      <w:pPr>
        <w:jc w:val="both"/>
        <w:ind w:firstLine="656"/>
        <w:spacing w:after="0" w:line="266" w:lineRule="auto"/>
        <w:tabs>
          <w:tab w:leader="none" w:pos="1092"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Promptly after any Responsible Officer of any Company knows that any Default has occurred, a notice of such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or violation describing the same in reasonable detail and a description of the action that the Companies have taken and propose to take with respect thereto;</w:t>
      </w:r>
    </w:p>
    <w:p>
      <w:pPr>
        <w:spacing w:after="0" w:line="176" w:lineRule="exact"/>
        <w:rPr>
          <w:rFonts w:ascii="Arial" w:cs="Arial" w:eastAsia="Arial" w:hAnsi="Arial"/>
          <w:sz w:val="18"/>
          <w:szCs w:val="18"/>
          <w:color w:val="auto"/>
        </w:rPr>
      </w:pPr>
    </w:p>
    <w:p>
      <w:pPr>
        <w:ind w:right="20" w:firstLine="656"/>
        <w:spacing w:after="0" w:line="313" w:lineRule="auto"/>
        <w:tabs>
          <w:tab w:leader="none" w:pos="1095"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Environmental Matters</w:t>
      </w:r>
      <w:r>
        <w:rPr>
          <w:rFonts w:ascii="Arial" w:cs="Arial" w:eastAsia="Arial" w:hAnsi="Arial"/>
          <w:sz w:val="17"/>
          <w:szCs w:val="17"/>
          <w:color w:val="auto"/>
        </w:rPr>
        <w:t>. Written notice of any claim, release of Hazardous Material, condition, circumstance, occurrence or event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Environmental Law which would reasonably be expected to have, individually or in the aggregate, a Material Adverse Effect;</w:t>
      </w:r>
    </w:p>
    <w:p>
      <w:pPr>
        <w:spacing w:after="0" w:line="138" w:lineRule="exact"/>
        <w:rPr>
          <w:rFonts w:ascii="Arial" w:cs="Arial" w:eastAsia="Arial" w:hAnsi="Arial"/>
          <w:sz w:val="17"/>
          <w:szCs w:val="17"/>
          <w:color w:val="auto"/>
        </w:rPr>
      </w:pPr>
    </w:p>
    <w:p>
      <w:pPr>
        <w:jc w:val="both"/>
        <w:ind w:firstLine="656"/>
        <w:spacing w:after="0" w:line="271" w:lineRule="auto"/>
        <w:tabs>
          <w:tab w:leader="none" w:pos="1035" w:val="left"/>
        </w:tabs>
        <w:numPr>
          <w:ilvl w:val="0"/>
          <w:numId w:val="118"/>
        </w:numPr>
        <w:rPr>
          <w:rFonts w:ascii="Arial" w:cs="Arial" w:eastAsia="Arial" w:hAnsi="Arial"/>
          <w:sz w:val="17"/>
          <w:szCs w:val="17"/>
          <w:color w:val="auto"/>
        </w:rPr>
      </w:pPr>
      <w:r>
        <w:rPr>
          <w:rFonts w:ascii="Arial" w:cs="Arial" w:eastAsia="Arial" w:hAnsi="Arial"/>
          <w:sz w:val="17"/>
          <w:szCs w:val="17"/>
          <w:b w:val="1"/>
          <w:bCs w:val="1"/>
          <w:color w:val="auto"/>
        </w:rPr>
        <w:t>Annual Budgets</w:t>
      </w:r>
      <w:r>
        <w:rPr>
          <w:rFonts w:ascii="Arial" w:cs="Arial" w:eastAsia="Arial" w:hAnsi="Arial"/>
          <w:sz w:val="17"/>
          <w:szCs w:val="17"/>
          <w:color w:val="auto"/>
        </w:rPr>
        <w:t>. Beginning with the fiscal year of Borrower commencing on January 1, 2020, as soon as practicable and in any event within</w:t>
      </w:r>
      <w:r>
        <w:rPr>
          <w:rFonts w:ascii="Arial" w:cs="Arial" w:eastAsia="Arial" w:hAnsi="Arial"/>
          <w:sz w:val="17"/>
          <w:szCs w:val="17"/>
          <w:b w:val="1"/>
          <w:bCs w:val="1"/>
          <w:color w:val="auto"/>
        </w:rPr>
        <w:t xml:space="preserve"> </w:t>
      </w:r>
      <w:r>
        <w:rPr>
          <w:rFonts w:ascii="Arial" w:cs="Arial" w:eastAsia="Arial" w:hAnsi="Arial"/>
          <w:sz w:val="17"/>
          <w:szCs w:val="17"/>
          <w:color w:val="auto"/>
        </w:rPr>
        <w:t>10 days after the approval thereof by the Board of Directors of Borrower (but not later than 90 days after the beginning of each fiscal year of Borrower), a consolidated plan and financial forecast for such fiscal year, including a forecasted consolidated balance sheet and forecasted consolidated statements of income and cash flows of the Borrower and the Guarantors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74" w:lineRule="exact"/>
        <w:rPr>
          <w:rFonts w:ascii="Arial" w:cs="Arial" w:eastAsia="Arial" w:hAnsi="Arial"/>
          <w:sz w:val="17"/>
          <w:szCs w:val="17"/>
          <w:color w:val="auto"/>
        </w:rPr>
      </w:pPr>
    </w:p>
    <w:p>
      <w:pPr>
        <w:jc w:val="both"/>
        <w:ind w:firstLine="656"/>
        <w:spacing w:after="0" w:line="314" w:lineRule="auto"/>
        <w:tabs>
          <w:tab w:leader="none" w:pos="1079" w:val="left"/>
        </w:tabs>
        <w:numPr>
          <w:ilvl w:val="0"/>
          <w:numId w:val="118"/>
        </w:numPr>
        <w:rPr>
          <w:rFonts w:ascii="Arial" w:cs="Arial" w:eastAsia="Arial" w:hAnsi="Arial"/>
          <w:sz w:val="16"/>
          <w:szCs w:val="16"/>
          <w:color w:val="auto"/>
        </w:rPr>
      </w:pPr>
      <w:r>
        <w:rPr>
          <w:rFonts w:ascii="Arial" w:cs="Arial" w:eastAsia="Arial" w:hAnsi="Arial"/>
          <w:sz w:val="16"/>
          <w:szCs w:val="16"/>
          <w:b w:val="1"/>
          <w:bCs w:val="1"/>
          <w:color w:val="auto"/>
        </w:rPr>
        <w:t>Auditors’ Reports</w:t>
      </w:r>
      <w:r>
        <w:rPr>
          <w:rFonts w:ascii="Arial" w:cs="Arial" w:eastAsia="Arial" w:hAnsi="Arial"/>
          <w:sz w:val="16"/>
          <w:szCs w:val="16"/>
          <w:color w:val="auto"/>
        </w:rPr>
        <w:t>. Promptly upon receipt thereof, copies of all annual, interim or special reports issued to any Credit Party by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public accountants in connection with each annual, interim or special audit of such Credit Party’s books made by such accountants, including any management letter commenting on such Credit Party’s internal controls issued by such accountants to management in connection with their annual audit;</w:t>
      </w:r>
    </w:p>
    <w:p>
      <w:pPr>
        <w:sectPr>
          <w:pgSz w:w="11900" w:h="16885" w:orient="portrait"/>
          <w:cols w:equalWidth="0" w:num="1">
            <w:col w:w="11420"/>
          </w:cols>
          <w:pgMar w:left="240" w:top="193" w:right="239" w:bottom="0" w:gutter="0" w:footer="0" w:header="0"/>
        </w:sectPr>
      </w:pPr>
    </w:p>
    <w:bookmarkStart w:id="109" w:name="page110"/>
    <w:bookmarkEnd w:id="109"/>
    <w:p>
      <w:pPr>
        <w:spacing w:after="0" w:line="277"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such reports shall only be made available to Administrative Agent and to those Lenders who request such reports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w:t>
      </w:r>
    </w:p>
    <w:p>
      <w:pPr>
        <w:spacing w:after="0" w:line="166" w:lineRule="exact"/>
        <w:rPr>
          <w:sz w:val="20"/>
          <w:szCs w:val="20"/>
          <w:color w:val="auto"/>
        </w:rPr>
      </w:pPr>
    </w:p>
    <w:p>
      <w:pPr>
        <w:jc w:val="both"/>
        <w:ind w:firstLine="656"/>
        <w:spacing w:after="0" w:line="261" w:lineRule="auto"/>
        <w:tabs>
          <w:tab w:leader="none" w:pos="1106"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Perfection Certificate Updates</w:t>
      </w:r>
      <w:r>
        <w:rPr>
          <w:rFonts w:ascii="Arial" w:cs="Arial" w:eastAsia="Arial" w:hAnsi="Arial"/>
          <w:sz w:val="18"/>
          <w:szCs w:val="18"/>
          <w:color w:val="auto"/>
        </w:rPr>
        <w:t>. Each year, at the time of delivery of annual financial statements with respect to the preceding fiscal year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9.04(b)</w:t>
      </w:r>
      <w:r>
        <w:rPr>
          <w:rFonts w:ascii="Arial" w:cs="Arial" w:eastAsia="Arial" w:hAnsi="Arial"/>
          <w:sz w:val="18"/>
          <w:szCs w:val="18"/>
          <w:color w:val="auto"/>
        </w:rPr>
        <w:t xml:space="preserve">, a certificate of a Responsible Officer of Borrower setting forth the information required pursuant to the Perfection Certificate or confirming that there has been no change in such information since the date of the Initial Perfection Certificate or the date of the most recent certificate delivered pursuant to this </w:t>
      </w:r>
      <w:r>
        <w:rPr>
          <w:rFonts w:ascii="Arial" w:cs="Arial" w:eastAsia="Arial" w:hAnsi="Arial"/>
          <w:sz w:val="18"/>
          <w:szCs w:val="18"/>
          <w:u w:val="single" w:color="auto"/>
          <w:color w:val="auto"/>
        </w:rPr>
        <w:t>Section 9.04(h)</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ind w:firstLine="656"/>
        <w:spacing w:after="0" w:line="282" w:lineRule="auto"/>
        <w:tabs>
          <w:tab w:leader="none" w:pos="101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Notice of Material Adverse Effect</w:t>
      </w:r>
      <w:r>
        <w:rPr>
          <w:rFonts w:ascii="Arial" w:cs="Arial" w:eastAsia="Arial" w:hAnsi="Arial"/>
          <w:sz w:val="18"/>
          <w:szCs w:val="18"/>
          <w:color w:val="auto"/>
        </w:rPr>
        <w:t>. Written notice of the occurrence of any event or occurrence that has had or would reasonably be expected</w:t>
      </w:r>
      <w:r>
        <w:rPr>
          <w:rFonts w:ascii="Arial" w:cs="Arial" w:eastAsia="Arial" w:hAnsi="Arial"/>
          <w:sz w:val="18"/>
          <w:szCs w:val="18"/>
          <w:b w:val="1"/>
          <w:bCs w:val="1"/>
          <w:color w:val="auto"/>
        </w:rPr>
        <w:t xml:space="preserve"> </w:t>
      </w:r>
      <w:r>
        <w:rPr>
          <w:rFonts w:ascii="Arial" w:cs="Arial" w:eastAsia="Arial" w:hAnsi="Arial"/>
          <w:sz w:val="18"/>
          <w:szCs w:val="18"/>
          <w:color w:val="auto"/>
        </w:rPr>
        <w:t>to have a Material Adverse Effect;</w:t>
      </w:r>
    </w:p>
    <w:p>
      <w:pPr>
        <w:spacing w:after="0" w:line="161" w:lineRule="exact"/>
        <w:rPr>
          <w:rFonts w:ascii="Arial" w:cs="Arial" w:eastAsia="Arial" w:hAnsi="Arial"/>
          <w:sz w:val="18"/>
          <w:szCs w:val="18"/>
          <w:color w:val="auto"/>
        </w:rPr>
      </w:pPr>
    </w:p>
    <w:p>
      <w:pPr>
        <w:jc w:val="both"/>
        <w:ind w:firstLine="656"/>
        <w:spacing w:after="0" w:line="261" w:lineRule="auto"/>
        <w:tabs>
          <w:tab w:leader="none" w:pos="1093"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w:t>
      </w:r>
    </w:p>
    <w:p>
      <w:pPr>
        <w:spacing w:after="0" w:line="180" w:lineRule="exact"/>
        <w:rPr>
          <w:rFonts w:ascii="Arial" w:cs="Arial" w:eastAsia="Arial" w:hAnsi="Arial"/>
          <w:sz w:val="18"/>
          <w:szCs w:val="18"/>
          <w:color w:val="auto"/>
        </w:rPr>
      </w:pPr>
    </w:p>
    <w:p>
      <w:pPr>
        <w:ind w:firstLine="656"/>
        <w:spacing w:after="0" w:line="282" w:lineRule="auto"/>
        <w:tabs>
          <w:tab w:leader="none" w:pos="1092"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Notice of Change in Beneficial Ownership</w:t>
      </w:r>
      <w:r>
        <w:rPr>
          <w:rFonts w:ascii="Arial" w:cs="Arial" w:eastAsia="Arial" w:hAnsi="Arial"/>
          <w:sz w:val="18"/>
          <w:szCs w:val="18"/>
          <w:color w:val="auto"/>
        </w:rPr>
        <w:t>. any change in the information provided in the Beneficial Ownership Certification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such Lender that would result in a change to the list of beneficial owners identified in such certification; and</w:t>
      </w:r>
    </w:p>
    <w:p>
      <w:pPr>
        <w:spacing w:after="0" w:line="161" w:lineRule="exact"/>
        <w:rPr>
          <w:rFonts w:ascii="Arial" w:cs="Arial" w:eastAsia="Arial" w:hAnsi="Arial"/>
          <w:sz w:val="18"/>
          <w:szCs w:val="18"/>
          <w:color w:val="auto"/>
        </w:rPr>
      </w:pPr>
    </w:p>
    <w:p>
      <w:pPr>
        <w:jc w:val="both"/>
        <w:ind w:firstLine="656"/>
        <w:spacing w:after="0" w:line="261" w:lineRule="auto"/>
        <w:tabs>
          <w:tab w:leader="none" w:pos="1133"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(x) financial information, reports, documents and other information with respect to any Credit Party as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Agent or the Required Lenders may from time to time reasonably request and (y) information and documentation reasonably requested by the Administrative Agent or any Lender for purposes of compliance with applicable “know your customer” and anti-money laundering rules and regulations, including the Patriot Act and the Beneficial Ownership Regulation;</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9.04</w:t>
      </w:r>
      <w:r>
        <w:rPr>
          <w:rFonts w:ascii="Arial" w:cs="Arial" w:eastAsia="Arial" w:hAnsi="Arial"/>
          <w:sz w:val="18"/>
          <w:szCs w:val="18"/>
          <w:i w:val="1"/>
          <w:iCs w:val="1"/>
          <w:color w:val="auto"/>
        </w:rPr>
        <w:t xml:space="preserve"> </w:t>
      </w:r>
      <w:r>
        <w:rPr>
          <w:rFonts w:ascii="Arial" w:cs="Arial" w:eastAsia="Arial" w:hAnsi="Arial"/>
          <w:sz w:val="18"/>
          <w:szCs w:val="18"/>
          <w:color w:val="auto"/>
        </w:rPr>
        <w:t>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Reports and documents required to be delivered pursuant to </w:t>
      </w:r>
      <w:r>
        <w:rPr>
          <w:rFonts w:ascii="Arial" w:cs="Arial" w:eastAsia="Arial" w:hAnsi="Arial"/>
          <w:sz w:val="16"/>
          <w:szCs w:val="16"/>
          <w:u w:val="single" w:color="auto"/>
          <w:color w:val="auto"/>
        </w:rPr>
        <w:t>Section 9.04</w:t>
      </w:r>
      <w:r>
        <w:rPr>
          <w:rFonts w:ascii="Arial" w:cs="Arial" w:eastAsia="Arial" w:hAnsi="Arial"/>
          <w:sz w:val="16"/>
          <w:szCs w:val="16"/>
          <w:color w:val="auto"/>
        </w:rPr>
        <w:t xml:space="preserve">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w:t>
      </w:r>
      <w:r>
        <w:rPr>
          <w:rFonts w:ascii="Arial" w:cs="Arial" w:eastAsia="Arial" w:hAnsi="Arial"/>
          <w:sz w:val="16"/>
          <w:szCs w:val="16"/>
          <w:u w:val="single" w:color="auto"/>
          <w:color w:val="auto"/>
        </w:rPr>
        <w:t>Section 13.02</w:t>
      </w:r>
      <w:r>
        <w:rPr>
          <w:rFonts w:ascii="Arial" w:cs="Arial" w:eastAsia="Arial" w:hAnsi="Arial"/>
          <w:sz w:val="16"/>
          <w:szCs w:val="16"/>
          <w:color w:val="auto"/>
        </w:rPr>
        <w:t>; or</w:t>
      </w:r>
    </w:p>
    <w:p>
      <w:pPr>
        <w:jc w:val="both"/>
        <w:ind w:firstLine="8"/>
        <w:spacing w:after="0" w:line="252" w:lineRule="auto"/>
        <w:tabs>
          <w:tab w:leader="none" w:pos="30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w:t>
      </w:r>
      <w:r>
        <w:rPr>
          <w:rFonts w:ascii="Arial" w:cs="Arial" w:eastAsia="Arial" w:hAnsi="Arial"/>
          <w:sz w:val="18"/>
          <w:szCs w:val="18"/>
          <w:u w:val="single" w:color="auto"/>
          <w:color w:val="auto"/>
        </w:rPr>
        <w:t>Section 9.04(c)</w:t>
      </w:r>
      <w:r>
        <w:rPr>
          <w:rFonts w:ascii="Arial" w:cs="Arial" w:eastAsia="Arial" w:hAnsi="Arial"/>
          <w:sz w:val="18"/>
          <w:szCs w:val="18"/>
          <w:color w:val="auto"/>
        </w:rPr>
        <w:t xml:space="preserve"> to Administrative Agent in the form of an original paper copy or a .pdf or facsimile copy of the original paper copy.</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Borrower hereby acknowledges that (a) Administrative Agent will make available to the Lenders materials and/or information provided by or on behalf of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Borrower Materials on IntraLinks/IntraAgency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w:t>
      </w:r>
      <w:r>
        <w:rPr>
          <w:rFonts w:ascii="Arial" w:cs="Arial" w:eastAsia="Arial" w:hAnsi="Arial"/>
          <w:sz w:val="16"/>
          <w:szCs w:val="16"/>
          <w:u w:val="single" w:color="auto"/>
          <w:color w:val="auto"/>
        </w:rPr>
        <w:t>Section 13.10</w:t>
      </w:r>
      <w:r>
        <w:rPr>
          <w:rFonts w:ascii="Arial" w:cs="Arial" w:eastAsia="Arial" w:hAnsi="Arial"/>
          <w:sz w:val="16"/>
          <w:szCs w:val="16"/>
          <w:color w:val="auto"/>
        </w:rPr>
        <w:t xml:space="preserve">, they shall be treated as set forth in </w:t>
      </w:r>
      <w:r>
        <w:rPr>
          <w:rFonts w:ascii="Arial" w:cs="Arial" w:eastAsia="Arial" w:hAnsi="Arial"/>
          <w:sz w:val="16"/>
          <w:szCs w:val="16"/>
          <w:u w:val="single" w:color="auto"/>
          <w:color w:val="auto"/>
        </w:rPr>
        <w:t>Section 13.10</w:t>
      </w:r>
      <w:r>
        <w:rPr>
          <w:rFonts w:ascii="Arial" w:cs="Arial" w:eastAsia="Arial" w:hAnsi="Arial"/>
          <w:sz w:val="16"/>
          <w:szCs w:val="16"/>
          <w:color w:val="auto"/>
        </w:rPr>
        <w:t>);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SECTION 9.05. Maintaining Records; Access to Properties and Inspections</w:t>
      </w:r>
      <w:r>
        <w:rPr>
          <w:rFonts w:ascii="Arial" w:cs="Arial" w:eastAsia="Arial" w:hAnsi="Arial"/>
          <w:sz w:val="16"/>
          <w:szCs w:val="16"/>
          <w:color w:val="auto"/>
        </w:rPr>
        <w:t>. The Credit Parties shall keep proper books of record and account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which entries true and correct in all material respects and in material conformity with GAAP and all material Requirements of Law are made. The Credit Parties will, subject to applicable Gaming Laws, permit any representatives designated by Administrative Agent to visit and inspect the financial records and the property of the Credit Parties at reasonable times, upon reasonable notice and as often as reasonably requested, and permit any representatives designated by Administrative Agent to discuss the affairs, finances and condition of such Credit Parties with the officers thereof and independent accountants therefor (provided Borrower has the opportunity to participate in such meetings);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9.06. Use of Proceeds; FCPA</w:t>
      </w:r>
      <w:r>
        <w:rPr>
          <w:rFonts w:ascii="Arial" w:cs="Arial" w:eastAsia="Arial" w:hAnsi="Arial"/>
          <w:sz w:val="17"/>
          <w:szCs w:val="17"/>
          <w:color w:val="auto"/>
        </w:rPr>
        <w:t>. Borrower shall use the proceeds of the Loans only for the purposes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8.11</w:t>
      </w:r>
      <w:r>
        <w:rPr>
          <w:rFonts w:ascii="Arial" w:cs="Arial" w:eastAsia="Arial" w:hAnsi="Arial"/>
          <w:sz w:val="17"/>
          <w:szCs w:val="17"/>
          <w:color w:val="auto"/>
        </w:rPr>
        <w:t>. No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proceeds of the Loans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ectPr>
          <w:pgSz w:w="11900" w:h="16838" w:orient="portrait"/>
          <w:cols w:equalWidth="0" w:num="1">
            <w:col w:w="11420"/>
          </w:cols>
          <w:pgMar w:left="240" w:top="125" w:right="239" w:bottom="124" w:gutter="0" w:footer="0" w:header="0"/>
        </w:sectPr>
      </w:pPr>
    </w:p>
    <w:bookmarkStart w:id="110" w:name="page111"/>
    <w:bookmarkEnd w:id="110"/>
    <w:p>
      <w:pPr>
        <w:jc w:val="both"/>
        <w:ind w:firstLine="648"/>
        <w:spacing w:after="0" w:line="285" w:lineRule="auto"/>
        <w:rPr>
          <w:sz w:val="20"/>
          <w:szCs w:val="20"/>
          <w:color w:val="auto"/>
        </w:rPr>
      </w:pPr>
      <w:r>
        <w:rPr>
          <w:rFonts w:ascii="Arial" w:cs="Arial" w:eastAsia="Arial" w:hAnsi="Arial"/>
          <w:sz w:val="16"/>
          <w:szCs w:val="16"/>
          <w:b w:val="1"/>
          <w:bCs w:val="1"/>
          <w:color w:val="auto"/>
        </w:rPr>
        <w:t>SECTION 9.07. Compliance with Environmental Law</w:t>
      </w:r>
      <w:r>
        <w:rPr>
          <w:rFonts w:ascii="Arial" w:cs="Arial" w:eastAsia="Arial" w:hAnsi="Arial"/>
          <w:sz w:val="16"/>
          <w:szCs w:val="16"/>
          <w:color w:val="auto"/>
        </w:rPr>
        <w:t>. The Credit Parties shall (a) comply with Environmental Law, and will keep or cause 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Real Property of the Credit Parties to be kept free of any Liens imposed under Environmental Law, unless, in each case, failure to do so would not reasonably be expected to have a Material Adverse Effect; (b) in the event of any Hazardous Material at, on, under or emanating from any such Real Property which could result in liability under or a violation of any Environmental Law, in each case which would reasonably be expected to have a Material Adverse Effect, undertake, and/or cause any of their respective tenants or occupants to undertake, at no cost or expense to Administrative Agent, Collateral Agent or any Lender, an appropriate response (as reasonably determined by Borrower)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any Credit Party,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request may be made only if (i) there has occurred and is continuing an Event of Default, or (ii) circumstances exist that reasonably could be expected to form the basis of an Environmental Action against any Credit Party or any Real Property of any Credit Party which would reasonably be expected to have a Material Adverse Effect; if any Credit Party fails to provide the same within sixty (60) days after such request was made (or in such longer period as may be approved by Administrative Agent, in its reasonable discretion), Administrative Agent may but is under no obligation to conduct the same, and the Credit Parties shall grant and hereby grant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6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9.09. Security Interests; Further Assurances</w:t>
      </w:r>
      <w:r>
        <w:rPr>
          <w:rFonts w:ascii="Arial" w:cs="Arial" w:eastAsia="Arial" w:hAnsi="Arial"/>
          <w:sz w:val="16"/>
          <w:szCs w:val="16"/>
          <w:color w:val="auto"/>
        </w:rPr>
        <w:t>. Each Credit Party shall, promptly, upon the reasonable request of Collateral Agent, and</w:t>
      </w:r>
      <w:r>
        <w:rPr>
          <w:rFonts w:ascii="Arial" w:cs="Arial" w:eastAsia="Arial" w:hAnsi="Arial"/>
          <w:sz w:val="16"/>
          <w:szCs w:val="16"/>
          <w:b w:val="1"/>
          <w:bCs w:val="1"/>
          <w:color w:val="auto"/>
        </w:rPr>
        <w:t xml:space="preserve"> </w:t>
      </w:r>
      <w:r>
        <w:rPr>
          <w:rFonts w:ascii="Arial" w:cs="Arial" w:eastAsia="Arial" w:hAnsi="Arial"/>
          <w:sz w:val="16"/>
          <w:szCs w:val="16"/>
          <w:color w:val="auto"/>
        </w:rPr>
        <w:t>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Pledge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the Credit Parties shall use commercially reasonable efforts to promptly execute and deliver all applications, certifications, instruments and other documents and papers that Collateral Agent or the Lenders may be so required to obtain.</w:t>
      </w:r>
    </w:p>
    <w:p>
      <w:pPr>
        <w:spacing w:after="0" w:line="1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9.10.</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9.11. Additional Credit Parties</w:t>
      </w:r>
      <w:r>
        <w:rPr>
          <w:rFonts w:ascii="Arial" w:cs="Arial" w:eastAsia="Arial" w:hAnsi="Arial"/>
          <w:sz w:val="16"/>
          <w:szCs w:val="16"/>
          <w:color w:val="auto"/>
        </w:rPr>
        <w:t>. At the direction of Borrower by written notice to Administrative Agent that Borrower has elected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its sole discretion to subject any direct Wholly Owned Subsidiary of the Borrower or any other Credit Party to this </w:t>
      </w:r>
      <w:r>
        <w:rPr>
          <w:rFonts w:ascii="Arial" w:cs="Arial" w:eastAsia="Arial" w:hAnsi="Arial"/>
          <w:sz w:val="16"/>
          <w:szCs w:val="16"/>
          <w:u w:val="single" w:color="auto"/>
          <w:color w:val="auto"/>
        </w:rPr>
        <w:t>Section 9.11</w:t>
      </w:r>
      <w:r>
        <w:rPr>
          <w:rFonts w:ascii="Arial" w:cs="Arial" w:eastAsia="Arial" w:hAnsi="Arial"/>
          <w:sz w:val="16"/>
          <w:szCs w:val="16"/>
          <w:color w:val="auto"/>
        </w:rPr>
        <w:t xml:space="preserve"> (any such Wholly Owned Subsidiary, an “</w:t>
      </w:r>
      <w:r>
        <w:rPr>
          <w:rFonts w:ascii="Arial" w:cs="Arial" w:eastAsia="Arial" w:hAnsi="Arial"/>
          <w:sz w:val="16"/>
          <w:szCs w:val="16"/>
          <w:b w:val="1"/>
          <w:bCs w:val="1"/>
          <w:color w:val="auto"/>
        </w:rPr>
        <w:t>Additional Credit Party</w:t>
      </w:r>
      <w:r>
        <w:rPr>
          <w:rFonts w:ascii="Arial" w:cs="Arial" w:eastAsia="Arial" w:hAnsi="Arial"/>
          <w:sz w:val="16"/>
          <w:szCs w:val="16"/>
          <w:color w:val="auto"/>
        </w:rPr>
        <w:t>”), (a) Borrower shall cause such Additional Credit Party to, assuming and to the extent that it does not violate any Gaming Law or assuming and to the extent it obtains the approval of the Gaming Authority to the extent such approval is required by applicable Gaming Laws execute and deliver all such agreements, guarantees, documents and certificates (including Joinder Agreements, any amendments to the Credit Documents, lien searches and a Perfection Certificate) as Administrative Agent may reasonably request in order to have such Additional Credit Party become a Guarantor and (b) the applicable Credit Party shall (i) execute and deliver to Collateral Agent such amendments to or additional Security Documents and take all actions required thereunder as Collateral Agent deems necessary or advisable in order to grant to Collateral Agent for the benefit of the Secured Parties, a perfected security interest in the Equity Interests of such Additional Credit Party which are owned by such Credit Party, (ii) deliver to Collateral Agent the certificates (if any) representing such Equity Interests together with in the case of such Equity Interests, undated stock powers endorsed in blank, and (iii) cause to be delivered to Collateral Agent all legal opinions reasonably requested by Collateral Agent with respect to such Additional Credit Party relating to the matters described above covering matters similar to those covered in the opinions delivered on the Closing Date.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Notwithstanding the foregoing in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to the contrary, it is understood and agreed that no Lien(s) and/or Guarantee of the applicable Additional Credit Party shall be granted or delivered as provided in the paragraph above in this </w:t>
      </w:r>
      <w:r>
        <w:rPr>
          <w:rFonts w:ascii="Arial" w:cs="Arial" w:eastAsia="Arial" w:hAnsi="Arial"/>
          <w:sz w:val="18"/>
          <w:szCs w:val="18"/>
          <w:u w:val="single" w:color="auto"/>
          <w:color w:val="auto"/>
        </w:rPr>
        <w:t>Section 9.11</w:t>
      </w:r>
      <w:r>
        <w:rPr>
          <w:rFonts w:ascii="Arial" w:cs="Arial" w:eastAsia="Arial" w:hAnsi="Arial"/>
          <w:sz w:val="18"/>
          <w:szCs w:val="18"/>
          <w:color w:val="auto"/>
        </w:rPr>
        <w:t xml:space="preserve"> as a result of such Lien(s) and/or Guarantee being prohibited by (i) the applicable Gaming Authorities, any other applicable Governmental Authorities or applicable Law; provided, however, that Borrower has used its commercially reasonable efforts to obtain such approvals for such Lien(s) and/or Guarantee or (ii) any Contractual Obligation (except to the extent superseded by the applicable provisions of the UCC).</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9.12. Ratings</w:t>
      </w:r>
      <w:r>
        <w:rPr>
          <w:rFonts w:ascii="Arial" w:cs="Arial" w:eastAsia="Arial" w:hAnsi="Arial"/>
          <w:sz w:val="18"/>
          <w:szCs w:val="18"/>
          <w:color w:val="auto"/>
        </w:rPr>
        <w:t>. Borrower shall use commercially reasonable efforts to maintain ratings from each of Moody’s and S&amp;P for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Loans.</w:t>
      </w: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Each Credit Party covenants and agrees with the Administrative Agent, Collateral Agent, and Lenders that until the Obligations have been Paid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Full:</w:t>
      </w:r>
    </w:p>
    <w:p>
      <w:pPr>
        <w:spacing w:after="0" w:line="20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No Credit Party will incur any Indebtedness, except:</w:t>
      </w:r>
    </w:p>
    <w:p>
      <w:pPr>
        <w:spacing w:after="0" w:line="229" w:lineRule="exact"/>
        <w:rPr>
          <w:sz w:val="20"/>
          <w:szCs w:val="20"/>
          <w:color w:val="auto"/>
        </w:rPr>
      </w:pPr>
    </w:p>
    <w:p>
      <w:pPr>
        <w:ind w:left="1040" w:hanging="384"/>
        <w:spacing w:after="0"/>
        <w:tabs>
          <w:tab w:leader="none" w:pos="1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Indebtedness incurred pursuant to this Agreement and the other Credit Documents;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and any Permitted Refinancings thereof;</w:t>
      </w:r>
    </w:p>
    <w:p>
      <w:pPr>
        <w:sectPr>
          <w:pgSz w:w="11900" w:h="16838" w:orient="portrait"/>
          <w:cols w:equalWidth="0" w:num="1">
            <w:col w:w="11420"/>
          </w:cols>
          <w:pgMar w:left="240" w:top="121" w:right="239" w:bottom="0" w:gutter="0" w:footer="0" w:header="0"/>
        </w:sectPr>
      </w:pPr>
    </w:p>
    <w:bookmarkStart w:id="111" w:name="page112"/>
    <w:bookmarkEnd w:id="111"/>
    <w:p>
      <w:pPr>
        <w:ind w:right="20" w:firstLine="656"/>
        <w:spacing w:after="0" w:line="277" w:lineRule="auto"/>
        <w:tabs>
          <w:tab w:leader="none" w:pos="109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Indebtedness under any Swap Contracts (including, without limitation, any Interest Rate Protection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Swap Contracts are entered into for bona fide hedging activities and not for speculative purposes;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intercompany Indebtedness of a Credit Party to another Credit Party;</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55"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the Credit Parties in the ordinary course of its business (including to support Borrower’s or any of the Guarantors’ performance obligations, trade letters of credit and applications for Gaming Licenses or for the purposes referenced in this clause (e));</w:t>
      </w:r>
    </w:p>
    <w:p>
      <w:pPr>
        <w:spacing w:after="0" w:line="186" w:lineRule="exact"/>
        <w:rPr>
          <w:rFonts w:ascii="Arial" w:cs="Arial" w:eastAsia="Arial" w:hAnsi="Arial"/>
          <w:sz w:val="18"/>
          <w:szCs w:val="18"/>
          <w:color w:val="auto"/>
        </w:rPr>
      </w:pPr>
    </w:p>
    <w:p>
      <w:pPr>
        <w:ind w:firstLine="656"/>
        <w:spacing w:after="0" w:line="342" w:lineRule="auto"/>
        <w:tabs>
          <w:tab w:leader="none" w:pos="102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Indebtedness is extinguished within five (5) Business Days of its incurrence;</w:t>
      </w:r>
    </w:p>
    <w:p>
      <w:pPr>
        <w:spacing w:after="0" w:line="123" w:lineRule="exact"/>
        <w:rPr>
          <w:rFonts w:ascii="Arial" w:cs="Arial" w:eastAsia="Arial" w:hAnsi="Arial"/>
          <w:sz w:val="16"/>
          <w:szCs w:val="16"/>
          <w:color w:val="auto"/>
        </w:rPr>
      </w:pPr>
    </w:p>
    <w:p>
      <w:pPr>
        <w:ind w:firstLine="656"/>
        <w:spacing w:after="0" w:line="277" w:lineRule="auto"/>
        <w:tabs>
          <w:tab w:leader="none" w:pos="103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Indebtedness (other than Indebtedness referred to in </w:t>
      </w:r>
      <w:r>
        <w:rPr>
          <w:rFonts w:ascii="Arial" w:cs="Arial" w:eastAsia="Arial" w:hAnsi="Arial"/>
          <w:sz w:val="18"/>
          <w:szCs w:val="18"/>
          <w:u w:val="single" w:color="auto"/>
          <w:color w:val="auto"/>
        </w:rPr>
        <w:t>Section 10.01(b)</w:t>
      </w:r>
      <w:r>
        <w:rPr>
          <w:rFonts w:ascii="Arial" w:cs="Arial" w:eastAsia="Arial" w:hAnsi="Arial"/>
          <w:sz w:val="18"/>
          <w:szCs w:val="18"/>
          <w:color w:val="auto"/>
        </w:rPr>
        <w:t>) in respect of Purchase Money Obligations and Capital Lease Obligations and refinancings or renewals thereof in an aggregate principal amount not to exceed at any time outstanding $50.0 million</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 xml:space="preserve">guarantees by a Credit Party of Indebtedness otherwise permitted to be incurred by a Credit Party under this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69" w:lineRule="auto"/>
        <w:tabs>
          <w:tab w:leader="none" w:pos="998"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 Permitted Unsecured Indebtedness and Permitted Second Lien Indebtedness, so long as (x) in the case of Permitted Unsecured Indebtedness, the Consolidated Total Leverage Ratio shall not exceed 5.00 to 1.00 on a Pro Forma Basis as of the most recent Calculation Date, (y) in the case of Permitted Second Lien Indebtedness, the Consolidated Secured Leverage Ratio shall not exceed 5.00 to 1.00 on a Pro Forma Basis as of the most recent Calculation Date and (z) no Event of Default shall have occurred and be continuing after giving effect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Permitted Unsecured Indebtedness or Permitted Second Lien Indebtedness the proceeds of which are used primarily to fund a Limited Condition Transaction substantially concurrently upon the receipt thereof (including repayment of Indebtedness of the Person acquired, or that is secured by the assets acquired, in such Permitted Acquisition or other Acquisition), the absence of an Event of Default shall not constitute a condition to the issuance or incurrence of such Permitted Unsecured Indebtedness or Permitted Second Lien Indebtedness) and (ii) Permitted Refinancings of any Indebtedness incurred pursuant to clause (i) so long as (x) in the case of Permitted Refinancings of Permitted Second Lien Indebtedness, such Permitted Refinancings qualify as either Permitted Second Lien Indebtedness or Permitted Unsecured Indebtedness or (y) in the case of Permitted Refinancings of Permitted Unsecured Indebtedness, such Permitted Refinancings qualify as Permitted Unsecured Indebtedness;</w:t>
      </w:r>
    </w:p>
    <w:p>
      <w:pPr>
        <w:spacing w:after="0" w:line="182" w:lineRule="exact"/>
        <w:rPr>
          <w:rFonts w:ascii="Arial" w:cs="Arial" w:eastAsia="Arial" w:hAnsi="Arial"/>
          <w:sz w:val="17"/>
          <w:szCs w:val="17"/>
          <w:color w:val="auto"/>
        </w:rPr>
      </w:pPr>
    </w:p>
    <w:p>
      <w:pPr>
        <w:jc w:val="both"/>
        <w:ind w:firstLine="656"/>
        <w:spacing w:after="0" w:line="286" w:lineRule="auto"/>
        <w:tabs>
          <w:tab w:leader="none" w:pos="1052"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 Permitted First Lien Indebtedness, so long as (x) the Consolidated First Lien Secured Leverage Ratio shall not exceed 4.00 to 1.00 on a Pro Forma Basis as of the most recent Calculation Date and (y) no Event of Default shall have occurred and be continuing after giving effect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Permitted First Lien Indebtedness the proceeds of which are used primarily to fund a Limited Condition Transaction substantially concurrently upon the receipt thereof (including repayment of Indebtedness of the Person acquired, or that is secured by the assets acquired, in such Permitted Acquisition or other Acquisition), the absence of an Event of Default shall not constitute a condition to the issuance or incurrence of such Permitted First Lien Indebtedness), and (ii) Permitted Refinancings of any Indebtedness incurred pursuant to clause (i) so long as such Permitted Refinancings qualify as Permitted First Lien Indebtedness, Permitted Second Lien Indebtedness, or Permitted Unsecured Indebtedness; provided further that while the yield applicable to Indebtedness permitted pursuant to this clause (k) shall be determined by Borrower and the applicable lenders thereunder, in the case of any such Indebtedness issued within twelve (12) months after the Closing Date, if the All-In Yield applicable to such Indebtedness having a final maturity date no earlier than the Term Facility Maturity Date and a Weighted Average Life to Maturity no shorter than the Term Facility Loans is greater than the All-In Yield payable pursuant to the terms of this Agreement as amended through the date of such calculation with respect to Term Facility Loans, </w:t>
      </w:r>
      <w:r>
        <w:rPr>
          <w:rFonts w:ascii="Arial" w:cs="Arial" w:eastAsia="Arial" w:hAnsi="Arial"/>
          <w:sz w:val="16"/>
          <w:szCs w:val="16"/>
          <w:i w:val="1"/>
          <w:iCs w:val="1"/>
          <w:color w:val="auto"/>
        </w:rPr>
        <w:t>plus</w:t>
      </w:r>
      <w:r>
        <w:rPr>
          <w:rFonts w:ascii="Arial" w:cs="Arial" w:eastAsia="Arial" w:hAnsi="Arial"/>
          <w:sz w:val="16"/>
          <w:szCs w:val="16"/>
          <w:color w:val="auto"/>
        </w:rPr>
        <w:t xml:space="preserve"> 50 basis points per annum, then the interest rate with respect to the Term Facility Loans shall be increased so as to cause the then applicable All-In Yield under this Agreement on the Term Facility Loans to equal the All-In Yield then applicable to such Indebtedness, </w:t>
      </w:r>
      <w:r>
        <w:rPr>
          <w:rFonts w:ascii="Arial" w:cs="Arial" w:eastAsia="Arial" w:hAnsi="Arial"/>
          <w:sz w:val="16"/>
          <w:szCs w:val="16"/>
          <w:i w:val="1"/>
          <w:iCs w:val="1"/>
          <w:color w:val="auto"/>
        </w:rPr>
        <w:t>minus</w:t>
      </w:r>
      <w:r>
        <w:rPr>
          <w:rFonts w:ascii="Arial" w:cs="Arial" w:eastAsia="Arial" w:hAnsi="Arial"/>
          <w:sz w:val="16"/>
          <w:szCs w:val="16"/>
          <w:color w:val="auto"/>
        </w:rPr>
        <w:t xml:space="preserve"> 50 basis points;</w:t>
      </w:r>
    </w:p>
    <w:p>
      <w:pPr>
        <w:spacing w:after="0" w:line="174" w:lineRule="exact"/>
        <w:rPr>
          <w:rFonts w:ascii="Arial" w:cs="Arial" w:eastAsia="Arial" w:hAnsi="Arial"/>
          <w:sz w:val="16"/>
          <w:szCs w:val="16"/>
          <w:color w:val="auto"/>
        </w:rPr>
      </w:pPr>
    </w:p>
    <w:p>
      <w:pPr>
        <w:ind w:left="1000" w:hanging="344"/>
        <w:spacing w:after="0"/>
        <w:tabs>
          <w:tab w:leader="none" w:pos="10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Permitted Unsecured Refinancing Debt, Permitted First Priority Refinancing Debt, and Permitted Second Priority Refinancing Debt;</w:t>
      </w:r>
    </w:p>
    <w:p>
      <w:pPr>
        <w:spacing w:after="0" w:line="225" w:lineRule="exact"/>
        <w:rPr>
          <w:rFonts w:ascii="Arial" w:cs="Arial" w:eastAsia="Arial" w:hAnsi="Arial"/>
          <w:sz w:val="18"/>
          <w:szCs w:val="18"/>
          <w:color w:val="auto"/>
        </w:rPr>
      </w:pPr>
    </w:p>
    <w:p>
      <w:pPr>
        <w:jc w:val="both"/>
        <w:ind w:firstLine="656"/>
        <w:spacing w:after="0" w:line="285" w:lineRule="auto"/>
        <w:tabs>
          <w:tab w:leader="none" w:pos="1129"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 Indebtedness of a Credit Party in respect of one or more series of senior unsecured notes or loans, senior secured first lien or junior lien notes or loans, or subordinated notes or loans, in each case with a maturity of not less than 364-days, that may be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with the Obligations, that are issued or made pursuant to an indenture, a loan agreement or a note purchase agreement or otherwise (any such Indebtedness, “</w:t>
      </w:r>
      <w:r>
        <w:rPr>
          <w:rFonts w:ascii="Arial" w:cs="Arial" w:eastAsia="Arial" w:hAnsi="Arial"/>
          <w:sz w:val="16"/>
          <w:szCs w:val="16"/>
          <w:b w:val="1"/>
          <w:bCs w:val="1"/>
          <w:color w:val="auto"/>
        </w:rPr>
        <w:t>Incremental Equivalent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aggregate principal amount of all Incremental Equivalent Debt issued or incurred pursuant to this </w:t>
      </w:r>
      <w:r>
        <w:rPr>
          <w:rFonts w:ascii="Arial" w:cs="Arial" w:eastAsia="Arial" w:hAnsi="Arial"/>
          <w:sz w:val="16"/>
          <w:szCs w:val="16"/>
          <w:u w:val="single" w:color="auto"/>
          <w:color w:val="auto"/>
        </w:rPr>
        <w:t>Section 10.01(m)</w:t>
      </w:r>
      <w:r>
        <w:rPr>
          <w:rFonts w:ascii="Arial" w:cs="Arial" w:eastAsia="Arial" w:hAnsi="Arial"/>
          <w:sz w:val="16"/>
          <w:szCs w:val="16"/>
          <w:color w:val="auto"/>
        </w:rPr>
        <w:t xml:space="preserve"> shall not exceed (I) the Shared Fixed Incremental Amount </w:t>
      </w:r>
      <w:r>
        <w:rPr>
          <w:rFonts w:ascii="Arial" w:cs="Arial" w:eastAsia="Arial" w:hAnsi="Arial"/>
          <w:sz w:val="16"/>
          <w:szCs w:val="16"/>
          <w:i w:val="1"/>
          <w:iCs w:val="1"/>
          <w:color w:val="auto"/>
        </w:rPr>
        <w:t>plus</w:t>
      </w:r>
      <w:r>
        <w:rPr>
          <w:rFonts w:ascii="Arial" w:cs="Arial" w:eastAsia="Arial" w:hAnsi="Arial"/>
          <w:sz w:val="16"/>
          <w:szCs w:val="16"/>
          <w:color w:val="auto"/>
        </w:rPr>
        <w:t xml:space="preserve"> (b) the aggregate of (i) the principal amount of any optional prepayment of any Term Loans pursuant to Section 2.09(a) and (ii) the cash amount paid in respect of any Term Loans in connection with assignments to Borrower or any of its Subsidiaries pursuant to Section 13.05(d) (in each case for this clause (b), excluding any prepayments funded with the proceeds of long-term Indebtedness) (the “</w:t>
      </w:r>
      <w:r>
        <w:rPr>
          <w:rFonts w:ascii="Arial" w:cs="Arial" w:eastAsia="Arial" w:hAnsi="Arial"/>
          <w:sz w:val="16"/>
          <w:szCs w:val="16"/>
          <w:b w:val="1"/>
          <w:bCs w:val="1"/>
          <w:color w:val="auto"/>
        </w:rPr>
        <w:t>Incremental Equivalent Prepayment Amount</w:t>
      </w:r>
      <w:r>
        <w:rPr>
          <w:rFonts w:ascii="Arial" w:cs="Arial" w:eastAsia="Arial" w:hAnsi="Arial"/>
          <w:sz w:val="16"/>
          <w:szCs w:val="16"/>
          <w:color w:val="auto"/>
        </w:rPr>
        <w:t xml:space="preserve">”) minus the aggregate principal amount of all Incremental Term Loans incurred or issued in reliance on the Incremental Prepayment Amount; (B) no Event of Default shall have occurred and be continuing or would exist immediately after giving effect to such incurrence or issuance;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any Incremental Equivalent Debt the proceeds of which are used primarily to fund a Limited Condition Transaction substantially concurrently upon the receipt thereof (including repayment of Indebtedness of the Person acquired, or that is secured by the assets acquired, in such Permitted Acquisition or other Acquisition), the absence of an Event of Default shall not constitute a condition to the issuance or incurrence of such Incremental Equivalent Debt; and (C) if such Incremental Equivalent Debt is (x)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Obligations, such Incremental Equivalent Debt shall satisfy the definition of “Permitted First Lien Indebtedness” or (y) secured on a second lien (or other junior basis) or is unsecured, such Incremental Equivalent Debt shall satisfy the definition of “Permitted Second Lien Indebtedness” or “Permitted Unsecured Indebtedness”, as applicable; and (ii) any Permitted Refinancing in respect thereof;</w:t>
      </w:r>
    </w:p>
    <w:p>
      <w:pPr>
        <w:spacing w:after="0" w:line="177" w:lineRule="exact"/>
        <w:rPr>
          <w:rFonts w:ascii="Arial" w:cs="Arial" w:eastAsia="Arial" w:hAnsi="Arial"/>
          <w:sz w:val="16"/>
          <w:szCs w:val="16"/>
          <w:color w:val="auto"/>
        </w:rPr>
      </w:pPr>
    </w:p>
    <w:p>
      <w:pPr>
        <w:ind w:left="1080" w:hanging="424"/>
        <w:spacing w:after="0"/>
        <w:tabs>
          <w:tab w:leader="none" w:pos="108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Indebtedness of any Credit Party in an aggregate principal amount not to exceed at any time outstanding the greater of (i) $100.0 million and</w:t>
      </w:r>
    </w:p>
    <w:p>
      <w:pPr>
        <w:spacing w:after="0" w:line="46" w:lineRule="exact"/>
        <w:rPr>
          <w:rFonts w:ascii="Arial" w:cs="Arial" w:eastAsia="Arial" w:hAnsi="Arial"/>
          <w:sz w:val="16"/>
          <w:szCs w:val="16"/>
          <w:color w:val="auto"/>
        </w:rPr>
      </w:pPr>
    </w:p>
    <w:p>
      <w:pPr>
        <w:ind w:left="280" w:hanging="272"/>
        <w:spacing w:after="0"/>
        <w:tabs>
          <w:tab w:leader="none" w:pos="2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50% of Consolidated EBITDA at the time of determination for the Test Period most recently ended prior to such time; and</w:t>
      </w:r>
    </w:p>
    <w:p>
      <w:pPr>
        <w:spacing w:after="0" w:line="210" w:lineRule="exact"/>
        <w:rPr>
          <w:rFonts w:ascii="Arial" w:cs="Arial" w:eastAsia="Arial" w:hAnsi="Arial"/>
          <w:sz w:val="18"/>
          <w:szCs w:val="18"/>
          <w:color w:val="auto"/>
        </w:rPr>
      </w:pPr>
    </w:p>
    <w:p>
      <w:pPr>
        <w:ind w:left="1040" w:hanging="384"/>
        <w:spacing w:after="0"/>
        <w:tabs>
          <w:tab w:leader="none" w:pos="10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 xml:space="preserve">Investments under </w:t>
      </w:r>
      <w:r>
        <w:rPr>
          <w:rFonts w:ascii="Arial" w:cs="Arial" w:eastAsia="Arial" w:hAnsi="Arial"/>
          <w:sz w:val="18"/>
          <w:szCs w:val="18"/>
          <w:u w:val="single" w:color="auto"/>
          <w:color w:val="auto"/>
        </w:rPr>
        <w:t>Sections 10.04(l)</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10.04(q)</w:t>
      </w:r>
      <w:r>
        <w:rPr>
          <w:rFonts w:ascii="Arial" w:cs="Arial" w:eastAsia="Arial" w:hAnsi="Arial"/>
          <w:sz w:val="18"/>
          <w:szCs w:val="18"/>
          <w:color w:val="auto"/>
        </w:rPr>
        <w:t xml:space="preserve">, </w:t>
      </w:r>
      <w:r>
        <w:rPr>
          <w:rFonts w:ascii="Arial" w:cs="Arial" w:eastAsia="Arial" w:hAnsi="Arial"/>
          <w:sz w:val="18"/>
          <w:szCs w:val="18"/>
          <w:u w:val="single" w:color="auto"/>
          <w:color w:val="auto"/>
        </w:rPr>
        <w:t>10.04(s)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10.04(x)</w:t>
      </w:r>
      <w:r>
        <w:rPr>
          <w:rFonts w:ascii="Arial" w:cs="Arial" w:eastAsia="Arial" w:hAnsi="Arial"/>
          <w:sz w:val="18"/>
          <w:szCs w:val="18"/>
          <w:color w:val="auto"/>
        </w:rPr>
        <w:t xml:space="preserve"> consisting of guarantees.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For purposes of determining compliance with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 Indebtedness need not be permitted solely by reference to one category of permitted Indebtedness described in </w:t>
      </w:r>
      <w:r>
        <w:rPr>
          <w:rFonts w:ascii="Arial" w:cs="Arial" w:eastAsia="Arial" w:hAnsi="Arial"/>
          <w:sz w:val="16"/>
          <w:szCs w:val="16"/>
          <w:u w:val="single" w:color="auto"/>
          <w:color w:val="auto"/>
        </w:rPr>
        <w:t>Sections 10.01(a)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(o)</w:t>
      </w:r>
      <w:r>
        <w:rPr>
          <w:rFonts w:ascii="Arial" w:cs="Arial" w:eastAsia="Arial" w:hAnsi="Arial"/>
          <w:sz w:val="16"/>
          <w:szCs w:val="16"/>
          <w:color w:val="auto"/>
        </w:rPr>
        <w:t xml:space="preserve"> but may be permitted in part under any combination thereof and (B) in the event that an item of Indebtedness (or any portion thereof) meets the criteria of one or more of the categories of permitted Indebtedness described in </w:t>
      </w:r>
      <w:r>
        <w:rPr>
          <w:rFonts w:ascii="Arial" w:cs="Arial" w:eastAsia="Arial" w:hAnsi="Arial"/>
          <w:sz w:val="16"/>
          <w:szCs w:val="16"/>
          <w:u w:val="single" w:color="auto"/>
          <w:color w:val="auto"/>
        </w:rPr>
        <w:t>Sections 10.01(a)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(o)</w:t>
      </w:r>
      <w:r>
        <w:rPr>
          <w:rFonts w:ascii="Arial" w:cs="Arial" w:eastAsia="Arial" w:hAnsi="Arial"/>
          <w:sz w:val="16"/>
          <w:szCs w:val="16"/>
          <w:color w:val="auto"/>
        </w:rPr>
        <w:t xml:space="preserve">, Borrower shall, in its sole discretion, classify or reclassify, or later divide, classify or reclassify, such item of Indebtedness (or any portion thereof) in any manner that complies with this </w:t>
      </w:r>
      <w:r>
        <w:rPr>
          <w:rFonts w:ascii="Arial" w:cs="Arial" w:eastAsia="Arial" w:hAnsi="Arial"/>
          <w:sz w:val="16"/>
          <w:szCs w:val="16"/>
          <w:u w:val="single" w:color="auto"/>
          <w:color w:val="auto"/>
        </w:rPr>
        <w:t>Section 10.01</w:t>
      </w:r>
      <w:r>
        <w:rPr>
          <w:rFonts w:ascii="Arial" w:cs="Arial" w:eastAsia="Arial" w:hAnsi="Arial"/>
          <w:sz w:val="16"/>
          <w:szCs w:val="16"/>
          <w:color w:val="auto"/>
        </w:rPr>
        <w:t xml:space="preserve"> and will only be required to include the amount and type of such item of Indebtedness (or any portion thereof) in one of the above clauses and such item of Indebtedness (or any portion thereof) shall be treated as having been incurred or existing</w:t>
      </w:r>
    </w:p>
    <w:p>
      <w:pPr>
        <w:sectPr>
          <w:pgSz w:w="11900" w:h="16838" w:orient="portrait"/>
          <w:cols w:equalWidth="0" w:num="1">
            <w:col w:w="11420"/>
          </w:cols>
          <w:pgMar w:left="240" w:top="125" w:right="239" w:bottom="0" w:gutter="0" w:footer="0" w:header="0"/>
        </w:sectPr>
      </w:pPr>
    </w:p>
    <w:bookmarkStart w:id="112" w:name="page113"/>
    <w:bookmarkEnd w:id="112"/>
    <w:p>
      <w:pPr>
        <w:jc w:val="both"/>
        <w:spacing w:after="0" w:line="259" w:lineRule="auto"/>
        <w:rPr>
          <w:sz w:val="20"/>
          <w:szCs w:val="20"/>
          <w:color w:val="auto"/>
        </w:rPr>
      </w:pPr>
      <w:r>
        <w:rPr>
          <w:rFonts w:ascii="Arial" w:cs="Arial" w:eastAsia="Arial" w:hAnsi="Arial"/>
          <w:sz w:val="18"/>
          <w:szCs w:val="18"/>
          <w:color w:val="auto"/>
        </w:rPr>
        <w:t xml:space="preserve">pursuant to only one of such clauses,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all Indebtedness under this Agreement outstanding on the Closing Date shall at all times be deemed to have been incurred pursuant to clause (a) of this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Additionally, for purposes of determining compliance with </w:t>
      </w:r>
      <w:r>
        <w:rPr>
          <w:rFonts w:ascii="Arial" w:cs="Arial" w:eastAsia="Arial" w:hAnsi="Arial"/>
          <w:sz w:val="17"/>
          <w:szCs w:val="17"/>
          <w:u w:val="single" w:color="auto"/>
          <w:color w:val="auto"/>
        </w:rPr>
        <w:t>Section 10.01</w:t>
      </w:r>
      <w:r>
        <w:rPr>
          <w:rFonts w:ascii="Arial" w:cs="Arial" w:eastAsia="Arial" w:hAnsi="Arial"/>
          <w:sz w:val="17"/>
          <w:szCs w:val="17"/>
          <w:color w:val="auto"/>
        </w:rPr>
        <w:t>,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74"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SECTION 10.02. Liens</w:t>
      </w:r>
      <w:r>
        <w:rPr>
          <w:rFonts w:ascii="Arial" w:cs="Arial" w:eastAsia="Arial" w:hAnsi="Arial"/>
          <w:sz w:val="17"/>
          <w:szCs w:val="17"/>
          <w:color w:val="auto"/>
        </w:rPr>
        <w:t>. No Credit Party shall create, incur, grant, assume or permit to exist, directly or indirectly, any Lien on any Property now</w:t>
      </w:r>
      <w:r>
        <w:rPr>
          <w:rFonts w:ascii="Arial" w:cs="Arial" w:eastAsia="Arial" w:hAnsi="Arial"/>
          <w:sz w:val="17"/>
          <w:szCs w:val="17"/>
          <w:b w:val="1"/>
          <w:bCs w:val="1"/>
          <w:color w:val="auto"/>
        </w:rPr>
        <w:t xml:space="preserve"> </w:t>
      </w:r>
      <w:r>
        <w:rPr>
          <w:rFonts w:ascii="Arial" w:cs="Arial" w:eastAsia="Arial" w:hAnsi="Arial"/>
          <w:sz w:val="17"/>
          <w:szCs w:val="17"/>
          <w:color w:val="auto"/>
        </w:rPr>
        <w:t>owned or hereafter acquired by it or on any income or revenues or rights in respect of any thereof, except (the “</w:t>
      </w:r>
      <w:r>
        <w:rPr>
          <w:rFonts w:ascii="Arial" w:cs="Arial" w:eastAsia="Arial" w:hAnsi="Arial"/>
          <w:sz w:val="17"/>
          <w:szCs w:val="17"/>
          <w:b w:val="1"/>
          <w:bCs w:val="1"/>
          <w:color w:val="auto"/>
        </w:rPr>
        <w:t>Permitted Liens</w:t>
      </w:r>
      <w:r>
        <w:rPr>
          <w:rFonts w:ascii="Arial" w:cs="Arial" w:eastAsia="Arial" w:hAnsi="Arial"/>
          <w:sz w:val="17"/>
          <w:szCs w:val="17"/>
          <w:color w:val="auto"/>
        </w:rPr>
        <w:t>”):</w:t>
      </w:r>
    </w:p>
    <w:p>
      <w:pPr>
        <w:spacing w:after="0" w:line="142" w:lineRule="exact"/>
        <w:rPr>
          <w:sz w:val="20"/>
          <w:szCs w:val="20"/>
          <w:color w:val="auto"/>
        </w:rPr>
      </w:pPr>
    </w:p>
    <w:p>
      <w:pPr>
        <w:ind w:firstLine="656"/>
        <w:spacing w:after="0" w:line="277" w:lineRule="auto"/>
        <w:tabs>
          <w:tab w:leader="none" w:pos="1068" w:val="left"/>
        </w:tabs>
        <w:numPr>
          <w:ilvl w:val="1"/>
          <w:numId w:val="124"/>
        </w:numPr>
        <w:rPr>
          <w:rFonts w:ascii="Arial" w:cs="Arial" w:eastAsia="Arial" w:hAnsi="Arial"/>
          <w:sz w:val="18"/>
          <w:szCs w:val="18"/>
          <w:color w:val="auto"/>
        </w:rPr>
      </w:pPr>
      <w:r>
        <w:rPr>
          <w:rFonts w:ascii="Arial" w:cs="Arial" w:eastAsia="Arial" w:hAnsi="Arial"/>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092" w:val="left"/>
        </w:tabs>
        <w:numPr>
          <w:ilvl w:val="1"/>
          <w:numId w:val="124"/>
        </w:numPr>
        <w:rPr>
          <w:rFonts w:ascii="Arial" w:cs="Arial" w:eastAsia="Arial" w:hAnsi="Arial"/>
          <w:sz w:val="16"/>
          <w:szCs w:val="16"/>
          <w:color w:val="auto"/>
        </w:rPr>
      </w:pPr>
      <w:r>
        <w:rPr>
          <w:rFonts w:ascii="Arial" w:cs="Arial" w:eastAsia="Arial" w:hAnsi="Arial"/>
          <w:sz w:val="16"/>
          <w:szCs w:val="16"/>
          <w:color w:val="auto"/>
        </w:rPr>
        <w:t>Liens in respect of property of any Credit Party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64" w:lineRule="exact"/>
        <w:rPr>
          <w:rFonts w:ascii="Arial" w:cs="Arial" w:eastAsia="Arial" w:hAnsi="Arial"/>
          <w:sz w:val="16"/>
          <w:szCs w:val="16"/>
          <w:color w:val="auto"/>
        </w:rPr>
      </w:pPr>
    </w:p>
    <w:p>
      <w:pPr>
        <w:jc w:val="both"/>
        <w:ind w:firstLine="656"/>
        <w:spacing w:after="0" w:line="259" w:lineRule="auto"/>
        <w:tabs>
          <w:tab w:leader="none" w:pos="1055"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w:t>
      </w:r>
      <w:r>
        <w:rPr>
          <w:rFonts w:ascii="Arial" w:cs="Arial" w:eastAsia="Arial" w:hAnsi="Arial"/>
          <w:sz w:val="18"/>
          <w:szCs w:val="18"/>
          <w:u w:val="single" w:color="auto"/>
          <w:color w:val="auto"/>
        </w:rPr>
        <w:t>Section 10.01(b)</w:t>
      </w:r>
      <w:r>
        <w:rPr>
          <w:rFonts w:ascii="Arial" w:cs="Arial" w:eastAsia="Arial" w:hAnsi="Arial"/>
          <w:sz w:val="18"/>
          <w:szCs w:val="18"/>
          <w:color w:val="auto"/>
        </w:rPr>
        <w:t xml:space="preserve"> and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 such Liens do not encumber any Property of any Credit Party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w:t>
      </w:r>
      <w:r>
        <w:rPr>
          <w:rFonts w:ascii="Arial" w:cs="Arial" w:eastAsia="Arial" w:hAnsi="Arial"/>
          <w:sz w:val="18"/>
          <w:szCs w:val="18"/>
          <w:u w:val="single" w:color="auto"/>
          <w:color w:val="auto"/>
        </w:rPr>
        <w:t>Section 10.01(b)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91" w:lineRule="auto"/>
        <w:tabs>
          <w:tab w:leader="none" w:pos="1146" w:val="left"/>
        </w:tabs>
        <w:numPr>
          <w:ilvl w:val="1"/>
          <w:numId w:val="124"/>
        </w:numPr>
        <w:rPr>
          <w:rFonts w:ascii="Arial" w:cs="Arial" w:eastAsia="Arial" w:hAnsi="Arial"/>
          <w:sz w:val="16"/>
          <w:szCs w:val="16"/>
          <w:color w:val="auto"/>
        </w:rPr>
      </w:pPr>
      <w:r>
        <w:rPr>
          <w:rFonts w:ascii="Arial" w:cs="Arial" w:eastAsia="Arial" w:hAnsi="Arial"/>
          <w:sz w:val="16"/>
          <w:szCs w:val="16"/>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w:t>
      </w:r>
    </w:p>
    <w:p>
      <w:pPr>
        <w:ind w:firstLine="8"/>
        <w:spacing w:after="0" w:line="261" w:lineRule="auto"/>
        <w:tabs>
          <w:tab w:leader="none" w:pos="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securing Indebtedness and (ii) individually or in the aggregate materially interfering with the conduct of the business of the Credit Parties, taken as a whole;</w:t>
      </w:r>
    </w:p>
    <w:p>
      <w:pPr>
        <w:spacing w:after="0" w:line="183" w:lineRule="exact"/>
        <w:rPr>
          <w:rFonts w:ascii="Arial" w:cs="Arial" w:eastAsia="Arial" w:hAnsi="Arial"/>
          <w:sz w:val="18"/>
          <w:szCs w:val="18"/>
          <w:color w:val="auto"/>
        </w:rPr>
      </w:pPr>
    </w:p>
    <w:p>
      <w:pPr>
        <w:ind w:left="1040" w:hanging="384"/>
        <w:spacing w:after="0"/>
        <w:tabs>
          <w:tab w:leader="none" w:pos="104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an Event of Default;</w:t>
      </w:r>
    </w:p>
    <w:p>
      <w:pPr>
        <w:spacing w:after="0" w:line="225" w:lineRule="exact"/>
        <w:rPr>
          <w:rFonts w:ascii="Arial" w:cs="Arial" w:eastAsia="Arial" w:hAnsi="Arial"/>
          <w:sz w:val="18"/>
          <w:szCs w:val="18"/>
          <w:color w:val="auto"/>
        </w:rPr>
      </w:pPr>
    </w:p>
    <w:p>
      <w:pPr>
        <w:jc w:val="both"/>
        <w:ind w:firstLine="656"/>
        <w:spacing w:after="0" w:line="270" w:lineRule="auto"/>
        <w:tabs>
          <w:tab w:leader="none" w:pos="1022"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any Credit Party’s Gaming License applications or to secure the performance of surety or other bonds issued in connection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to the extent such Liens are not imposed by Law, such Liens shall in no event encumber any Property other than cash and Cash Equivalents or, in the case of clause (iii), proceeds of insurance policies;</w:t>
      </w:r>
    </w:p>
    <w:p>
      <w:pPr>
        <w:spacing w:after="0" w:line="181" w:lineRule="exact"/>
        <w:rPr>
          <w:rFonts w:ascii="Arial" w:cs="Arial" w:eastAsia="Arial" w:hAnsi="Arial"/>
          <w:sz w:val="17"/>
          <w:szCs w:val="17"/>
          <w:color w:val="auto"/>
        </w:rPr>
      </w:pPr>
    </w:p>
    <w:p>
      <w:pPr>
        <w:jc w:val="both"/>
        <w:ind w:firstLine="656"/>
        <w:spacing w:after="0" w:line="255" w:lineRule="auto"/>
        <w:tabs>
          <w:tab w:leader="none" w:pos="1119"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Leases with respect to the assets or properties of any Credit Party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business so long as each of the Leases entered into after the date hereof do not, individually or in the aggregate, (x) interfere in any material respect with the ordinary conduct of the business of the Credit Parties, taken as a whole, or (y) materially impair the use (for its intended purposes) or the value of the Properties of the Credit Parties, taken as a whole;</w:t>
      </w:r>
    </w:p>
    <w:p>
      <w:pPr>
        <w:spacing w:after="0" w:line="193" w:lineRule="exact"/>
        <w:rPr>
          <w:rFonts w:ascii="Arial" w:cs="Arial" w:eastAsia="Arial" w:hAnsi="Arial"/>
          <w:sz w:val="18"/>
          <w:szCs w:val="18"/>
          <w:color w:val="auto"/>
        </w:rPr>
      </w:pPr>
    </w:p>
    <w:p>
      <w:pPr>
        <w:ind w:firstLine="656"/>
        <w:spacing w:after="0" w:line="277" w:lineRule="auto"/>
        <w:tabs>
          <w:tab w:leader="none" w:pos="1052" w:val="left"/>
        </w:tabs>
        <w:numPr>
          <w:ilvl w:val="1"/>
          <w:numId w:val="125"/>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a Credit Party in the ordinary course of business;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093" w:val="left"/>
        </w:tabs>
        <w:numPr>
          <w:ilvl w:val="1"/>
          <w:numId w:val="125"/>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Obligations or Capital Lease Obligations (and refinancings or renewals thereof), in each case, incurred pursuant to </w:t>
      </w:r>
      <w:r>
        <w:rPr>
          <w:rFonts w:ascii="Arial" w:cs="Arial" w:eastAsia="Arial" w:hAnsi="Arial"/>
          <w:sz w:val="17"/>
          <w:szCs w:val="17"/>
          <w:u w:val="single" w:color="auto"/>
          <w:color w:val="auto"/>
        </w:rPr>
        <w:t>Section 10.01(g)</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Arial" w:cs="Arial" w:eastAsia="Arial" w:hAnsi="Arial"/>
          <w:sz w:val="17"/>
          <w:szCs w:val="17"/>
          <w:i w:val="1"/>
          <w:iCs w:val="1"/>
          <w:color w:val="auto"/>
        </w:rPr>
        <w:t>plus</w:t>
      </w:r>
      <w:r>
        <w:rPr>
          <w:rFonts w:ascii="Arial" w:cs="Arial" w:eastAsia="Arial" w:hAnsi="Arial"/>
          <w:sz w:val="17"/>
          <w:szCs w:val="17"/>
          <w:color w:val="auto"/>
        </w:rPr>
        <w:t>, the fees and expenses related thereto (</w:t>
      </w:r>
      <w:r>
        <w:rPr>
          <w:rFonts w:ascii="Arial" w:cs="Arial" w:eastAsia="Arial" w:hAnsi="Arial"/>
          <w:sz w:val="17"/>
          <w:szCs w:val="17"/>
          <w:i w:val="1"/>
          <w:iCs w:val="1"/>
          <w:color w:val="auto"/>
        </w:rPr>
        <w:t>plus</w:t>
      </w:r>
      <w:r>
        <w:rPr>
          <w:rFonts w:ascii="Arial" w:cs="Arial" w:eastAsia="Arial" w:hAnsi="Arial"/>
          <w:sz w:val="17"/>
          <w:szCs w:val="17"/>
          <w:color w:val="auto"/>
        </w:rPr>
        <w:t xml:space="preserve">,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any Credit Party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w:t>
      </w:r>
      <w:r>
        <w:rPr>
          <w:rFonts w:ascii="Arial" w:cs="Arial" w:eastAsia="Arial" w:hAnsi="Arial"/>
          <w:sz w:val="17"/>
          <w:szCs w:val="17"/>
          <w:u w:val="single" w:color="auto"/>
          <w:color w:val="auto"/>
        </w:rPr>
        <w:t>Section 10.01(h)</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312" w:lineRule="auto"/>
        <w:tabs>
          <w:tab w:leader="none" w:pos="1052" w:val="left"/>
        </w:tabs>
        <w:numPr>
          <w:ilvl w:val="1"/>
          <w:numId w:val="125"/>
        </w:numPr>
        <w:rPr>
          <w:rFonts w:ascii="Arial" w:cs="Arial" w:eastAsia="Arial" w:hAnsi="Arial"/>
          <w:sz w:val="16"/>
          <w:szCs w:val="16"/>
          <w:color w:val="auto"/>
        </w:rPr>
      </w:pPr>
      <w:r>
        <w:rPr>
          <w:rFonts w:ascii="Arial" w:cs="Arial" w:eastAsia="Arial" w:hAnsi="Arial"/>
          <w:sz w:val="16"/>
          <w:szCs w:val="16"/>
          <w:color w:val="auto"/>
        </w:rPr>
        <w:t>bankers’ Liens, rights of setoff and other similar Liens existing solely with respect to cash and Cash Equivalents on deposit in one or more accounts maintained by any Credit Party, in each case granted in the ordinary course of business in favor of the bank or banks with which such accounts are maintained, securing amounts owing to such bank with respect to cash management and operating account arrangements, including those involving pooled</w:t>
      </w:r>
    </w:p>
    <w:p>
      <w:pPr>
        <w:sectPr>
          <w:pgSz w:w="11900" w:h="16838" w:orient="portrait"/>
          <w:cols w:equalWidth="0" w:num="1">
            <w:col w:w="11420"/>
          </w:cols>
          <w:pgMar w:left="240" w:top="125" w:right="239" w:bottom="0" w:gutter="0" w:footer="0" w:header="0"/>
        </w:sectPr>
      </w:pPr>
    </w:p>
    <w:bookmarkStart w:id="113" w:name="page114"/>
    <w:bookmarkEnd w:id="113"/>
    <w:p>
      <w:pPr>
        <w:spacing w:after="0" w:line="277" w:lineRule="auto"/>
        <w:rPr>
          <w:sz w:val="20"/>
          <w:szCs w:val="20"/>
          <w:color w:val="auto"/>
        </w:rPr>
      </w:pPr>
      <w:r>
        <w:rPr>
          <w:rFonts w:ascii="Arial" w:cs="Arial" w:eastAsia="Arial" w:hAnsi="Arial"/>
          <w:sz w:val="18"/>
          <w:szCs w:val="18"/>
          <w:color w:val="auto"/>
        </w:rPr>
        <w:t xml:space="preserve">accounts and netting arrangements;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unless such Liens are non-consensual and arise by operation of law, in no case shall any such Liens secure (either directly or indirectly) the repayment of any Indebtedness;</w:t>
      </w:r>
    </w:p>
    <w:p>
      <w:pPr>
        <w:spacing w:after="0" w:line="170" w:lineRule="exact"/>
        <w:rPr>
          <w:sz w:val="20"/>
          <w:szCs w:val="20"/>
          <w:color w:val="auto"/>
        </w:rPr>
      </w:pPr>
    </w:p>
    <w:p>
      <w:pPr>
        <w:jc w:val="both"/>
        <w:ind w:firstLine="656"/>
        <w:spacing w:after="0" w:line="259" w:lineRule="auto"/>
        <w:tabs>
          <w:tab w:leader="none" w:pos="1092"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Liens on assets of a Person existing at the time such Person is acquired or merged with or into or consolidated with a Credit Party (and not created in connection with or in anticipation or contemplation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6" w:lineRule="exact"/>
        <w:rPr>
          <w:rFonts w:ascii="Arial" w:cs="Arial" w:eastAsia="Arial" w:hAnsi="Arial"/>
          <w:sz w:val="18"/>
          <w:szCs w:val="18"/>
          <w:color w:val="auto"/>
        </w:rPr>
      </w:pPr>
    </w:p>
    <w:p>
      <w:pPr>
        <w:jc w:val="both"/>
        <w:ind w:firstLine="656"/>
        <w:spacing w:after="0" w:line="257" w:lineRule="auto"/>
        <w:tabs>
          <w:tab w:leader="none" w:pos="9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in addition to Liens otherwise permitted by this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other Liens incurred with respect to any Indebtedness or other obligations of any Credit Party;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the aggregate principal amount of such Indebtedness secured by such Liens shall not exceed as of the time of incurrence the greater of (i) $100.0 million and (ii) 50% of Consolidated EBITDA at the time of determination for the Test Period most recently ended prior to such time, and (B) any such Liens on Collateral shall be junior or otherwise subordinated in all respects to any Liens in favor of Collateral Agent on any of the Collateral to the reasonable satisfaction of Administrative Agent;</w:t>
      </w:r>
    </w:p>
    <w:p>
      <w:pPr>
        <w:spacing w:after="0" w:line="188" w:lineRule="exact"/>
        <w:rPr>
          <w:rFonts w:ascii="Arial" w:cs="Arial" w:eastAsia="Arial" w:hAnsi="Arial"/>
          <w:sz w:val="18"/>
          <w:szCs w:val="18"/>
          <w:color w:val="auto"/>
        </w:rPr>
      </w:pPr>
    </w:p>
    <w:p>
      <w:pPr>
        <w:ind w:firstLine="656"/>
        <w:spacing w:after="0" w:line="277" w:lineRule="auto"/>
        <w:tabs>
          <w:tab w:leader="none" w:pos="108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licenses of Intellectual Property granted by a Credit Party in the ordinary course of business and not interfering in any material respect with the ordinary conduct of the business of Borrower and the Guarantors, taken as a whole;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pursuant to the Credit Documents;</w:t>
      </w:r>
    </w:p>
    <w:p>
      <w:pPr>
        <w:spacing w:after="0" w:line="225" w:lineRule="exact"/>
        <w:rPr>
          <w:rFonts w:ascii="Arial" w:cs="Arial" w:eastAsia="Arial" w:hAnsi="Arial"/>
          <w:sz w:val="18"/>
          <w:szCs w:val="18"/>
          <w:color w:val="auto"/>
        </w:rPr>
      </w:pPr>
    </w:p>
    <w:p>
      <w:pPr>
        <w:ind w:firstLine="656"/>
        <w:spacing w:after="0" w:line="277" w:lineRule="auto"/>
        <w:tabs>
          <w:tab w:leader="none" w:pos="10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Liens arising under applicable Gaming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Lien constitutes a Lien securing repayment of Indebtedness for borrowed money;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8" w:lineRule="exact"/>
        <w:rPr>
          <w:rFonts w:ascii="Arial" w:cs="Arial" w:eastAsia="Arial" w:hAnsi="Arial"/>
          <w:sz w:val="18"/>
          <w:szCs w:val="18"/>
          <w:color w:val="auto"/>
        </w:rPr>
      </w:pPr>
    </w:p>
    <w:p>
      <w:pPr>
        <w:ind w:left="1040" w:hanging="384"/>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on cash and Cash Equivalents deposited to Discharge, redeem or defease Indebtedness that was permitted to so be repaid;</w:t>
      </w:r>
    </w:p>
    <w:p>
      <w:pPr>
        <w:spacing w:after="0" w:line="225" w:lineRule="exact"/>
        <w:rPr>
          <w:rFonts w:ascii="Arial" w:cs="Arial" w:eastAsia="Arial" w:hAnsi="Arial"/>
          <w:sz w:val="18"/>
          <w:szCs w:val="18"/>
          <w:color w:val="auto"/>
        </w:rPr>
      </w:pPr>
    </w:p>
    <w:p>
      <w:pPr>
        <w:ind w:firstLine="656"/>
        <w:spacing w:after="0" w:line="277" w:lineRule="auto"/>
        <w:tabs>
          <w:tab w:leader="none" w:pos="108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filings regarding operating leases or consignment of goods entered into in the ordinary course of business;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67"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on the Collateral securing Permitted First Lien Indebtedness, Permitted First Priority Refinancing Debt, Permitted Second Lien Indebtedness and Permitted Second Priority Refinancing Debt, in each case permitted pursuant to Section 10.01 and, to the extent permitted to be so secured pursuant to Section 10.01, Incremental Equivalent Debt;</w:t>
      </w:r>
    </w:p>
    <w:p>
      <w:pPr>
        <w:spacing w:after="0" w:line="181" w:lineRule="exact"/>
        <w:rPr>
          <w:rFonts w:ascii="Arial" w:cs="Arial" w:eastAsia="Arial" w:hAnsi="Arial"/>
          <w:sz w:val="18"/>
          <w:szCs w:val="18"/>
          <w:color w:val="auto"/>
        </w:rPr>
      </w:pPr>
    </w:p>
    <w:p>
      <w:pPr>
        <w:ind w:firstLine="656"/>
        <w:spacing w:after="0" w:line="277" w:lineRule="auto"/>
        <w:tabs>
          <w:tab w:leader="none" w:pos="99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79"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Liens arising in connection with transactions relating to the selling, factoring or discounting of accounts receivable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1080" w:hanging="424"/>
        <w:spacing w:after="0"/>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licenses, leases or subleases granted to other Persons not materially interfering with the conduct of the business of the Credit Parties taken as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whole;</w:t>
      </w:r>
    </w:p>
    <w:p>
      <w:pPr>
        <w:spacing w:after="0" w:line="210" w:lineRule="exact"/>
        <w:rPr>
          <w:rFonts w:ascii="Arial" w:cs="Arial" w:eastAsia="Arial" w:hAnsi="Arial"/>
          <w:sz w:val="16"/>
          <w:szCs w:val="16"/>
          <w:color w:val="auto"/>
        </w:rPr>
      </w:pPr>
    </w:p>
    <w:p>
      <w:pPr>
        <w:ind w:left="1040" w:hanging="384"/>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or licensor under any lease or license agreement permitted by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1065" w:val="left"/>
        </w:tabs>
        <w:numPr>
          <w:ilvl w:val="0"/>
          <w:numId w:val="126"/>
        </w:numPr>
        <w:rPr>
          <w:rFonts w:ascii="Arial" w:cs="Arial" w:eastAsia="Arial" w:hAnsi="Arial"/>
          <w:sz w:val="18"/>
          <w:szCs w:val="18"/>
          <w:color w:val="auto"/>
        </w:rPr>
      </w:pPr>
      <w:r>
        <w:rPr>
          <w:rFonts w:ascii="Arial" w:cs="Arial" w:eastAsia="Arial" w:hAnsi="Arial"/>
          <w:sz w:val="18"/>
          <w:szCs w:val="18"/>
          <w:color w:val="auto"/>
        </w:rPr>
        <w:t>Liens securing obligations of any Person in respect of employee deferred compensation and benefit plans in connection with “rabbi trusts” or other similar arrangements;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41" w:val="left"/>
        </w:tabs>
        <w:numPr>
          <w:ilvl w:val="0"/>
          <w:numId w:val="126"/>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of trade-related letters of credit, bank guarantees or similar obligations permitted under </w:t>
      </w:r>
      <w:r>
        <w:rPr>
          <w:rFonts w:ascii="Arial" w:cs="Arial" w:eastAsia="Arial" w:hAnsi="Arial"/>
          <w:sz w:val="18"/>
          <w:szCs w:val="18"/>
          <w:u w:val="single" w:color="auto"/>
          <w:color w:val="auto"/>
        </w:rPr>
        <w:t>Section 10.01</w:t>
      </w:r>
      <w:r>
        <w:rPr>
          <w:rFonts w:ascii="Arial" w:cs="Arial" w:eastAsia="Arial" w:hAnsi="Arial"/>
          <w:sz w:val="18"/>
          <w:szCs w:val="18"/>
          <w:color w:val="auto"/>
        </w:rPr>
        <w:t xml:space="preserve"> and covering the property (or the documents of title in respect of such property) financed by such letters of credit, bank guarantees or similar obligations and the proceeds and products thereof;</w:t>
      </w:r>
    </w:p>
    <w:p>
      <w:pPr>
        <w:spacing w:after="0" w:line="181" w:lineRule="exact"/>
        <w:rPr>
          <w:sz w:val="20"/>
          <w:szCs w:val="20"/>
          <w:color w:val="auto"/>
        </w:rPr>
      </w:pPr>
    </w:p>
    <w:p>
      <w:pPr>
        <w:jc w:val="both"/>
        <w:ind w:firstLine="656"/>
        <w:spacing w:after="0" w:line="259" w:lineRule="auto"/>
        <w:tabs>
          <w:tab w:leader="none" w:pos="11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secures only the obligations of Borrower or such Subsidiaries in respect of such letter of credit, bank guarantee or banker’s acceptance to the extent permitted under </w:t>
      </w:r>
      <w:r>
        <w:rPr>
          <w:rFonts w:ascii="Arial" w:cs="Arial" w:eastAsia="Arial" w:hAnsi="Arial"/>
          <w:sz w:val="18"/>
          <w:szCs w:val="18"/>
          <w:u w:val="single" w:color="auto"/>
          <w:color w:val="auto"/>
        </w:rPr>
        <w:t>Section 10.01</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filing of a reversion, subdivision or final map(s), record(s) of survey and/or amendments to any of the foregoing over Real Property; and</w:t>
      </w:r>
    </w:p>
    <w:p>
      <w:pPr>
        <w:spacing w:after="0" w:line="248" w:lineRule="exact"/>
        <w:rPr>
          <w:rFonts w:ascii="Arial" w:cs="Arial" w:eastAsia="Arial" w:hAnsi="Arial"/>
          <w:sz w:val="16"/>
          <w:szCs w:val="16"/>
          <w:color w:val="auto"/>
        </w:rPr>
      </w:pPr>
    </w:p>
    <w:p>
      <w:pPr>
        <w:ind w:firstLine="656"/>
        <w:spacing w:after="0" w:line="277" w:lineRule="auto"/>
        <w:tabs>
          <w:tab w:leader="none" w:pos="1202"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from and after the disposition or lease or sublease of any interest in Real Property otherwise permitted pursuant to this Agreement, any reciprocal easement or similar agreement entered into between a Credit Party and the acquirer or holder of such interest.</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In connection with the granting of Liens of the types described in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by Borrower of any of the Guarantors, Administrative Agent and Collateral Agent shall be authorized to take any actions deemed appropriate by it in connection therewith (including, without limitation, by entering into or amending appropriate intercreditor agreements). For purposes of determining compliance with this </w:t>
      </w:r>
      <w:r>
        <w:rPr>
          <w:rFonts w:ascii="Arial" w:cs="Arial" w:eastAsia="Arial" w:hAnsi="Arial"/>
          <w:sz w:val="16"/>
          <w:szCs w:val="16"/>
          <w:u w:val="single" w:color="auto"/>
          <w:color w:val="auto"/>
        </w:rPr>
        <w:t>Section 10.02</w:t>
      </w:r>
      <w:r>
        <w:rPr>
          <w:rFonts w:ascii="Arial" w:cs="Arial" w:eastAsia="Arial" w:hAnsi="Arial"/>
          <w:sz w:val="16"/>
          <w:szCs w:val="16"/>
          <w:color w:val="auto"/>
        </w:rPr>
        <w:t xml:space="preserve">, (A) a Lien securing an item of Indebtedness need not be permitted solely by reference to one category of permitted Liens described in </w:t>
      </w:r>
      <w:r>
        <w:rPr>
          <w:rFonts w:ascii="Arial" w:cs="Arial" w:eastAsia="Arial" w:hAnsi="Arial"/>
          <w:sz w:val="16"/>
          <w:szCs w:val="16"/>
          <w:u w:val="single" w:color="auto"/>
          <w:color w:val="auto"/>
        </w:rPr>
        <w:t>Sections 10.02(a)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(cc)</w:t>
      </w:r>
      <w:r>
        <w:rPr>
          <w:rFonts w:ascii="Arial" w:cs="Arial" w:eastAsia="Arial" w:hAnsi="Arial"/>
          <w:sz w:val="16"/>
          <w:szCs w:val="16"/>
          <w:color w:val="auto"/>
        </w:rPr>
        <w:t xml:space="preserve"> but may be permitted in part under any combination thereof and (B) in the event that a Lien securing an item of Indebtedness (or any portion thereof) meets the criteria of one or more of the categories of permitted Liens described in </w:t>
      </w:r>
      <w:r>
        <w:rPr>
          <w:rFonts w:ascii="Arial" w:cs="Arial" w:eastAsia="Arial" w:hAnsi="Arial"/>
          <w:sz w:val="16"/>
          <w:szCs w:val="16"/>
          <w:u w:val="single" w:color="auto"/>
          <w:color w:val="auto"/>
        </w:rPr>
        <w:t>Sections 10.02(a)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(cc)</w:t>
      </w:r>
      <w:r>
        <w:rPr>
          <w:rFonts w:ascii="Arial" w:cs="Arial" w:eastAsia="Arial" w:hAnsi="Arial"/>
          <w:sz w:val="16"/>
          <w:szCs w:val="16"/>
          <w:color w:val="auto"/>
        </w:rPr>
        <w:t>, Borrower shall, in its sole discretion, classify or reclassify, or later divide, classify or reclassify, such Lien securing such item of Indebtedness (or any portion thereof) in any manner that complies with this covenant and will only be</w:t>
      </w:r>
    </w:p>
    <w:p>
      <w:pPr>
        <w:sectPr>
          <w:pgSz w:w="11900" w:h="16838" w:orient="portrait"/>
          <w:cols w:equalWidth="0" w:num="1">
            <w:col w:w="11420"/>
          </w:cols>
          <w:pgMar w:left="240" w:top="125" w:right="239" w:bottom="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required to include the amount and type of such Lien or such item of Indebtedness (or any portion thereof) secured by such Lien in one of the above clauses and such Lien 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83"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6"/>
          <w:szCs w:val="16"/>
          <w:b w:val="1"/>
          <w:bCs w:val="1"/>
          <w:color w:val="auto"/>
        </w:rPr>
        <w:t>Investments, Loans and Advances</w:t>
      </w:r>
      <w:r>
        <w:rPr>
          <w:rFonts w:ascii="Arial" w:cs="Arial" w:eastAsia="Arial" w:hAnsi="Arial"/>
          <w:sz w:val="16"/>
          <w:szCs w:val="16"/>
          <w:color w:val="auto"/>
        </w:rPr>
        <w:t>. No Credit Party will, directly or indirectly, make any Investment, except for the following:</w:t>
      </w:r>
    </w:p>
    <w:p>
      <w:pPr>
        <w:spacing w:after="0" w:line="229" w:lineRule="exact"/>
        <w:rPr>
          <w:sz w:val="20"/>
          <w:szCs w:val="20"/>
          <w:color w:val="auto"/>
        </w:rPr>
      </w:pPr>
    </w:p>
    <w:p>
      <w:pPr>
        <w:ind w:firstLine="656"/>
        <w:spacing w:after="0" w:line="277" w:lineRule="auto"/>
        <w:tabs>
          <w:tab w:leader="none" w:pos="1055"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Investments outstanding on the Closing Date and any Investments received in respect thereof without the payment of additional consideration (other than through the issuance of or exchange of Qualified Capital Stock);</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Investments in cash and Cash Equivalents (including Investments that were Cash Equivalents when made);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Borrower may enter into Swap Contracts to the extent permitted by </w:t>
      </w:r>
      <w:r>
        <w:rPr>
          <w:rFonts w:ascii="Arial" w:cs="Arial" w:eastAsia="Arial" w:hAnsi="Arial"/>
          <w:sz w:val="18"/>
          <w:szCs w:val="18"/>
          <w:u w:val="single" w:color="auto"/>
          <w:color w:val="auto"/>
        </w:rPr>
        <w:t>Section 10.01(c)</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Investments (i) by Borrower in any Guarantor, (ii) by any Guarantor in Borrower and (iii) by a Guarantor in another Guarantor;</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the Credit Parties may sell or transfer assets to the extent permitted by </w:t>
      </w: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656"/>
        <w:spacing w:after="0" w:line="308" w:lineRule="auto"/>
        <w:tabs>
          <w:tab w:leader="none" w:pos="1103"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46" w:lineRule="exact"/>
        <w:rPr>
          <w:rFonts w:ascii="Arial" w:cs="Arial" w:eastAsia="Arial" w:hAnsi="Arial"/>
          <w:sz w:val="17"/>
          <w:szCs w:val="17"/>
          <w:color w:val="auto"/>
        </w:rPr>
      </w:pPr>
    </w:p>
    <w:p>
      <w:pPr>
        <w:ind w:left="1080" w:hanging="424"/>
        <w:spacing w:after="0"/>
        <w:tabs>
          <w:tab w:leader="none" w:pos="1080" w:val="left"/>
        </w:tabs>
        <w:numPr>
          <w:ilvl w:val="1"/>
          <w:numId w:val="128"/>
        </w:numPr>
        <w:rPr>
          <w:rFonts w:ascii="Arial" w:cs="Arial" w:eastAsia="Arial" w:hAnsi="Arial"/>
          <w:sz w:val="16"/>
          <w:szCs w:val="16"/>
          <w:color w:val="auto"/>
        </w:rPr>
      </w:pPr>
      <w:r>
        <w:rPr>
          <w:rFonts w:ascii="Arial" w:cs="Arial" w:eastAsia="Arial" w:hAnsi="Arial"/>
          <w:sz w:val="16"/>
          <w:szCs w:val="16"/>
          <w:color w:val="auto"/>
        </w:rPr>
        <w:t>Investments made by a Credit Party with, or as a result of, consideration received in connection with an Asset Sale made in compliance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Section 10.05</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firstLine="656"/>
        <w:spacing w:after="0" w:line="277" w:lineRule="auto"/>
        <w:tabs>
          <w:tab w:leader="none" w:pos="1079"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Investments made to officers, directors and employees in the ordinary course of business not to exceed $10.0 million in the aggregate at any time outstanding;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firstLine="656"/>
        <w:spacing w:after="0" w:line="277" w:lineRule="auto"/>
        <w:tabs>
          <w:tab w:leader="none" w:pos="1052"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accounts receivable, security deposits, prepayments (including prepayments of expenses), credits and extensions of trade credit (including to gaming customers) in the ordinary course of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 xml:space="preserve">Investments resulting from pledges and deposits permitted under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656"/>
        <w:spacing w:after="0" w:line="286" w:lineRule="auto"/>
        <w:tabs>
          <w:tab w:leader="none" w:pos="998" w:val="left"/>
        </w:tabs>
        <w:numPr>
          <w:ilvl w:val="1"/>
          <w:numId w:val="128"/>
        </w:numPr>
        <w:rPr>
          <w:rFonts w:ascii="Arial" w:cs="Arial" w:eastAsia="Arial" w:hAnsi="Arial"/>
          <w:sz w:val="16"/>
          <w:szCs w:val="16"/>
          <w:color w:val="auto"/>
        </w:rPr>
      </w:pPr>
      <w:r>
        <w:rPr>
          <w:rFonts w:ascii="Arial" w:cs="Arial" w:eastAsia="Arial" w:hAnsi="Arial"/>
          <w:sz w:val="16"/>
          <w:szCs w:val="16"/>
          <w:color w:val="auto"/>
        </w:rPr>
        <w:t xml:space="preserve">in addition to Investments otherwise permitted by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Investments by any Credit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immediately before and after giving effect thereto, no Event of Default specified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Event of Default specified in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with respect to Borrower has occurred and is continuing and (ii) (x) on or prior to the later of (A) the Wynn Massachusetts Project Opening Date and (B) December 31, 2019, the Consolidated Total Leverage Ratio shall not exceed 5.50 to 1.00 on a Pro Forma Basis as of the most recent Calculation Date and</w:t>
      </w:r>
    </w:p>
    <w:p>
      <w:pPr>
        <w:spacing w:after="0" w:line="1" w:lineRule="exact"/>
        <w:rPr>
          <w:rFonts w:ascii="Arial" w:cs="Arial" w:eastAsia="Arial" w:hAnsi="Arial"/>
          <w:sz w:val="16"/>
          <w:szCs w:val="16"/>
          <w:color w:val="auto"/>
        </w:rPr>
      </w:pPr>
    </w:p>
    <w:p>
      <w:pPr>
        <w:ind w:left="260" w:hanging="252"/>
        <w:spacing w:after="0"/>
        <w:tabs>
          <w:tab w:leader="none" w:pos="2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thereafter, the Consolidated Total Leverage Ratio shall not exceed 5.00 to 1.00 on a Pro Forma Basis as of the most recent Calculation Date;</w:t>
      </w:r>
    </w:p>
    <w:p>
      <w:pPr>
        <w:spacing w:after="0" w:line="222" w:lineRule="exact"/>
        <w:rPr>
          <w:rFonts w:ascii="Arial" w:cs="Arial" w:eastAsia="Arial" w:hAnsi="Arial"/>
          <w:sz w:val="17"/>
          <w:szCs w:val="17"/>
          <w:color w:val="auto"/>
        </w:rPr>
      </w:pPr>
    </w:p>
    <w:p>
      <w:pPr>
        <w:ind w:right="20" w:firstLine="656"/>
        <w:spacing w:after="0" w:line="308" w:lineRule="auto"/>
        <w:tabs>
          <w:tab w:leader="none" w:pos="1102" w:val="left"/>
        </w:tabs>
        <w:numPr>
          <w:ilvl w:val="1"/>
          <w:numId w:val="129"/>
        </w:numPr>
        <w:rPr>
          <w:rFonts w:ascii="Arial" w:cs="Arial" w:eastAsia="Arial" w:hAnsi="Arial"/>
          <w:sz w:val="17"/>
          <w:szCs w:val="17"/>
          <w:color w:val="auto"/>
        </w:rPr>
      </w:pPr>
      <w:r>
        <w:rPr>
          <w:rFonts w:ascii="Arial" w:cs="Arial" w:eastAsia="Arial" w:hAnsi="Arial"/>
          <w:sz w:val="17"/>
          <w:szCs w:val="17"/>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46" w:lineRule="exact"/>
        <w:rPr>
          <w:rFonts w:ascii="Arial" w:cs="Arial" w:eastAsia="Arial" w:hAnsi="Arial"/>
          <w:sz w:val="17"/>
          <w:szCs w:val="17"/>
          <w:color w:val="auto"/>
        </w:rPr>
      </w:pPr>
    </w:p>
    <w:p>
      <w:pPr>
        <w:jc w:val="both"/>
        <w:ind w:firstLine="656"/>
        <w:spacing w:after="0" w:line="264" w:lineRule="auto"/>
        <w:tabs>
          <w:tab w:leader="none" w:pos="106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Investments of a Guarantor acquired after the Closing Date or of a Person merged or consolidated with or into a Credit Party,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Investments in the nature of pledges or deposits with respect to leases or utilities provided to third parties in the ordinary course of business;</w:t>
      </w:r>
    </w:p>
    <w:p>
      <w:pPr>
        <w:spacing w:after="0" w:line="248" w:lineRule="exact"/>
        <w:rPr>
          <w:rFonts w:ascii="Arial" w:cs="Arial" w:eastAsia="Arial" w:hAnsi="Arial"/>
          <w:sz w:val="16"/>
          <w:szCs w:val="16"/>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7" w:lineRule="auto"/>
        <w:tabs>
          <w:tab w:leader="none" w:pos="1052"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Investments in an aggregate amount not in excess of an amount equal to $1.0 billion (plus the amounts received by a Credit Party with respect to such Investments (including principal, interest, dividends, distributions, sale proceeds or other similar amounts));</w:t>
      </w:r>
    </w:p>
    <w:p>
      <w:pPr>
        <w:spacing w:after="0" w:line="170" w:lineRule="exact"/>
        <w:rPr>
          <w:rFonts w:ascii="Arial" w:cs="Arial" w:eastAsia="Arial" w:hAnsi="Arial"/>
          <w:sz w:val="18"/>
          <w:szCs w:val="18"/>
          <w:color w:val="auto"/>
        </w:rPr>
      </w:pPr>
    </w:p>
    <w:p>
      <w:pPr>
        <w:ind w:right="20" w:firstLine="656"/>
        <w:spacing w:after="0" w:line="277" w:lineRule="auto"/>
        <w:tabs>
          <w:tab w:leader="none" w:pos="1008"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(or such Investments are received substantially contemporaneously in exchange for) Qualified Capital Stock of any Credit Party;</w:t>
      </w:r>
    </w:p>
    <w:p>
      <w:pPr>
        <w:spacing w:after="0" w:line="170" w:lineRule="exact"/>
        <w:rPr>
          <w:rFonts w:ascii="Arial" w:cs="Arial" w:eastAsia="Arial" w:hAnsi="Arial"/>
          <w:sz w:val="18"/>
          <w:szCs w:val="18"/>
          <w:color w:val="auto"/>
        </w:rPr>
      </w:pPr>
    </w:p>
    <w:p>
      <w:pPr>
        <w:ind w:firstLine="656"/>
        <w:spacing w:after="0" w:line="277" w:lineRule="auto"/>
        <w:tabs>
          <w:tab w:leader="none" w:pos="105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170" w:lineRule="exact"/>
        <w:rPr>
          <w:rFonts w:ascii="Arial" w:cs="Arial" w:eastAsia="Arial" w:hAnsi="Arial"/>
          <w:sz w:val="18"/>
          <w:szCs w:val="18"/>
          <w:color w:val="auto"/>
        </w:rPr>
      </w:pPr>
    </w:p>
    <w:p>
      <w:pPr>
        <w:ind w:right="20" w:firstLine="656"/>
        <w:spacing w:after="0" w:line="277" w:lineRule="auto"/>
        <w:tabs>
          <w:tab w:leader="none" w:pos="107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Investments consisting of the licensing of intellectual property pursuant to joint marketing or other arrangements with other persons in the ordinary course of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Investments in any Subsidiary or Joint Venture of a Guarantor;</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11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Borrower and the Guarantors may make Investments in an aggregate amount not in excess of an amount equal to $50.0 million (plus the amounts received by Borrower and the Guarantors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aggregate amount of Restricted Payments made pursuant to </w:t>
      </w:r>
      <w:r>
        <w:rPr>
          <w:rFonts w:ascii="Arial" w:cs="Arial" w:eastAsia="Arial" w:hAnsi="Arial"/>
          <w:sz w:val="18"/>
          <w:szCs w:val="18"/>
          <w:u w:val="single" w:color="auto"/>
          <w:color w:val="auto"/>
        </w:rPr>
        <w:t>Section 10.06(l)</w:t>
      </w:r>
      <w:r>
        <w:rPr>
          <w:rFonts w:ascii="Arial" w:cs="Arial" w:eastAsia="Arial" w:hAnsi="Arial"/>
          <w:sz w:val="18"/>
          <w:szCs w:val="18"/>
          <w:color w:val="auto"/>
        </w:rPr>
        <w:t xml:space="preserve"> and the aggregate amount of Junior Prepayments made pursuant to </w:t>
      </w:r>
      <w:r>
        <w:rPr>
          <w:rFonts w:ascii="Arial" w:cs="Arial" w:eastAsia="Arial" w:hAnsi="Arial"/>
          <w:sz w:val="18"/>
          <w:szCs w:val="18"/>
          <w:u w:val="single" w:color="auto"/>
          <w:color w:val="auto"/>
        </w:rPr>
        <w:t>Section 10.09(j)</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firstLine="656"/>
        <w:spacing w:after="0" w:line="342" w:lineRule="auto"/>
        <w:tabs>
          <w:tab w:leader="none" w:pos="1078"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Investments in any Subsidiary made in the ordinary course of business and that, in the reasonable good faith belief of the Credit Parties, will be returned, repaid, or otherwise distributed by such Subsidiary to the Credit Parties within eighteen (18) months of such Investments being made; and</w:t>
      </w:r>
    </w:p>
    <w:p>
      <w:pPr>
        <w:sectPr>
          <w:pgSz w:w="11900" w:h="16838" w:orient="portrait"/>
          <w:cols w:equalWidth="0" w:num="1">
            <w:col w:w="11420"/>
          </w:cols>
          <w:pgMar w:left="240" w:top="125" w:right="239" w:bottom="0" w:gutter="0" w:footer="0" w:header="0"/>
        </w:sectPr>
      </w:pPr>
    </w:p>
    <w:bookmarkStart w:id="115" w:name="page116"/>
    <w:bookmarkEnd w:id="115"/>
    <w:p>
      <w:pPr>
        <w:jc w:val="both"/>
        <w:ind w:firstLine="656"/>
        <w:spacing w:after="0" w:line="257" w:lineRule="auto"/>
        <w:tabs>
          <w:tab w:leader="none" w:pos="1038"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by this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Investments by Borrower or any Guarantor in an amount not to exceed the Available Equity Amount determined at the time such Investment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Investment pursuant to this clause (x) is made in any person that is not a Credit Party at the date of the making of such Investment and such person becomes a Credit Party after such date, such Investment shall, upon the election of Borrower, thereafter be deemed to have been made pursuant to clause (d) above and shall cease to have been made pursuant to this clause (x) for so long as such person continues to be a Credit Party.</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Any Investment in any person other than a Guarantor that is otherwise permitted by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may be made through intermediate Investments in Subsidiaries that are not Guarantors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 For purposes of determining compliance with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 Investments need not be permitted solely by reference to one category of permitted Investments described in </w:t>
      </w:r>
      <w:r>
        <w:rPr>
          <w:rFonts w:ascii="Arial" w:cs="Arial" w:eastAsia="Arial" w:hAnsi="Arial"/>
          <w:sz w:val="16"/>
          <w:szCs w:val="16"/>
          <w:u w:val="single" w:color="auto"/>
          <w:color w:val="auto"/>
        </w:rPr>
        <w:t>Sections 10.04(a)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w:t>
      </w:r>
      <w:r>
        <w:rPr>
          <w:rFonts w:ascii="Arial" w:cs="Arial" w:eastAsia="Arial" w:hAnsi="Arial"/>
          <w:sz w:val="16"/>
          <w:szCs w:val="16"/>
          <w:color w:val="auto"/>
        </w:rPr>
        <w:t xml:space="preserve"> but may be permitted in part under any combination thereof and (B) in the event that an item of Investments (or any portion thereof) meets the criteria of one or more of the categories of permitted Investments described in </w:t>
      </w:r>
      <w:r>
        <w:rPr>
          <w:rFonts w:ascii="Arial" w:cs="Arial" w:eastAsia="Arial" w:hAnsi="Arial"/>
          <w:sz w:val="16"/>
          <w:szCs w:val="16"/>
          <w:u w:val="single" w:color="auto"/>
          <w:color w:val="auto"/>
        </w:rPr>
        <w:t>Sections 10.04(a)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w:t>
      </w:r>
      <w:r>
        <w:rPr>
          <w:rFonts w:ascii="Arial" w:cs="Arial" w:eastAsia="Arial" w:hAnsi="Arial"/>
          <w:sz w:val="16"/>
          <w:szCs w:val="16"/>
          <w:color w:val="auto"/>
        </w:rPr>
        <w:t xml:space="preserve">, Borrower shall, in its sole discretion, classify or reclassify, or later divide, classify or reclassify, such Investment (or any portion thereof) in any manner that complies with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will only be required to include the amount and type of such item of Investments (or any portion thereof) in one of the above clauses and such item of Investments (or any portion thereof) shall be treated as having been incurred or existing pursuant to only one of such clauses,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all Investments under this Agreement outstanding on the Closing Date shall at all times be deemed to have been incurred pursuant to clause (a)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may not be reclassified. In addition, Investments by any Credit Party in any Person that is not a Credit Party at the date of the making of such Investment and such person becomes a Credit Party after such date, such Investment shall, upon the election of Borrower, thereafter be deemed to have been made pursuant to clause (d) above and shall cease to have been made pursuant to any other clause of this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for so long as such person continues to be a Credit Party.</w:t>
      </w:r>
    </w:p>
    <w:p>
      <w:pPr>
        <w:spacing w:after="0" w:line="16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No Credit Party will wind up, liquidate, or dissolve its affairs or enter into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of merger or consolidation (other than solely to change the jurisdiction of organization or type of organization (to the extent in compliance with the applicable provisions of the Pledge Agreement)), or convey, sell, lease, or sublease (as lessor or sublessor), transfer or otherwise dispose of all or substantially all of its business, property or assets, except for:</w:t>
      </w:r>
    </w:p>
    <w:p>
      <w:pPr>
        <w:spacing w:after="0" w:line="184" w:lineRule="exact"/>
        <w:rPr>
          <w:sz w:val="20"/>
          <w:szCs w:val="20"/>
          <w:color w:val="auto"/>
        </w:rPr>
      </w:pPr>
    </w:p>
    <w:p>
      <w:pPr>
        <w:ind w:left="1040" w:hanging="384"/>
        <w:spacing w:after="0"/>
        <w:tabs>
          <w:tab w:leader="none" w:pos="104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Capital Expenditures by the Credit Parties;</w:t>
      </w:r>
    </w:p>
    <w:p>
      <w:pPr>
        <w:spacing w:after="0" w:line="225" w:lineRule="exact"/>
        <w:rPr>
          <w:rFonts w:ascii="Arial" w:cs="Arial" w:eastAsia="Arial" w:hAnsi="Arial"/>
          <w:sz w:val="18"/>
          <w:szCs w:val="18"/>
          <w:color w:val="auto"/>
        </w:rPr>
      </w:pPr>
    </w:p>
    <w:p>
      <w:pPr>
        <w:jc w:val="both"/>
        <w:ind w:firstLine="656"/>
        <w:spacing w:after="0" w:line="279" w:lineRule="auto"/>
        <w:tabs>
          <w:tab w:leader="none" w:pos="1092" w:val="left"/>
        </w:tabs>
        <w:numPr>
          <w:ilvl w:val="1"/>
          <w:numId w:val="131"/>
        </w:numPr>
        <w:rPr>
          <w:rFonts w:ascii="Arial" w:cs="Arial" w:eastAsia="Arial" w:hAnsi="Arial"/>
          <w:sz w:val="17"/>
          <w:szCs w:val="17"/>
          <w:color w:val="auto"/>
        </w:rPr>
      </w:pPr>
      <w:r>
        <w:rPr>
          <w:rFonts w:ascii="Arial" w:cs="Arial" w:eastAsia="Arial" w:hAnsi="Arial"/>
          <w:sz w:val="17"/>
          <w:szCs w:val="17"/>
          <w:color w:val="auto"/>
        </w:rPr>
        <w:t>Sales or dispositions by a Credit Party of used, worn out, obsolete, or surplus Property or Property no longer useful in the business of such Credit Party in the ordinary course of business and the abandonment or other sale of Intellectual Property that is, in the reasonable judgment of Borrower, no longer economically practicable to maintain or useful in the conduct of the business of the Credit Parties taken as a whole; and the termination or assignment of Contractual Obligations to the extent such termination or assignment does not have a Material Adverse Effect;</w:t>
      </w:r>
    </w:p>
    <w:p>
      <w:pPr>
        <w:spacing w:after="0" w:line="171" w:lineRule="exact"/>
        <w:rPr>
          <w:rFonts w:ascii="Arial" w:cs="Arial" w:eastAsia="Arial" w:hAnsi="Arial"/>
          <w:sz w:val="17"/>
          <w:szCs w:val="17"/>
          <w:color w:val="auto"/>
        </w:rPr>
      </w:pPr>
    </w:p>
    <w:p>
      <w:pPr>
        <w:ind w:left="1100" w:hanging="444"/>
        <w:spacing w:after="0"/>
        <w:tabs>
          <w:tab w:leader="none" w:pos="1100" w:val="left"/>
        </w:tabs>
        <w:numPr>
          <w:ilvl w:val="1"/>
          <w:numId w:val="131"/>
        </w:numPr>
        <w:rPr>
          <w:rFonts w:ascii="Arial" w:cs="Arial" w:eastAsia="Arial" w:hAnsi="Arial"/>
          <w:sz w:val="17"/>
          <w:szCs w:val="17"/>
          <w:color w:val="auto"/>
        </w:rPr>
      </w:pPr>
      <w:r>
        <w:rPr>
          <w:rFonts w:ascii="Arial" w:cs="Arial" w:eastAsia="Arial" w:hAnsi="Arial"/>
          <w:sz w:val="17"/>
          <w:szCs w:val="17"/>
          <w:color w:val="auto"/>
        </w:rPr>
        <w:t xml:space="preserve">Asset Sales by any Credit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at the time of such Asset Sale, no Event of Default then exists or would arise therefrom,</w:t>
      </w:r>
    </w:p>
    <w:p>
      <w:pPr>
        <w:spacing w:after="0" w:line="34" w:lineRule="exact"/>
        <w:rPr>
          <w:rFonts w:ascii="Arial" w:cs="Arial" w:eastAsia="Arial" w:hAnsi="Arial"/>
          <w:sz w:val="17"/>
          <w:szCs w:val="17"/>
          <w:color w:val="auto"/>
        </w:rPr>
      </w:pPr>
    </w:p>
    <w:p>
      <w:pPr>
        <w:jc w:val="both"/>
        <w:ind w:firstLine="8"/>
        <w:spacing w:after="0" w:line="286" w:lineRule="auto"/>
        <w:tabs>
          <w:tab w:leader="none" w:pos="274" w:val="left"/>
        </w:tabs>
        <w:numPr>
          <w:ilvl w:val="0"/>
          <w:numId w:val="132"/>
        </w:numPr>
        <w:rPr>
          <w:rFonts w:ascii="Arial" w:cs="Arial" w:eastAsia="Arial" w:hAnsi="Arial"/>
          <w:sz w:val="16"/>
          <w:szCs w:val="16"/>
          <w:color w:val="auto"/>
        </w:rPr>
      </w:pPr>
      <w:r>
        <w:rPr>
          <w:rFonts w:ascii="Arial" w:cs="Arial" w:eastAsia="Arial" w:hAnsi="Arial"/>
          <w:sz w:val="16"/>
          <w:szCs w:val="16"/>
          <w:color w:val="auto"/>
        </w:rPr>
        <w:t xml:space="preserve">the Credit Parties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such Credit Party’s most recent balance sheet provided hereunder or in the footnotes thereto) of such Credit Party, other than liabilities that are by their terms subordinated to the payment in cash of the Obligations, that are assumed by the transferee with respect to the applicable Asset Sale and for which all of the applicable Credit Parties shall have been validly released by all applicable creditors in writing, (B) any securities received by such Credit Party from such transferee that are converted by such Credit Party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 (C) that is at that time outstanding, not in excess of $50.0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w:t>
      </w:r>
      <w:r>
        <w:rPr>
          <w:rFonts w:ascii="Arial" w:cs="Arial" w:eastAsia="Arial" w:hAnsi="Arial"/>
          <w:sz w:val="16"/>
          <w:szCs w:val="16"/>
          <w:u w:val="single" w:color="auto"/>
          <w:color w:val="auto"/>
        </w:rPr>
        <w:t>Section 2.10(a)(iii)</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firstLine="656"/>
        <w:spacing w:after="0" w:line="277" w:lineRule="auto"/>
        <w:tabs>
          <w:tab w:leader="none" w:pos="1146"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Liens permitted by </w:t>
      </w:r>
      <w:r>
        <w:rPr>
          <w:rFonts w:ascii="Arial" w:cs="Arial" w:eastAsia="Arial" w:hAnsi="Arial"/>
          <w:sz w:val="18"/>
          <w:szCs w:val="18"/>
          <w:u w:val="single" w:color="auto"/>
          <w:color w:val="auto"/>
        </w:rPr>
        <w:t>Section 10.02</w:t>
      </w:r>
      <w:r>
        <w:rPr>
          <w:rFonts w:ascii="Arial" w:cs="Arial" w:eastAsia="Arial" w:hAnsi="Arial"/>
          <w:sz w:val="18"/>
          <w:szCs w:val="18"/>
          <w:color w:val="auto"/>
        </w:rPr>
        <w:t xml:space="preserve">, Investments may be made to the extent permitted by </w:t>
      </w:r>
      <w:r>
        <w:rPr>
          <w:rFonts w:ascii="Arial" w:cs="Arial" w:eastAsia="Arial" w:hAnsi="Arial"/>
          <w:sz w:val="18"/>
          <w:szCs w:val="18"/>
          <w:u w:val="single" w:color="auto"/>
          <w:color w:val="auto"/>
        </w:rPr>
        <w:t>Section 10.04</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10.04(e)</w:t>
      </w:r>
      <w:r>
        <w:rPr>
          <w:rFonts w:ascii="Arial" w:cs="Arial" w:eastAsia="Arial" w:hAnsi="Arial"/>
          <w:sz w:val="18"/>
          <w:szCs w:val="18"/>
          <w:color w:val="auto"/>
        </w:rPr>
        <w:t xml:space="preserve">) and Restricted Payments may be made to the extent permitted by </w:t>
      </w:r>
      <w:r>
        <w:rPr>
          <w:rFonts w:ascii="Arial" w:cs="Arial" w:eastAsia="Arial" w:hAnsi="Arial"/>
          <w:sz w:val="18"/>
          <w:szCs w:val="18"/>
          <w:u w:val="single" w:color="auto"/>
          <w:color w:val="auto"/>
        </w:rPr>
        <w:t>Section 10.06</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Credit Parties may dispose of cash and Cash Equivalents;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Credit Parties may lease (as lessor or sublessor) real or personal property to the extent permitted under </w:t>
      </w:r>
      <w:r>
        <w:rPr>
          <w:rFonts w:ascii="Arial" w:cs="Arial" w:eastAsia="Arial" w:hAnsi="Arial"/>
          <w:sz w:val="18"/>
          <w:szCs w:val="18"/>
          <w:u w:val="single" w:color="auto"/>
          <w:color w:val="auto"/>
        </w:rPr>
        <w:t>Section 10.02</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licenses and sublicenses by a Credit Party of software and Intellectual Property in the ordinary course of business shall be permitted;</w:t>
      </w:r>
    </w:p>
    <w:p>
      <w:pPr>
        <w:spacing w:after="0" w:line="236" w:lineRule="exact"/>
        <w:rPr>
          <w:rFonts w:ascii="Arial" w:cs="Arial" w:eastAsia="Arial" w:hAnsi="Arial"/>
          <w:sz w:val="17"/>
          <w:szCs w:val="17"/>
          <w:color w:val="auto"/>
        </w:rPr>
      </w:pPr>
    </w:p>
    <w:p>
      <w:pPr>
        <w:jc w:val="both"/>
        <w:ind w:firstLine="656"/>
        <w:spacing w:after="0" w:line="254" w:lineRule="auto"/>
        <w:tabs>
          <w:tab w:leader="none" w:pos="1187" w:val="left"/>
        </w:tabs>
        <w:numPr>
          <w:ilvl w:val="1"/>
          <w:numId w:val="132"/>
        </w:numPr>
        <w:rPr>
          <w:rFonts w:ascii="Arial" w:cs="Arial" w:eastAsia="Arial" w:hAnsi="Arial"/>
          <w:sz w:val="18"/>
          <w:szCs w:val="18"/>
          <w:color w:val="auto"/>
        </w:rPr>
      </w:pPr>
      <w:r>
        <w:rPr>
          <w:rFonts w:ascii="Arial" w:cs="Arial" w:eastAsia="Arial" w:hAnsi="Arial"/>
          <w:sz w:val="18"/>
          <w:szCs w:val="18"/>
          <w:color w:val="auto"/>
        </w:rPr>
        <w:t xml:space="preserve">(A) a Credit Party may transfer or lease property to or acquire or lease property from another Credit Party or otherwise pursuant to Management Agreements or IP Licensing Agreements; (B) any Guarantor may merge or consolidate with or into Borrower (as long as Borrower is the surviving Person) or any Guarantor (as long as the surviving Person is, or becomes substantially concurrently with such merger or consolidation, a Guarantor); and (C) any Credit Party may be voluntarily liquidated, voluntarily wound up or voluntarily dissolved (so long as any such liquidation or winding up does not constitute or involve an Asset Sale to any Person other than to Borrower or any other Credit Party unless such Asset Sale is otherwise permitted pursuant to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in each case with respect to clauses (A) and (B) of this </w:t>
      </w:r>
      <w:r>
        <w:rPr>
          <w:rFonts w:ascii="Arial" w:cs="Arial" w:eastAsia="Arial" w:hAnsi="Arial"/>
          <w:sz w:val="18"/>
          <w:szCs w:val="18"/>
          <w:u w:val="single" w:color="auto"/>
          <w:color w:val="auto"/>
        </w:rPr>
        <w:t>Section 10.05(h)</w:t>
      </w:r>
      <w:r>
        <w:rPr>
          <w:rFonts w:ascii="Arial" w:cs="Arial" w:eastAsia="Arial" w:hAnsi="Arial"/>
          <w:sz w:val="18"/>
          <w:szCs w:val="18"/>
          <w:color w:val="auto"/>
        </w:rPr>
        <w:t>, the Lien on such property granted in favor of Collateral Agent under the Security Documents, if any, shall be maintained in accordance with the provisions of this Agreement and the applicable Security Documents;</w:t>
      </w:r>
    </w:p>
    <w:p>
      <w:pPr>
        <w:spacing w:after="0" w:line="192" w:lineRule="exact"/>
        <w:rPr>
          <w:rFonts w:ascii="Arial" w:cs="Arial" w:eastAsia="Arial" w:hAnsi="Arial"/>
          <w:sz w:val="18"/>
          <w:szCs w:val="18"/>
          <w:color w:val="auto"/>
        </w:rPr>
      </w:pPr>
    </w:p>
    <w:p>
      <w:pPr>
        <w:ind w:left="1000" w:hanging="344"/>
        <w:spacing w:after="0"/>
        <w:tabs>
          <w:tab w:leader="none" w:pos="10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any taking by a Governmental Authority of assets or property, or any part thereof, under the power of eminent domain or condemnation;</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Credit Parties may make sales, transfers or other dispositions of property subject to a Casualty Event;</w:t>
      </w:r>
    </w:p>
    <w:p>
      <w:pPr>
        <w:spacing w:after="0" w:line="225" w:lineRule="exact"/>
        <w:rPr>
          <w:rFonts w:ascii="Arial" w:cs="Arial" w:eastAsia="Arial" w:hAnsi="Arial"/>
          <w:sz w:val="18"/>
          <w:szCs w:val="18"/>
          <w:color w:val="auto"/>
        </w:rPr>
      </w:pPr>
    </w:p>
    <w:p>
      <w:pPr>
        <w:ind w:firstLine="656"/>
        <w:spacing w:after="0" w:line="342" w:lineRule="auto"/>
        <w:tabs>
          <w:tab w:leader="none" w:pos="1115" w:val="left"/>
        </w:tabs>
        <w:numPr>
          <w:ilvl w:val="1"/>
          <w:numId w:val="132"/>
        </w:numPr>
        <w:rPr>
          <w:rFonts w:ascii="Arial" w:cs="Arial" w:eastAsia="Arial" w:hAnsi="Arial"/>
          <w:sz w:val="16"/>
          <w:szCs w:val="16"/>
          <w:color w:val="auto"/>
        </w:rPr>
      </w:pPr>
      <w:r>
        <w:rPr>
          <w:rFonts w:ascii="Arial" w:cs="Arial" w:eastAsia="Arial" w:hAnsi="Arial"/>
          <w:sz w:val="16"/>
          <w:szCs w:val="16"/>
          <w:color w:val="auto"/>
        </w:rPr>
        <w:t>Credit Parties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ectPr>
          <w:pgSz w:w="11900" w:h="16838" w:orient="portrait"/>
          <w:cols w:equalWidth="0" w:num="1">
            <w:col w:w="11420"/>
          </w:cols>
          <w:pgMar w:left="240" w:top="125" w:right="239" w:bottom="0" w:gutter="0" w:footer="0" w:header="0"/>
        </w:sectPr>
      </w:pPr>
    </w:p>
    <w:bookmarkStart w:id="116" w:name="page117"/>
    <w:bookmarkEnd w:id="116"/>
    <w:p>
      <w:pPr>
        <w:ind w:left="1040" w:hanging="384"/>
        <w:spacing w:after="0"/>
        <w:tabs>
          <w:tab w:leader="none" w:pos="10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038"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 and</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any transfer of Equity Interests of any Guarantor or any Gaming Facility in connection with the occurrence of a Trigger Event.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To the extent any Collateral is sold, transferred or otherwise disposed of as permitted by this </w:t>
      </w:r>
      <w:r>
        <w:rPr>
          <w:rFonts w:ascii="Arial" w:cs="Arial" w:eastAsia="Arial" w:hAnsi="Arial"/>
          <w:sz w:val="17"/>
          <w:szCs w:val="17"/>
          <w:u w:val="single" w:color="auto"/>
          <w:color w:val="auto"/>
        </w:rPr>
        <w:t>Section 10.05</w:t>
      </w:r>
      <w:r>
        <w:rPr>
          <w:rFonts w:ascii="Arial" w:cs="Arial" w:eastAsia="Arial" w:hAnsi="Arial"/>
          <w:sz w:val="17"/>
          <w:szCs w:val="17"/>
          <w:color w:val="auto"/>
        </w:rPr>
        <w:t xml:space="preserve"> or in connection with a transaction approved by the Required Lenders, in each case, to a Person other than a Credit Party, so long as no Event of Default exists, such Collateral (unless sold to Borrower or a Guarantor) shall, except as set forth in the proviso to </w:t>
      </w:r>
      <w:r>
        <w:rPr>
          <w:rFonts w:ascii="Arial" w:cs="Arial" w:eastAsia="Arial" w:hAnsi="Arial"/>
          <w:sz w:val="17"/>
          <w:szCs w:val="17"/>
          <w:u w:val="single" w:color="auto"/>
          <w:color w:val="auto"/>
        </w:rPr>
        <w:t>Section 10.05(h)</w:t>
      </w:r>
      <w:r>
        <w:rPr>
          <w:rFonts w:ascii="Arial" w:cs="Arial" w:eastAsia="Arial" w:hAnsi="Arial"/>
          <w:sz w:val="17"/>
          <w:szCs w:val="17"/>
          <w:color w:val="auto"/>
        </w:rPr>
        <w:t>,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Notwithstanding anything to the foregoing set forth in this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(i) except as permitted pursuant to </w:t>
      </w:r>
      <w:r>
        <w:rPr>
          <w:rFonts w:ascii="Arial" w:cs="Arial" w:eastAsia="Arial" w:hAnsi="Arial"/>
          <w:sz w:val="18"/>
          <w:szCs w:val="18"/>
          <w:u w:val="single" w:color="auto"/>
          <w:color w:val="auto"/>
        </w:rPr>
        <w:t>Section 10.05(g)</w:t>
      </w:r>
      <w:r>
        <w:rPr>
          <w:rFonts w:ascii="Arial" w:cs="Arial" w:eastAsia="Arial" w:hAnsi="Arial"/>
          <w:sz w:val="18"/>
          <w:szCs w:val="18"/>
          <w:color w:val="auto"/>
        </w:rPr>
        <w:t xml:space="preserve"> no Credit Party shall sell, assign, convey, license, sublicense, or otherwise transfer any right, title, or interest in and to the Wynn Trademarks to any Person that is not a Credit Party and (ii) no Credit Party shall sell, assign, convey or otherwise transfer any of its rights, interests or obligations under any Management Agreement or IP Licensing Agreement in effect on the Closing Date to any Person that is not a Credit Party.</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b w:val="1"/>
          <w:bCs w:val="1"/>
          <w:color w:val="auto"/>
        </w:rPr>
        <w:t>SECTION 10.06. Restricted Payments</w:t>
      </w:r>
      <w:r>
        <w:rPr>
          <w:rFonts w:ascii="Arial" w:cs="Arial" w:eastAsia="Arial" w:hAnsi="Arial"/>
          <w:sz w:val="16"/>
          <w:szCs w:val="16"/>
          <w:color w:val="auto"/>
        </w:rPr>
        <w:t>. No Credit Party shall, directly or indirectly, declare or make any Restricted Payment at any time, except,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without duplication, (a) Borrower or any Guarantor may make Restricted Payments to the extent permitted pursuant to </w:t>
      </w:r>
      <w:r>
        <w:rPr>
          <w:rFonts w:ascii="Arial" w:cs="Arial" w:eastAsia="Arial" w:hAnsi="Arial"/>
          <w:sz w:val="16"/>
          <w:szCs w:val="16"/>
          <w:u w:val="single" w:color="auto"/>
          <w:color w:val="auto"/>
        </w:rPr>
        <w:t>Section 2.09(b)(ii)</w:t>
      </w:r>
      <w:r>
        <w:rPr>
          <w:rFonts w:ascii="Arial" w:cs="Arial" w:eastAsia="Arial" w:hAnsi="Arial"/>
          <w:sz w:val="16"/>
          <w:szCs w:val="16"/>
          <w:color w:val="auto"/>
        </w:rPr>
        <w:t xml:space="preserve">, (b) any Guarantor of Borrower may declare and make Restricted Payments to Borrower or any other Guarantor, (c) any Guarantor, if such Guarantor is not a Wholly Owned Subsidiary, may declare and make Restricted Payments in respect of its Equity Interests to all holders of such Equity Interests generally so long as Borrower or the Guarantor that owns such Equity Interest or interests in the Person making such Restricted Payments receives at least its proportionate share thereof (based upon its relative ownership of the subject Equity Interests and the terms thereof), (d) Borrower and the Guarantors may engage in transactions to the extent permitted by </w:t>
      </w:r>
      <w:r>
        <w:rPr>
          <w:rFonts w:ascii="Arial" w:cs="Arial" w:eastAsia="Arial" w:hAnsi="Arial"/>
          <w:sz w:val="16"/>
          <w:szCs w:val="16"/>
          <w:u w:val="single" w:color="auto"/>
          <w:color w:val="auto"/>
        </w:rPr>
        <w:t>Section 10.04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(e) Borrower and the Guarantors may make Restricted Payments in respect of Disqualified Capital Stock issued in compliance with the terms hereof, (f) Borrower may repurchase (or make Restricted Payments in respect thereof) common stock or common stock options from present or former officers, directors or employees (or heirs of, estates of or trusts formed by such Persons) of Borrower upon the death, disability, retirement or termination of employment of such officer, director or employee or pursuant to the terms of any stock option plan or like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aggregate amount of payments under this clause (f) shall not exceed $10.0 million in any fiscal year of Borrower, (g) Borrower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the Guarantors may (i) repurchase (or make Restricted Payments in respect thereof) Equity Interests (including those issued by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Guarantor or family members, spouses or former spouses, heirs of, estates of or trusts formed by such Persons in connection with the exercise of stock options or grant, vesting or delivery of Equity Interests, (h) Borrower and the Guarantors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 so long as immediately before and after giving effect thereto no Event of Default specified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Event of Default specified in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with respect to Borrower has occurred and is continuing and the Consolidated Total Leverage Ratio shall not exceed 4.00 to 1.00 on a Pro Forma Basis as of the most recent Calculation Date, Borrower and the Guarantors may make Restricted Payments, (j) to the extent constituting Restricted Payments, Borrower may make payments to counterparties under Swap Contracts entered into in connection with the issuance of convertible or exchangeable debt, (k) Borrower may repurchase its Equity Interests;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aggregate amount of payments under this clause (k) shall not exceed $1.0 billion, (l) Borrower and the Guarantors may make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Payments in an aggregate amount not to exceed $50.0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Junior Prepayments made pursuant to </w:t>
      </w:r>
      <w:r>
        <w:rPr>
          <w:rFonts w:ascii="Arial" w:cs="Arial" w:eastAsia="Arial" w:hAnsi="Arial"/>
          <w:sz w:val="16"/>
          <w:szCs w:val="16"/>
          <w:u w:val="single" w:color="auto"/>
          <w:color w:val="auto"/>
        </w:rPr>
        <w:t>Section 10.09(j)</w:t>
      </w:r>
      <w:r>
        <w:rPr>
          <w:rFonts w:ascii="Arial" w:cs="Arial" w:eastAsia="Arial" w:hAnsi="Arial"/>
          <w:sz w:val="16"/>
          <w:szCs w:val="16"/>
          <w:color w:val="auto"/>
        </w:rPr>
        <w:t xml:space="preserve"> and the aggregate amount of Investments made (and as calculated) pursuant to </w:t>
      </w:r>
      <w:r>
        <w:rPr>
          <w:rFonts w:ascii="Arial" w:cs="Arial" w:eastAsia="Arial" w:hAnsi="Arial"/>
          <w:sz w:val="16"/>
          <w:szCs w:val="16"/>
          <w:u w:val="single" w:color="auto"/>
          <w:color w:val="auto"/>
        </w:rPr>
        <w:t>Section 10.04(v)</w:t>
      </w:r>
      <w:r>
        <w:rPr>
          <w:rFonts w:ascii="Arial" w:cs="Arial" w:eastAsia="Arial" w:hAnsi="Arial"/>
          <w:sz w:val="16"/>
          <w:szCs w:val="16"/>
          <w:color w:val="auto"/>
        </w:rPr>
        <w:t xml:space="preserve">, (m) Borrower may make Restricted Payments in respect of its Equity Interests reflecting ordinary course dividends thereon;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aggregate amount of payments under this clause (m) shall not exceed</w:t>
      </w:r>
    </w:p>
    <w:p>
      <w:pPr>
        <w:spacing w:after="0" w:line="16" w:lineRule="exact"/>
        <w:rPr>
          <w:sz w:val="20"/>
          <w:szCs w:val="20"/>
          <w:color w:val="auto"/>
        </w:rPr>
      </w:pPr>
    </w:p>
    <w:p>
      <w:pPr>
        <w:jc w:val="both"/>
        <w:ind w:firstLine="8"/>
        <w:spacing w:after="0" w:line="252" w:lineRule="auto"/>
        <w:tabs>
          <w:tab w:leader="none" w:pos="226"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until the later of (x) the fiscal year in which the Wynn Massachusetts Project Opening Date occurs and (y) the fiscal year commencing January 1, 2020, $500.0 million in any fiscal year and (ii) thereafter, $750.0 million in any fiscal year; </w:t>
      </w:r>
      <w:r>
        <w:rPr>
          <w:rFonts w:ascii="Arial" w:cs="Arial" w:eastAsia="Arial" w:hAnsi="Arial"/>
          <w:sz w:val="18"/>
          <w:szCs w:val="18"/>
          <w:i w:val="1"/>
          <w:iCs w:val="1"/>
          <w:color w:val="auto"/>
        </w:rPr>
        <w:t>provided, further however</w:t>
      </w:r>
      <w:r>
        <w:rPr>
          <w:rFonts w:ascii="Arial" w:cs="Arial" w:eastAsia="Arial" w:hAnsi="Arial"/>
          <w:sz w:val="18"/>
          <w:szCs w:val="18"/>
          <w:color w:val="auto"/>
        </w:rPr>
        <w:t>, that any such amount specified in this clause (m) for any fiscal year, if not utilized for Restricted Payments in the fiscal year for which it is permitted, may be carried over for use in the immediately following two fiscal years and not in any subsequent fiscal year (the “</w:t>
      </w:r>
      <w:r>
        <w:rPr>
          <w:rFonts w:ascii="Arial" w:cs="Arial" w:eastAsia="Arial" w:hAnsi="Arial"/>
          <w:sz w:val="18"/>
          <w:szCs w:val="18"/>
          <w:b w:val="1"/>
          <w:bCs w:val="1"/>
          <w:color w:val="auto"/>
        </w:rPr>
        <w:t>Carryover Amount</w:t>
      </w:r>
      <w:r>
        <w:rPr>
          <w:rFonts w:ascii="Arial" w:cs="Arial" w:eastAsia="Arial" w:hAnsi="Arial"/>
          <w:sz w:val="18"/>
          <w:szCs w:val="18"/>
          <w:color w:val="auto"/>
        </w:rPr>
        <w:t>”), it being understood however that for purposes of determining the foregoing any Restricted Payments made in reliance on this clause (m) in any fiscal year shall first be deemed to have been made with the then applicable Carryover Amount, if any, before application of any amounts otherwise permitted to be used for Restricted Payments in reliance on this clause (m) for such fiscal year, and (n) Borrower and the Guarantors may make Restricted Payments in an aggregate amount not to exceed the Available Equity Amount.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10.07. Transactions with Affiliates</w:t>
      </w:r>
      <w:r>
        <w:rPr>
          <w:rFonts w:ascii="Arial" w:cs="Arial" w:eastAsia="Arial" w:hAnsi="Arial"/>
          <w:sz w:val="16"/>
          <w:szCs w:val="16"/>
          <w:color w:val="auto"/>
        </w:rPr>
        <w:t>. Neither Borrower nor any Guarantor shall enter into any transaction, including,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limitation, any purchase, sale, lease or exchange of Property, the rendering of any service or the payment of any management, advisory or similar fees, with any Affiliate (other than Borrower or any Guarantor) involving aggregate consideration in excess of $20.0 million unless such transaction (a) is required under this Agreement, or (b) is upon fair and reasonable terms no less favorable to Borrower or such Guarantor,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foregoing, the Credit Parties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 Restricted Payments permitted hereunder, (iii)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Management Agreements, IP Licensing</w:t>
      </w:r>
    </w:p>
    <w:p>
      <w:pPr>
        <w:sectPr>
          <w:pgSz w:w="11900" w:h="16838" w:orient="portrait"/>
          <w:cols w:equalWidth="0" w:num="1">
            <w:col w:w="11420"/>
          </w:cols>
          <w:pgMar w:left="240" w:top="125" w:right="239" w:bottom="0" w:gutter="0" w:footer="0" w:header="0"/>
        </w:sectPr>
      </w:pPr>
    </w:p>
    <w:bookmarkStart w:id="117" w:name="page118"/>
    <w:bookmarkEnd w:id="117"/>
    <w:p>
      <w:pPr>
        <w:spacing w:after="0"/>
        <w:rPr>
          <w:sz w:val="20"/>
          <w:szCs w:val="20"/>
          <w:color w:val="auto"/>
        </w:rPr>
      </w:pPr>
      <w:r>
        <w:rPr>
          <w:rFonts w:ascii="Arial" w:cs="Arial" w:eastAsia="Arial" w:hAnsi="Arial"/>
          <w:sz w:val="16"/>
          <w:szCs w:val="16"/>
          <w:color w:val="auto"/>
        </w:rPr>
        <w:t>Agreement and Support Guaranties and provide services and make and receive payments (including Management Fees and IP Licensing Fees) thereunder;</w:t>
      </w:r>
    </w:p>
    <w:p>
      <w:pPr>
        <w:spacing w:after="0" w:line="46" w:lineRule="exact"/>
        <w:rPr>
          <w:sz w:val="20"/>
          <w:szCs w:val="20"/>
          <w:color w:val="auto"/>
        </w:rPr>
      </w:pPr>
    </w:p>
    <w:p>
      <w:pPr>
        <w:jc w:val="both"/>
        <w:ind w:firstLine="8"/>
        <w:spacing w:after="0" w:line="290" w:lineRule="auto"/>
        <w:tabs>
          <w:tab w:leader="none" w:pos="257" w:val="left"/>
        </w:tabs>
        <w:numPr>
          <w:ilvl w:val="0"/>
          <w:numId w:val="135"/>
        </w:numPr>
        <w:rPr>
          <w:rFonts w:ascii="Arial" w:cs="Arial" w:eastAsia="Arial" w:hAnsi="Arial"/>
          <w:sz w:val="16"/>
          <w:szCs w:val="16"/>
          <w:color w:val="auto"/>
        </w:rPr>
      </w:pPr>
      <w:r>
        <w:rPr>
          <w:rFonts w:ascii="Arial" w:cs="Arial" w:eastAsia="Arial" w:hAnsi="Arial"/>
          <w:sz w:val="16"/>
          <w:szCs w:val="16"/>
          <w:color w:val="auto"/>
        </w:rPr>
        <w:t>may issue, sell or transfer Equity Interests of any Credit Party to any parent entity, including in connection with capital contributions by such parent entity to such Credit Party or any Subsidiary; (vi) may enter into transactions undertaken for the purpose of improving the consolidated tax efficiency of any Credit Party and/or the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transactions, taken as a whole, are not materially adverse to the Credit Parties (as determined by Borrower in good faith)); (vii) may enter into any transaction subject to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and (viii) may enter into any transactions described in the Tax Indemnification Agreement or on </w:t>
      </w:r>
      <w:r>
        <w:rPr>
          <w:rFonts w:ascii="Arial" w:cs="Arial" w:eastAsia="Arial" w:hAnsi="Arial"/>
          <w:sz w:val="16"/>
          <w:szCs w:val="16"/>
          <w:u w:val="single" w:color="auto"/>
          <w:color w:val="auto"/>
        </w:rPr>
        <w:t>Schedule 10.07</w:t>
      </w:r>
      <w:r>
        <w:rPr>
          <w:rFonts w:ascii="Arial" w:cs="Arial" w:eastAsia="Arial" w:hAnsi="Arial"/>
          <w:sz w:val="16"/>
          <w:szCs w:val="16"/>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w:t>
      </w:r>
    </w:p>
    <w:p>
      <w:pPr>
        <w:spacing w:after="0" w:line="16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10.08. Management Agreements and IP Licensing Agreements</w:t>
      </w:r>
      <w:r>
        <w:rPr>
          <w:rFonts w:ascii="Arial" w:cs="Arial" w:eastAsia="Arial" w:hAnsi="Arial"/>
          <w:sz w:val="16"/>
          <w:szCs w:val="16"/>
          <w:color w:val="auto"/>
        </w:rPr>
        <w:t>. No Credit Party shall, directly or indirectly, amend, modify,</w:t>
      </w:r>
      <w:r>
        <w:rPr>
          <w:rFonts w:ascii="Arial" w:cs="Arial" w:eastAsia="Arial" w:hAnsi="Arial"/>
          <w:sz w:val="16"/>
          <w:szCs w:val="16"/>
          <w:b w:val="1"/>
          <w:bCs w:val="1"/>
          <w:color w:val="auto"/>
        </w:rPr>
        <w:t xml:space="preserve"> </w:t>
      </w:r>
      <w:r>
        <w:rPr>
          <w:rFonts w:ascii="Arial" w:cs="Arial" w:eastAsia="Arial" w:hAnsi="Arial"/>
          <w:sz w:val="16"/>
          <w:szCs w:val="16"/>
          <w:color w:val="auto"/>
        </w:rPr>
        <w:t>supplement, terminate or fail to use its commercially reasonable efforts to renew any Management Agreement or IP Licensing Agreement in effect on the Closing Date in a manner that could be reasonably expected to materially diminish the anticipated revenues to be received by the Credit Parties therefrom.</w:t>
      </w:r>
    </w:p>
    <w:p>
      <w:pPr>
        <w:spacing w:after="0" w:line="14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10.09. Certain Payments of Indebtedness</w:t>
      </w:r>
      <w:r>
        <w:rPr>
          <w:rFonts w:ascii="Arial" w:cs="Arial" w:eastAsia="Arial" w:hAnsi="Arial"/>
          <w:sz w:val="16"/>
          <w:szCs w:val="16"/>
          <w:color w:val="auto"/>
        </w:rPr>
        <w:t>. No Credit Party will voluntarily prepay, redeem, purchase, defease or otherwise satisfy</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scheduled maturity thereof (or within one year thereof) in any manner (it being understood that payments of regularly scheduled principal and interest shall be permitted) any Disqualified Capital Stock or Other Junior Indebtedness (including Intercompany Indebtedness) or make any payment in violation of any subordination terms or intercreditor agreement applicable to any such Indebtedness (such payments, “</w:t>
      </w:r>
      <w:r>
        <w:rPr>
          <w:rFonts w:ascii="Arial" w:cs="Arial" w:eastAsia="Arial" w:hAnsi="Arial"/>
          <w:sz w:val="16"/>
          <w:szCs w:val="16"/>
          <w:b w:val="1"/>
          <w:bCs w:val="1"/>
          <w:color w:val="auto"/>
        </w:rPr>
        <w:t>Junior Prepayments</w:t>
      </w:r>
      <w:r>
        <w:rPr>
          <w:rFonts w:ascii="Arial" w:cs="Arial" w:eastAsia="Arial" w:hAnsi="Arial"/>
          <w:sz w:val="16"/>
          <w:szCs w:val="16"/>
          <w:color w:val="auto"/>
        </w:rPr>
        <w:t xml:space="preserve">”), except (a) so long as immediately before and after giving effect thereto no Event of Default specified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Event of Default specified in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with respect to Borrower has occurred and is continuing and the Consolidated Total Leverage Ratio shall not exceed 4.00 to 1.00 on a Pro Forma Basis as of the most recent Calculation Date, Borrower and the Guarantors may make Junior Prepayments,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w:t>
      </w:r>
      <w:r>
        <w:rPr>
          <w:rFonts w:ascii="Arial" w:cs="Arial" w:eastAsia="Arial" w:hAnsi="Arial"/>
          <w:sz w:val="16"/>
          <w:szCs w:val="16"/>
          <w:u w:val="single" w:color="auto"/>
          <w:color w:val="auto"/>
        </w:rPr>
        <w:t>Section 10.09</w:t>
      </w:r>
      <w:r>
        <w:rPr>
          <w:rFonts w:ascii="Arial" w:cs="Arial" w:eastAsia="Arial" w:hAnsi="Arial"/>
          <w:sz w:val="16"/>
          <w:szCs w:val="16"/>
          <w:color w:val="auto"/>
        </w:rPr>
        <w:t xml:space="preserve"> (other than pursuant to this clause (d)), (e) 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w:t>
      </w:r>
      <w:r>
        <w:rPr>
          <w:rFonts w:ascii="Arial" w:cs="Arial" w:eastAsia="Arial" w:hAnsi="Arial"/>
          <w:sz w:val="16"/>
          <w:szCs w:val="16"/>
          <w:u w:val="single" w:color="auto"/>
          <w:color w:val="auto"/>
        </w:rPr>
        <w:t>Section 2.09(b)(ii)</w:t>
      </w:r>
      <w:r>
        <w:rPr>
          <w:rFonts w:ascii="Arial" w:cs="Arial" w:eastAsia="Arial" w:hAnsi="Arial"/>
          <w:sz w:val="16"/>
          <w:szCs w:val="16"/>
          <w:color w:val="auto"/>
        </w:rPr>
        <w:t xml:space="preserve">, (h) Junior Prepayments in respect of intercompany Indebtedness owing to a Credit Party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w:t>
      </w:r>
      <w:r>
        <w:rPr>
          <w:rFonts w:ascii="Arial" w:cs="Arial" w:eastAsia="Arial" w:hAnsi="Arial"/>
          <w:sz w:val="16"/>
          <w:szCs w:val="16"/>
          <w:u w:val="single" w:color="auto"/>
          <w:color w:val="auto"/>
        </w:rPr>
        <w:t>Section 10.06(l)</w:t>
      </w:r>
      <w:r>
        <w:rPr>
          <w:rFonts w:ascii="Arial" w:cs="Arial" w:eastAsia="Arial" w:hAnsi="Arial"/>
          <w:sz w:val="16"/>
          <w:szCs w:val="16"/>
          <w:color w:val="auto"/>
        </w:rPr>
        <w:t xml:space="preserve"> and the aggregate amount of Investments made (and as calculated) pursuant to </w:t>
      </w:r>
      <w:r>
        <w:rPr>
          <w:rFonts w:ascii="Arial" w:cs="Arial" w:eastAsia="Arial" w:hAnsi="Arial"/>
          <w:sz w:val="16"/>
          <w:szCs w:val="16"/>
          <w:u w:val="single" w:color="auto"/>
          <w:color w:val="auto"/>
        </w:rPr>
        <w:t>Section 10.04(v)</w:t>
      </w:r>
      <w:r>
        <w:rPr>
          <w:rFonts w:ascii="Arial" w:cs="Arial" w:eastAsia="Arial" w:hAnsi="Arial"/>
          <w:sz w:val="16"/>
          <w:szCs w:val="16"/>
          <w:color w:val="auto"/>
        </w:rPr>
        <w:t>, (k)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 (l) Borrower may make Junior Prepayments in an aggregate amount not to exceed the Available Equity Amount.</w:t>
      </w:r>
    </w:p>
    <w:p>
      <w:pPr>
        <w:spacing w:after="0" w:line="200" w:lineRule="exact"/>
        <w:rPr>
          <w:sz w:val="20"/>
          <w:szCs w:val="20"/>
          <w:color w:val="auto"/>
        </w:rPr>
      </w:pPr>
    </w:p>
    <w:p>
      <w:pPr>
        <w:spacing w:after="0" w:line="40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10.10. Limitation on Certain Restrictions Affecting Subsidiaries</w:t>
      </w:r>
      <w:r>
        <w:rPr>
          <w:rFonts w:ascii="Arial" w:cs="Arial" w:eastAsia="Arial" w:hAnsi="Arial"/>
          <w:sz w:val="16"/>
          <w:szCs w:val="16"/>
          <w:color w:val="auto"/>
        </w:rPr>
        <w:t>. No Credit Party shall, directly or indirectly, create any consensual</w:t>
      </w:r>
      <w:r>
        <w:rPr>
          <w:rFonts w:ascii="Arial" w:cs="Arial" w:eastAsia="Arial" w:hAnsi="Arial"/>
          <w:sz w:val="16"/>
          <w:szCs w:val="16"/>
          <w:b w:val="1"/>
          <w:bCs w:val="1"/>
          <w:color w:val="auto"/>
        </w:rPr>
        <w:t xml:space="preserve"> </w:t>
      </w:r>
      <w:r>
        <w:rPr>
          <w:rFonts w:ascii="Arial" w:cs="Arial" w:eastAsia="Arial" w:hAnsi="Arial"/>
          <w:sz w:val="16"/>
          <w:szCs w:val="16"/>
          <w:color w:val="auto"/>
        </w:rPr>
        <w:t>encumbrance or restriction on the ability of any Guarantor to (a) pay dividends or make any other distributions on such Guarantor’s Equity Interests or any other interest or participation in its profits owned by any Credit Party, or pay any Indebtedness or any other obligation owed to any Credit Party, (b) make Investments in or to any Credit Party, (c) transfer any of its Property to any Credit Party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w:t>
      </w:r>
    </w:p>
    <w:p>
      <w:pPr>
        <w:spacing w:after="0" w:line="2" w:lineRule="exact"/>
        <w:rPr>
          <w:sz w:val="20"/>
          <w:szCs w:val="20"/>
          <w:color w:val="auto"/>
        </w:rPr>
      </w:pPr>
    </w:p>
    <w:p>
      <w:pPr>
        <w:jc w:val="both"/>
        <w:ind w:firstLine="8"/>
        <w:spacing w:after="0" w:line="283" w:lineRule="auto"/>
        <w:tabs>
          <w:tab w:leader="none" w:pos="289" w:val="left"/>
        </w:tabs>
        <w:numPr>
          <w:ilvl w:val="0"/>
          <w:numId w:val="136"/>
        </w:numPr>
        <w:rPr>
          <w:rFonts w:ascii="Arial" w:cs="Arial" w:eastAsia="Arial" w:hAnsi="Arial"/>
          <w:sz w:val="16"/>
          <w:szCs w:val="16"/>
          <w:color w:val="auto"/>
        </w:rPr>
      </w:pPr>
      <w:r>
        <w:rPr>
          <w:rFonts w:ascii="Arial" w:cs="Arial" w:eastAsia="Arial" w:hAnsi="Arial"/>
          <w:sz w:val="16"/>
          <w:szCs w:val="16"/>
          <w:color w:val="auto"/>
        </w:rPr>
        <w:t xml:space="preserve">restrictions on the transfer of Property, or the granting of Liens on Property, in each case, subject to Permitted Liens, (iii) customary restrictions on subletting or assignment of any lease or sublease governing a leasehold interest of any Credit Party,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Arial" w:cs="Arial" w:eastAsia="Arial" w:hAnsi="Arial"/>
          <w:sz w:val="16"/>
          <w:szCs w:val="16"/>
          <w:u w:val="single" w:color="auto"/>
          <w:color w:val="auto"/>
        </w:rPr>
        <w:t>Schedule 10.01</w:t>
      </w:r>
      <w:r>
        <w:rPr>
          <w:rFonts w:ascii="Arial" w:cs="Arial" w:eastAsia="Arial" w:hAnsi="Arial"/>
          <w:sz w:val="16"/>
          <w:szCs w:val="16"/>
          <w:color w:val="auto"/>
        </w:rPr>
        <w:t xml:space="preserv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 (vii) 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Incremental Equivalent Debt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other Indebtedness permitted hereunder, in each case, taken as a whole, to the extent not materially more restrictive than those contained in this Agreement, (ix) customary restrictions in joint venture arrangements or management contracts;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subject to such licenses, leases and contracts and the Equity Interests of the Persons party to such licenses and contracts, (xi) restrictions contained in Indebtedness used to finance, or incurred for the purpose of financing Investments or Capital Expenditures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apply only to the asset (or the Person owning such asset) being financed pursuant to such Indebtedness, and (xii) restrictions contained in subordination provisions applicable to intercompany debt owed by the Credit Parties; </w:t>
      </w:r>
      <w:r>
        <w:rPr>
          <w:rFonts w:ascii="Arial" w:cs="Arial" w:eastAsia="Arial" w:hAnsi="Arial"/>
          <w:sz w:val="16"/>
          <w:szCs w:val="16"/>
          <w:i w:val="1"/>
          <w:iCs w:val="1"/>
          <w:color w:val="auto"/>
        </w:rPr>
        <w:t>provided</w:t>
      </w:r>
      <w:r>
        <w:rPr>
          <w:rFonts w:ascii="Arial" w:cs="Arial" w:eastAsia="Arial" w:hAnsi="Arial"/>
          <w:sz w:val="16"/>
          <w:szCs w:val="16"/>
          <w:color w:val="auto"/>
        </w:rPr>
        <w:t>, that such intercompany debt is subordinated to the Obligations on terms at least as favorable to the Lenders as the subordination of such intercompany debt to any other obligations as determined by Borrower in good faith.</w:t>
      </w:r>
    </w:p>
    <w:p>
      <w:pPr>
        <w:spacing w:after="0" w:line="39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SECTION 10.11. Limitation on Lines of Business</w:t>
      </w:r>
      <w:r>
        <w:rPr>
          <w:rFonts w:ascii="Arial" w:cs="Arial" w:eastAsia="Arial" w:hAnsi="Arial"/>
          <w:sz w:val="18"/>
          <w:szCs w:val="18"/>
          <w:color w:val="auto"/>
        </w:rPr>
        <w:t>. No Credit Party shall directly or indirectly engage to any material extent (determined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basis) in any line or lines of business activity other than Permitted Business.</w:t>
      </w:r>
    </w:p>
    <w:p>
      <w:pPr>
        <w:spacing w:after="0" w:line="162" w:lineRule="exact"/>
        <w:rPr>
          <w:sz w:val="20"/>
          <w:szCs w:val="20"/>
          <w:color w:val="auto"/>
        </w:rPr>
      </w:pPr>
    </w:p>
    <w:p>
      <w:pPr>
        <w:ind w:firstLine="648"/>
        <w:spacing w:after="0" w:line="347" w:lineRule="auto"/>
        <w:rPr>
          <w:sz w:val="20"/>
          <w:szCs w:val="20"/>
          <w:color w:val="auto"/>
        </w:rPr>
      </w:pPr>
      <w:r>
        <w:rPr>
          <w:rFonts w:ascii="Arial" w:cs="Arial" w:eastAsia="Arial" w:hAnsi="Arial"/>
          <w:sz w:val="16"/>
          <w:szCs w:val="16"/>
          <w:b w:val="1"/>
          <w:bCs w:val="1"/>
          <w:color w:val="auto"/>
        </w:rPr>
        <w:t>SECTION 10.12. Limitation on Changes to Fiscal Year</w:t>
      </w:r>
      <w:r>
        <w:rPr>
          <w:rFonts w:ascii="Arial" w:cs="Arial" w:eastAsia="Arial" w:hAnsi="Arial"/>
          <w:sz w:val="16"/>
          <w:szCs w:val="16"/>
          <w:color w:val="auto"/>
        </w:rPr>
        <w:t>. No Credit Party shall change its fiscal year end to a date other than December 31 of</w:t>
      </w:r>
      <w:r>
        <w:rPr>
          <w:rFonts w:ascii="Arial" w:cs="Arial" w:eastAsia="Arial" w:hAnsi="Arial"/>
          <w:sz w:val="16"/>
          <w:szCs w:val="16"/>
          <w:b w:val="1"/>
          <w:bCs w:val="1"/>
          <w:color w:val="auto"/>
        </w:rPr>
        <w:t xml:space="preserve"> </w:t>
      </w:r>
      <w:r>
        <w:rPr>
          <w:rFonts w:ascii="Arial" w:cs="Arial" w:eastAsia="Arial" w:hAnsi="Arial"/>
          <w:sz w:val="16"/>
          <w:szCs w:val="16"/>
          <w:color w:val="auto"/>
        </w:rPr>
        <w:t>each year (</w:t>
      </w:r>
      <w:r>
        <w:rPr>
          <w:rFonts w:ascii="Arial" w:cs="Arial" w:eastAsia="Arial" w:hAnsi="Arial"/>
          <w:sz w:val="16"/>
          <w:szCs w:val="16"/>
          <w:i w:val="1"/>
          <w:iCs w:val="1"/>
          <w:color w:val="auto"/>
        </w:rPr>
        <w:t>provided</w:t>
      </w:r>
      <w:r>
        <w:rPr>
          <w:rFonts w:ascii="Arial" w:cs="Arial" w:eastAsia="Arial" w:hAnsi="Arial"/>
          <w:sz w:val="16"/>
          <w:szCs w:val="16"/>
          <w:color w:val="auto"/>
        </w:rPr>
        <w:t>, that any Subsidiary that becomes a Guarantor after the Closing Date may change its fiscal year to match the fiscal year of Borrower).</w:t>
      </w:r>
    </w:p>
    <w:p>
      <w:pPr>
        <w:spacing w:after="0" w:line="12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ectPr>
          <w:pgSz w:w="11900" w:h="16838" w:orient="portrait"/>
          <w:cols w:equalWidth="0" w:num="1">
            <w:col w:w="11420"/>
          </w:cols>
          <w:pgMar w:left="240" w:top="125" w:right="239" w:bottom="0" w:gutter="0" w:footer="0" w:header="0"/>
        </w:sectPr>
      </w:pPr>
    </w:p>
    <w:bookmarkStart w:id="118" w:name="page119"/>
    <w:bookmarkEnd w:id="118"/>
    <w:p>
      <w:pPr>
        <w:ind w:left="652"/>
        <w:spacing w:after="0"/>
        <w:tabs>
          <w:tab w:leader="none" w:pos="2112"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one or more of the following events (herein called “</w:t>
      </w:r>
      <w:r>
        <w:rPr>
          <w:rFonts w:ascii="Arial" w:cs="Arial" w:eastAsia="Arial" w:hAnsi="Arial"/>
          <w:sz w:val="16"/>
          <w:szCs w:val="16"/>
          <w:b w:val="1"/>
          <w:bCs w:val="1"/>
          <w:color w:val="auto"/>
        </w:rPr>
        <w:t>Events of Default</w:t>
      </w:r>
      <w:r>
        <w:rPr>
          <w:rFonts w:ascii="Arial" w:cs="Arial" w:eastAsia="Arial" w:hAnsi="Arial"/>
          <w:sz w:val="16"/>
          <w:szCs w:val="16"/>
          <w:color w:val="auto"/>
        </w:rPr>
        <w:t>”) shall occur and be continuing:</w:t>
      </w:r>
    </w:p>
    <w:p>
      <w:pPr>
        <w:spacing w:after="0" w:line="229" w:lineRule="exact"/>
        <w:rPr>
          <w:sz w:val="20"/>
          <w:szCs w:val="20"/>
          <w:color w:val="auto"/>
        </w:rPr>
      </w:pPr>
    </w:p>
    <w:p>
      <w:pPr>
        <w:jc w:val="both"/>
        <w:ind w:left="-8" w:firstLine="656"/>
        <w:spacing w:after="0" w:line="255" w:lineRule="auto"/>
        <w:tabs>
          <w:tab w:leader="none" w:pos="103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other Credit Party pursuant to any Credit Document or the borrowings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93" w:lineRule="exact"/>
        <w:rPr>
          <w:rFonts w:ascii="Arial" w:cs="Arial" w:eastAsia="Arial" w:hAnsi="Arial"/>
          <w:sz w:val="18"/>
          <w:szCs w:val="18"/>
          <w:color w:val="auto"/>
        </w:rPr>
      </w:pPr>
    </w:p>
    <w:p>
      <w:pPr>
        <w:jc w:val="both"/>
        <w:ind w:left="-8" w:firstLine="656"/>
        <w:spacing w:after="0" w:line="286" w:lineRule="auto"/>
        <w:tabs>
          <w:tab w:leader="none" w:pos="103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default shall be made in the payment of (i) any principal of any Loan when and as the same shall become due and payable (whether at the stated maturity upon prepayment or repayment or by acceleration thereof or otherwise) or (ii) any interest on any Loans when and as the same shall become due and payable, and such default under this clause (ii) shall continue unremedied for a period of five (5) Business Days;</w:t>
      </w:r>
    </w:p>
    <w:p>
      <w:pPr>
        <w:spacing w:after="0" w:line="165" w:lineRule="exact"/>
        <w:rPr>
          <w:rFonts w:ascii="Arial" w:cs="Arial" w:eastAsia="Arial" w:hAnsi="Arial"/>
          <w:sz w:val="17"/>
          <w:szCs w:val="17"/>
          <w:color w:val="auto"/>
        </w:rPr>
      </w:pPr>
    </w:p>
    <w:p>
      <w:pPr>
        <w:ind w:left="-8" w:firstLine="656"/>
        <w:spacing w:after="0" w:line="342" w:lineRule="auto"/>
        <w:tabs>
          <w:tab w:leader="none" w:pos="1087" w:val="left"/>
        </w:tabs>
        <w:numPr>
          <w:ilvl w:val="1"/>
          <w:numId w:val="137"/>
        </w:numPr>
        <w:rPr>
          <w:rFonts w:ascii="Arial" w:cs="Arial" w:eastAsia="Arial" w:hAnsi="Arial"/>
          <w:sz w:val="16"/>
          <w:szCs w:val="16"/>
          <w:color w:val="auto"/>
        </w:rPr>
      </w:pPr>
      <w:r>
        <w:rPr>
          <w:rFonts w:ascii="Arial" w:cs="Arial" w:eastAsia="Arial" w:hAnsi="Arial"/>
          <w:sz w:val="16"/>
          <w:szCs w:val="16"/>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23" w:lineRule="exact"/>
        <w:rPr>
          <w:rFonts w:ascii="Arial" w:cs="Arial" w:eastAsia="Arial" w:hAnsi="Arial"/>
          <w:sz w:val="16"/>
          <w:szCs w:val="16"/>
          <w:color w:val="auto"/>
        </w:rPr>
      </w:pPr>
    </w:p>
    <w:p>
      <w:pPr>
        <w:ind w:left="-8" w:firstLine="656"/>
        <w:spacing w:after="0" w:line="277" w:lineRule="auto"/>
        <w:tabs>
          <w:tab w:leader="none" w:pos="113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 xml:space="preserve">default shall be made in the due observance or performance by any Credit Party of any covenant, condition or agreement contained in </w:t>
      </w:r>
      <w:r>
        <w:rPr>
          <w:rFonts w:ascii="Arial" w:cs="Arial" w:eastAsia="Arial" w:hAnsi="Arial"/>
          <w:sz w:val="18"/>
          <w:szCs w:val="18"/>
          <w:u w:val="single" w:color="auto"/>
          <w:color w:val="auto"/>
        </w:rPr>
        <w:t>Section 9.01(a)</w:t>
      </w:r>
      <w:r>
        <w:rPr>
          <w:rFonts w:ascii="Arial" w:cs="Arial" w:eastAsia="Arial" w:hAnsi="Arial"/>
          <w:sz w:val="18"/>
          <w:szCs w:val="18"/>
          <w:color w:val="auto"/>
        </w:rPr>
        <w:t xml:space="preserve"> (with respect to Borrower only), </w:t>
      </w:r>
      <w:r>
        <w:rPr>
          <w:rFonts w:ascii="Arial" w:cs="Arial" w:eastAsia="Arial" w:hAnsi="Arial"/>
          <w:sz w:val="18"/>
          <w:szCs w:val="18"/>
          <w:u w:val="single" w:color="auto"/>
          <w:color w:val="auto"/>
        </w:rPr>
        <w:t>9.04(d)</w:t>
      </w:r>
      <w:r>
        <w:rPr>
          <w:rFonts w:ascii="Arial" w:cs="Arial" w:eastAsia="Arial" w:hAnsi="Arial"/>
          <w:sz w:val="18"/>
          <w:szCs w:val="18"/>
          <w:color w:val="auto"/>
        </w:rPr>
        <w:t xml:space="preserve">, </w:t>
      </w:r>
      <w:r>
        <w:rPr>
          <w:rFonts w:ascii="Arial" w:cs="Arial" w:eastAsia="Arial" w:hAnsi="Arial"/>
          <w:sz w:val="18"/>
          <w:szCs w:val="18"/>
          <w:u w:val="single" w:color="auto"/>
          <w:color w:val="auto"/>
        </w:rPr>
        <w:t>9.06</w:t>
      </w:r>
      <w:r>
        <w:rPr>
          <w:rFonts w:ascii="Arial" w:cs="Arial" w:eastAsia="Arial" w:hAnsi="Arial"/>
          <w:sz w:val="18"/>
          <w:szCs w:val="18"/>
          <w:color w:val="auto"/>
        </w:rPr>
        <w:t xml:space="preserve"> or in </w:t>
      </w:r>
      <w:r>
        <w:rPr>
          <w:rFonts w:ascii="Arial" w:cs="Arial" w:eastAsia="Arial" w:hAnsi="Arial"/>
          <w:sz w:val="18"/>
          <w:szCs w:val="18"/>
          <w:u w:val="single" w:color="auto"/>
          <w:color w:val="auto"/>
        </w:rPr>
        <w:t>Article X</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8" w:firstLine="656"/>
        <w:spacing w:after="0" w:line="279" w:lineRule="auto"/>
        <w:tabs>
          <w:tab w:leader="none" w:pos="1087"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default shall be made in the due observance or performance by any Credit Party of any covenant, condition or agreement contained in any Credit Document (other than those specified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11.01(c)</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11.01(d)</w:t>
      </w:r>
      <w:r>
        <w:rPr>
          <w:rFonts w:ascii="Arial" w:cs="Arial" w:eastAsia="Arial" w:hAnsi="Arial"/>
          <w:sz w:val="17"/>
          <w:szCs w:val="17"/>
          <w:color w:val="auto"/>
        </w:rPr>
        <w:t>) and, unless such default has been waived, such default shall continue unremedied for a period of thirty (30) days (or 60 days if such default results solely from a Foreign Subsidiary’s failure to observe or perform any such covenant, condition or agreement) after written notice thereof from Administrative Agent to Borrower;</w:t>
      </w:r>
    </w:p>
    <w:p>
      <w:pPr>
        <w:spacing w:after="0" w:line="171" w:lineRule="exact"/>
        <w:rPr>
          <w:rFonts w:ascii="Arial" w:cs="Arial" w:eastAsia="Arial" w:hAnsi="Arial"/>
          <w:sz w:val="17"/>
          <w:szCs w:val="17"/>
          <w:color w:val="auto"/>
        </w:rPr>
      </w:pPr>
    </w:p>
    <w:p>
      <w:pPr>
        <w:jc w:val="both"/>
        <w:ind w:left="-8" w:firstLine="656"/>
        <w:spacing w:after="0" w:line="268" w:lineRule="auto"/>
        <w:tabs>
          <w:tab w:leader="none" w:pos="1108" w:val="left"/>
        </w:tabs>
        <w:numPr>
          <w:ilvl w:val="1"/>
          <w:numId w:val="137"/>
        </w:numPr>
        <w:rPr>
          <w:rFonts w:ascii="Arial" w:cs="Arial" w:eastAsia="Arial" w:hAnsi="Arial"/>
          <w:sz w:val="17"/>
          <w:szCs w:val="17"/>
          <w:color w:val="auto"/>
        </w:rPr>
      </w:pPr>
      <w:r>
        <w:rPr>
          <w:rFonts w:ascii="Arial" w:cs="Arial" w:eastAsia="Arial" w:hAnsi="Arial"/>
          <w:sz w:val="17"/>
          <w:szCs w:val="17"/>
          <w:color w:val="auto"/>
        </w:rPr>
        <w:t xml:space="preserve">Any Credit Party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(x) clauses (i) and (ii) shall not apply to any offer to repurchase, prepay or redeem Indebtedness of a Person acquired in an 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$50.0 million at any one time;</w:t>
      </w:r>
    </w:p>
    <w:p>
      <w:pPr>
        <w:spacing w:after="0" w:line="187" w:lineRule="exact"/>
        <w:rPr>
          <w:rFonts w:ascii="Arial" w:cs="Arial" w:eastAsia="Arial" w:hAnsi="Arial"/>
          <w:sz w:val="17"/>
          <w:szCs w:val="17"/>
          <w:color w:val="auto"/>
        </w:rPr>
      </w:pPr>
    </w:p>
    <w:p>
      <w:pPr>
        <w:jc w:val="both"/>
        <w:ind w:left="-8" w:firstLine="656"/>
        <w:spacing w:after="0" w:line="255" w:lineRule="auto"/>
        <w:tabs>
          <w:tab w:leader="none" w:pos="103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any Credit Party, or of a substantial part of the property or assets of any Credit Party; (ii) the appointment of a receiver, trustee, custodian, sequestrator, conservator, or similar official for any Credit Party or for a substantial part of the property or assets of any Credit Party; or (iii) the winding-up or liquidation of any Credit Party; and such proceeding or petition shall continue undismissed for 60 days or an order or decree approving or ordering any of the foregoing shall be entered;</w:t>
      </w:r>
    </w:p>
    <w:p>
      <w:pPr>
        <w:spacing w:after="0" w:line="193" w:lineRule="exact"/>
        <w:rPr>
          <w:rFonts w:ascii="Arial" w:cs="Arial" w:eastAsia="Arial" w:hAnsi="Arial"/>
          <w:sz w:val="18"/>
          <w:szCs w:val="18"/>
          <w:color w:val="auto"/>
        </w:rPr>
      </w:pPr>
    </w:p>
    <w:p>
      <w:pPr>
        <w:jc w:val="both"/>
        <w:ind w:left="-8" w:firstLine="656"/>
        <w:spacing w:after="0" w:line="284" w:lineRule="auto"/>
        <w:tabs>
          <w:tab w:leader="none" w:pos="1098" w:val="left"/>
        </w:tabs>
        <w:numPr>
          <w:ilvl w:val="1"/>
          <w:numId w:val="137"/>
        </w:numPr>
        <w:rPr>
          <w:rFonts w:ascii="Arial" w:cs="Arial" w:eastAsia="Arial" w:hAnsi="Arial"/>
          <w:sz w:val="16"/>
          <w:szCs w:val="16"/>
          <w:color w:val="auto"/>
        </w:rPr>
      </w:pPr>
      <w:r>
        <w:rPr>
          <w:rFonts w:ascii="Arial" w:cs="Arial" w:eastAsia="Arial" w:hAnsi="Arial"/>
          <w:sz w:val="16"/>
          <w:szCs w:val="16"/>
          <w:color w:val="auto"/>
        </w:rPr>
        <w:t xml:space="preserve">any Credit Party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w:t>
      </w:r>
      <w:r>
        <w:rPr>
          <w:rFonts w:ascii="Arial" w:cs="Arial" w:eastAsia="Arial" w:hAnsi="Arial"/>
          <w:sz w:val="16"/>
          <w:szCs w:val="16"/>
          <w:u w:val="single" w:color="auto"/>
          <w:color w:val="auto"/>
        </w:rPr>
        <w:t>Section 11.01(g)</w:t>
      </w:r>
      <w:r>
        <w:rPr>
          <w:rFonts w:ascii="Arial" w:cs="Arial" w:eastAsia="Arial" w:hAnsi="Arial"/>
          <w:sz w:val="16"/>
          <w:szCs w:val="16"/>
          <w:color w:val="auto"/>
        </w:rPr>
        <w:t>; (iii) apply for or consent to the appointment of a receiver, trustee, custodian, sequestrator, conservator or similar official for any Credit Party or for a substantial part of the property or assets of any Credit Party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w:t>
      </w:r>
    </w:p>
    <w:p>
      <w:pPr>
        <w:spacing w:after="0" w:line="2" w:lineRule="exact"/>
        <w:rPr>
          <w:rFonts w:ascii="Arial" w:cs="Arial" w:eastAsia="Arial" w:hAnsi="Arial"/>
          <w:sz w:val="16"/>
          <w:szCs w:val="16"/>
          <w:color w:val="auto"/>
        </w:rPr>
      </w:pPr>
    </w:p>
    <w:p>
      <w:pPr>
        <w:ind w:left="412" w:hanging="412"/>
        <w:spacing w:after="0"/>
        <w:tabs>
          <w:tab w:leader="none" w:pos="41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wind up or liquidate (except as permitted hereunder);</w:t>
      </w:r>
    </w:p>
    <w:p>
      <w:pPr>
        <w:spacing w:after="0" w:line="210" w:lineRule="exact"/>
        <w:rPr>
          <w:rFonts w:ascii="Arial" w:cs="Arial" w:eastAsia="Arial" w:hAnsi="Arial"/>
          <w:sz w:val="18"/>
          <w:szCs w:val="18"/>
          <w:color w:val="auto"/>
        </w:rPr>
      </w:pPr>
    </w:p>
    <w:p>
      <w:pPr>
        <w:jc w:val="both"/>
        <w:ind w:left="-8" w:firstLine="656"/>
        <w:spacing w:after="0" w:line="259" w:lineRule="auto"/>
        <w:tabs>
          <w:tab w:leader="none" w:pos="101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$50.0 million (to the extent not covered by third party insurance) shall be rendered against any Credit Party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any Credit Party to enforce any such judgment;</w:t>
      </w:r>
    </w:p>
    <w:p>
      <w:pPr>
        <w:spacing w:after="0" w:line="186" w:lineRule="exact"/>
        <w:rPr>
          <w:rFonts w:ascii="Arial" w:cs="Arial" w:eastAsia="Arial" w:hAnsi="Arial"/>
          <w:sz w:val="18"/>
          <w:szCs w:val="18"/>
          <w:color w:val="auto"/>
        </w:rPr>
      </w:pPr>
    </w:p>
    <w:p>
      <w:pPr>
        <w:ind w:left="-8" w:firstLine="656"/>
        <w:spacing w:after="0" w:line="277" w:lineRule="auto"/>
        <w:tabs>
          <w:tab w:leader="none" w:pos="1017"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jc w:val="both"/>
        <w:ind w:left="-8" w:firstLine="656"/>
        <w:spacing w:after="0" w:line="255" w:lineRule="auto"/>
        <w:tabs>
          <w:tab w:leader="none" w:pos="1044" w:val="left"/>
        </w:tabs>
        <w:numPr>
          <w:ilvl w:val="1"/>
          <w:numId w:val="138"/>
        </w:numPr>
        <w:rPr>
          <w:rFonts w:ascii="Arial" w:cs="Arial" w:eastAsia="Arial" w:hAnsi="Arial"/>
          <w:sz w:val="18"/>
          <w:szCs w:val="18"/>
          <w:color w:val="auto"/>
        </w:rPr>
      </w:pPr>
      <w:r>
        <w:rPr>
          <w:rFonts w:ascii="Arial" w:cs="Arial" w:eastAsia="Arial" w:hAnsi="Arial"/>
          <w:sz w:val="18"/>
          <w:szCs w:val="18"/>
          <w:color w:val="auto"/>
        </w:rPr>
        <w:t>with respect to any material Collateral, any security interest and Lien purported to be created by the applicable Security Document shall cease to be in full force and effect, or shall cease to give Collateral Agent, for the 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 Document) security interest in or Lien on the Collateral covered thereby, in each case, other than as a result of an act of the Administrative Agent, the Collateral Agent or any other Secured Party;</w:t>
      </w:r>
    </w:p>
    <w:p>
      <w:pPr>
        <w:spacing w:after="0" w:line="193" w:lineRule="exact"/>
        <w:rPr>
          <w:rFonts w:ascii="Arial" w:cs="Arial" w:eastAsia="Arial" w:hAnsi="Arial"/>
          <w:sz w:val="18"/>
          <w:szCs w:val="18"/>
          <w:color w:val="auto"/>
        </w:rPr>
      </w:pPr>
    </w:p>
    <w:p>
      <w:pPr>
        <w:jc w:val="both"/>
        <w:ind w:left="-8" w:firstLine="656"/>
        <w:spacing w:after="0" w:line="264" w:lineRule="auto"/>
        <w:tabs>
          <w:tab w:leader="none" w:pos="99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 xml:space="preserve">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w:t>
      </w:r>
      <w:r>
        <w:rPr>
          <w:rFonts w:ascii="Arial" w:cs="Arial" w:eastAsia="Arial" w:hAnsi="Arial"/>
          <w:sz w:val="18"/>
          <w:szCs w:val="18"/>
          <w:u w:val="single" w:color="auto"/>
          <w:color w:val="auto"/>
        </w:rPr>
        <w:t>Sections 9.12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10.05</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8" w:firstLine="656"/>
        <w:spacing w:after="0" w:line="342" w:lineRule="auto"/>
        <w:tabs>
          <w:tab w:leader="none" w:pos="1080" w:val="left"/>
        </w:tabs>
        <w:numPr>
          <w:ilvl w:val="1"/>
          <w:numId w:val="138"/>
        </w:numPr>
        <w:rPr>
          <w:rFonts w:ascii="Arial" w:cs="Arial" w:eastAsia="Arial" w:hAnsi="Arial"/>
          <w:sz w:val="16"/>
          <w:szCs w:val="16"/>
          <w:color w:val="auto"/>
        </w:rPr>
      </w:pPr>
      <w:r>
        <w:rPr>
          <w:rFonts w:ascii="Arial" w:cs="Arial" w:eastAsia="Arial" w:hAnsi="Arial"/>
          <w:sz w:val="16"/>
          <w:szCs w:val="16"/>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w:t>
      </w:r>
    </w:p>
    <w:p>
      <w:pPr>
        <w:sectPr>
          <w:pgSz w:w="11900" w:h="16838" w:orient="portrait"/>
          <w:cols w:equalWidth="0" w:num="1">
            <w:col w:w="11412"/>
          </w:cols>
          <w:pgMar w:left="248" w:top="189" w:right="239" w:bottom="0" w:gutter="0" w:footer="0" w:header="0"/>
        </w:sectPr>
      </w:pPr>
    </w:p>
    <w:bookmarkStart w:id="119" w:name="page120"/>
    <w:bookmarkEnd w:id="119"/>
    <w:p>
      <w:pPr>
        <w:ind w:right="20"/>
        <w:spacing w:after="0" w:line="277" w:lineRule="auto"/>
        <w:rPr>
          <w:sz w:val="20"/>
          <w:szCs w:val="20"/>
          <w:color w:val="auto"/>
        </w:rPr>
      </w:pPr>
      <w:r>
        <w:rPr>
          <w:rFonts w:ascii="Arial" w:cs="Arial" w:eastAsia="Arial" w:hAnsi="Arial"/>
          <w:sz w:val="18"/>
          <w:szCs w:val="18"/>
          <w:color w:val="auto"/>
        </w:rPr>
        <w:t>questions of interpretation of any provision thereof), or any Credit Party shall repudiate or deny that it has any liability or obligation for the payment of principal or interest purported to be created under any Credit Document;</w:t>
      </w:r>
    </w:p>
    <w:p>
      <w:pPr>
        <w:spacing w:after="0" w:line="170" w:lineRule="exact"/>
        <w:rPr>
          <w:sz w:val="20"/>
          <w:szCs w:val="20"/>
          <w:color w:val="auto"/>
        </w:rPr>
      </w:pPr>
    </w:p>
    <w:p>
      <w:pPr>
        <w:ind w:left="1040" w:hanging="384"/>
        <w:spacing w:after="0"/>
        <w:tabs>
          <w:tab w:leader="none" w:pos="10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14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there shall have occurred a License Revocation by any Gaming Authority in one or more jurisdictions in which Borrower or any of its Subsidiaries owns or operates Gaming Facilities, which License Revocation (in the aggregate with any other License Revocations then in existence) would reasonably be expected to have a Material Adverse Effect (for purposes of clarification, without giving effect to the proviso to the definition of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License Revocation continues for at least thirty (30) consecutive days after the earlier of (x) the date of cessation of the affected operations as a result of such License Revocation and (y) the date that none of Borrower, nor any of its Subsidiaries nor the Lenders receive the net cash flows generated by any such operations; or</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092"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the provisions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shall, in whole or in part, following such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Intercreditor Agreement or Second Lien Intercreditor Agreement being entered into, terminate, cease to be effective or cease to be legally valid,</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and enforceable against the Persons party thereto, except in accordance with its terms;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then, and in every such event (other than an event described in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then outstanding to be forthwith due and payable in whole or in part, whereupon the principal of the Loans so declared to be due and payable, together with accrued interest thereon and any unpaid accrued fees and all other liabilities and Obligations of Borrower accrued hereunder and under any other Credit Document (other than Swap Contracts), shall become forthwith due and payable, without presentment, demand, protest or any other notice of any kind, all of which are hereby expressly waived by Borrower, anything contained herein or in any other Credit Document (other than Swap Contracts) to the contrary notwithstanding; and (iii) exercise any other right or remedy provided under the Credit Documents or at law or in equity; and in any event described in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above with respect to Borrower, the Commitments shall automatically terminate and the principal of the Loans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11.02. Application of Proceeds</w:t>
      </w:r>
      <w:r>
        <w:rPr>
          <w:rFonts w:ascii="Arial" w:cs="Arial" w:eastAsia="Arial" w:hAnsi="Arial"/>
          <w:sz w:val="18"/>
          <w:szCs w:val="18"/>
          <w:color w:val="auto"/>
        </w:rPr>
        <w:t>. The proceeds received by Collateral Agent in respect of any sale of, collection from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84" w:lineRule="exact"/>
        <w:rPr>
          <w:sz w:val="20"/>
          <w:szCs w:val="20"/>
          <w:color w:val="auto"/>
        </w:rPr>
      </w:pPr>
    </w:p>
    <w:p>
      <w:pPr>
        <w:jc w:val="both"/>
        <w:ind w:firstLine="656"/>
        <w:spacing w:after="0" w:line="259" w:lineRule="auto"/>
        <w:tabs>
          <w:tab w:leader="none" w:pos="1055"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and of any receiver of any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81" w:lineRule="exact"/>
        <w:rPr>
          <w:rFonts w:ascii="Arial" w:cs="Arial" w:eastAsia="Arial" w:hAnsi="Arial"/>
          <w:sz w:val="18"/>
          <w:szCs w:val="18"/>
          <w:color w:val="auto"/>
        </w:rPr>
      </w:pPr>
    </w:p>
    <w:p>
      <w:pPr>
        <w:jc w:val="both"/>
        <w:ind w:firstLine="656"/>
        <w:spacing w:after="0" w:line="312" w:lineRule="auto"/>
        <w:tabs>
          <w:tab w:leader="none" w:pos="1068" w:val="left"/>
        </w:tabs>
        <w:numPr>
          <w:ilvl w:val="0"/>
          <w:numId w:val="140"/>
        </w:numPr>
        <w:rPr>
          <w:rFonts w:ascii="Arial" w:cs="Arial" w:eastAsia="Arial" w:hAnsi="Arial"/>
          <w:sz w:val="16"/>
          <w:szCs w:val="16"/>
          <w:color w:val="auto"/>
        </w:rPr>
      </w:pPr>
      <w:r>
        <w:rPr>
          <w:rFonts w:ascii="Arial" w:cs="Arial" w:eastAsia="Arial" w:hAnsi="Arial"/>
          <w:sz w:val="16"/>
          <w:szCs w:val="16"/>
          <w:color w:val="auto"/>
        </w:rPr>
        <w:t xml:space="preserve">Third, without duplication of amounts applied pursuant to clauses (a) and (b) above, to the indefeasible payment in full in cash, </w:t>
      </w:r>
      <w:r>
        <w:rPr>
          <w:rFonts w:ascii="Arial" w:cs="Arial" w:eastAsia="Arial" w:hAnsi="Arial"/>
          <w:sz w:val="16"/>
          <w:szCs w:val="16"/>
          <w:i w:val="1"/>
          <w:iCs w:val="1"/>
          <w:color w:val="auto"/>
        </w:rPr>
        <w:t>pro rata</w:t>
      </w:r>
      <w:r>
        <w:rPr>
          <w:rFonts w:ascii="Arial" w:cs="Arial" w:eastAsia="Arial" w:hAnsi="Arial"/>
          <w:sz w:val="16"/>
          <w:szCs w:val="16"/>
          <w:color w:val="auto"/>
        </w:rPr>
        <w:t>, of interest constituting Obligations and any fees, premiums and scheduled periodic payments due under Obligations arising under Swap Contracts that constitute Obligations and any interest accrued thereon, in each case equally and ratably in accordance with the respective amounts thereof then due and owing;</w:t>
      </w:r>
    </w:p>
    <w:p>
      <w:pPr>
        <w:spacing w:after="0" w:line="146" w:lineRule="exact"/>
        <w:rPr>
          <w:rFonts w:ascii="Arial" w:cs="Arial" w:eastAsia="Arial" w:hAnsi="Arial"/>
          <w:sz w:val="16"/>
          <w:szCs w:val="16"/>
          <w:color w:val="auto"/>
        </w:rPr>
      </w:pPr>
    </w:p>
    <w:p>
      <w:pPr>
        <w:jc w:val="both"/>
        <w:ind w:firstLine="656"/>
        <w:spacing w:after="0" w:line="264" w:lineRule="auto"/>
        <w:tabs>
          <w:tab w:leader="none" w:pos="1146"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principal amount of the Obligations and any premium thereon and any</w:t>
      </w:r>
      <w:r>
        <w:rPr>
          <w:rFonts w:ascii="Arial" w:cs="Arial" w:eastAsia="Arial" w:hAnsi="Arial"/>
          <w:sz w:val="18"/>
          <w:szCs w:val="18"/>
          <w:i w:val="1"/>
          <w:iCs w:val="1"/>
          <w:color w:val="auto"/>
        </w:rPr>
        <w:t xml:space="preserve"> </w:t>
      </w:r>
      <w:r>
        <w:rPr>
          <w:rFonts w:ascii="Arial" w:cs="Arial" w:eastAsia="Arial" w:hAnsi="Arial"/>
          <w:sz w:val="18"/>
          <w:szCs w:val="18"/>
          <w:color w:val="auto"/>
        </w:rPr>
        <w:t>breakage, termination or other payments under Obligations arising under Swap Contracts that constitute Obligations and any interest accrued thereon and other amounts constituting Obligations; and</w:t>
      </w:r>
    </w:p>
    <w:p>
      <w:pPr>
        <w:spacing w:after="0" w:line="181" w:lineRule="exact"/>
        <w:rPr>
          <w:rFonts w:ascii="Arial" w:cs="Arial" w:eastAsia="Arial" w:hAnsi="Arial"/>
          <w:sz w:val="18"/>
          <w:szCs w:val="18"/>
          <w:color w:val="auto"/>
        </w:rPr>
      </w:pPr>
    </w:p>
    <w:p>
      <w:pPr>
        <w:ind w:firstLine="656"/>
        <w:spacing w:after="0" w:line="277" w:lineRule="auto"/>
        <w:tabs>
          <w:tab w:leader="none" w:pos="1041" w:val="left"/>
        </w:tabs>
        <w:numPr>
          <w:ilvl w:val="0"/>
          <w:numId w:val="140"/>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Credit Party or its successors or assigns) or as 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competent jurisdiction may direct.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In the event that any such proceeds are insufficient to pay in full the items described in clauses (a) through (e) of this </w:t>
      </w:r>
      <w:r>
        <w:rPr>
          <w:rFonts w:ascii="Arial" w:cs="Arial" w:eastAsia="Arial" w:hAnsi="Arial"/>
          <w:sz w:val="18"/>
          <w:szCs w:val="18"/>
          <w:u w:val="single" w:color="auto"/>
          <w:color w:val="auto"/>
        </w:rPr>
        <w:t>Section 11.02</w:t>
      </w:r>
      <w:r>
        <w:rPr>
          <w:rFonts w:ascii="Arial" w:cs="Arial" w:eastAsia="Arial" w:hAnsi="Arial"/>
          <w:sz w:val="18"/>
          <w:szCs w:val="18"/>
          <w:color w:val="auto"/>
        </w:rPr>
        <w:t>, the Credit Parties shall remain liable, jointly and severally, for any deficiency.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Notwithstanding the foregoing, Obligations arising under Credit Swap Contracts shall be excluded from the application described above if Administrative Agent has not received written notice thereof, together with such supporting documentation as Administrative Agent may request, from the applicable Swap Provider. Each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hereof for itself and its Affiliates as if a “Lender” party hereto.</w:t>
      </w:r>
    </w:p>
    <w:p>
      <w:pPr>
        <w:spacing w:after="0" w:line="18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12.01. Appointment</w:t>
      </w:r>
      <w:r>
        <w:rPr>
          <w:rFonts w:ascii="Arial" w:cs="Arial" w:eastAsia="Arial" w:hAnsi="Arial"/>
          <w:sz w:val="16"/>
          <w:szCs w:val="16"/>
          <w:color w:val="auto"/>
        </w:rPr>
        <w:t>. Each of the Lenders hereby irrevocably appoints DB to act on its behalf as the Administrative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Collateral 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this </w:t>
      </w:r>
      <w:r>
        <w:rPr>
          <w:rFonts w:ascii="Arial" w:cs="Arial" w:eastAsia="Arial" w:hAnsi="Arial"/>
          <w:sz w:val="16"/>
          <w:szCs w:val="16"/>
          <w:u w:val="single" w:color="auto"/>
          <w:color w:val="auto"/>
        </w:rPr>
        <w:t>Article XII</w:t>
      </w:r>
      <w:r>
        <w:rPr>
          <w:rFonts w:ascii="Arial" w:cs="Arial" w:eastAsia="Arial" w:hAnsi="Arial"/>
          <w:sz w:val="16"/>
          <w:szCs w:val="16"/>
          <w:color w:val="auto"/>
        </w:rPr>
        <w:t>, as applicable. Each of the Lenders hereby irrevocably</w:t>
      </w:r>
    </w:p>
    <w:p>
      <w:pPr>
        <w:sectPr>
          <w:pgSz w:w="11900" w:h="16838" w:orient="portrait"/>
          <w:cols w:equalWidth="0" w:num="1">
            <w:col w:w="11420"/>
          </w:cols>
          <w:pgMar w:left="240" w:top="125" w:right="239" w:bottom="0" w:gutter="0" w:footer="0" w:header="0"/>
        </w:sectPr>
      </w:pPr>
    </w:p>
    <w:bookmarkStart w:id="120" w:name="page121"/>
    <w:bookmarkEnd w:id="120"/>
    <w:p>
      <w:pPr>
        <w:jc w:val="both"/>
        <w:spacing w:after="0" w:line="271" w:lineRule="auto"/>
        <w:rPr>
          <w:sz w:val="20"/>
          <w:szCs w:val="20"/>
          <w:color w:val="auto"/>
        </w:rPr>
      </w:pPr>
      <w:r>
        <w:rPr>
          <w:rFonts w:ascii="Arial" w:cs="Arial" w:eastAsia="Arial" w:hAnsi="Arial"/>
          <w:sz w:val="17"/>
          <w:szCs w:val="17"/>
          <w:color w:val="auto"/>
        </w:rPr>
        <w:t xml:space="preserve">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w:t>
      </w:r>
      <w:r>
        <w:rPr>
          <w:rFonts w:ascii="Arial" w:cs="Arial" w:eastAsia="Arial" w:hAnsi="Arial"/>
          <w:sz w:val="17"/>
          <w:szCs w:val="17"/>
          <w:u w:val="single" w:color="auto"/>
          <w:color w:val="auto"/>
        </w:rPr>
        <w:t>Article XII</w:t>
      </w:r>
      <w:r>
        <w:rPr>
          <w:rFonts w:ascii="Arial" w:cs="Arial" w:eastAsia="Arial" w:hAnsi="Arial"/>
          <w:sz w:val="17"/>
          <w:szCs w:val="17"/>
          <w:color w:val="auto"/>
        </w:rPr>
        <w:t xml:space="preserve">, except to the extent set forth in this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12.06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12.07(b)</w:t>
      </w:r>
      <w:r>
        <w:rPr>
          <w:rFonts w:ascii="Arial" w:cs="Arial" w:eastAsia="Arial" w:hAnsi="Arial"/>
          <w:sz w:val="17"/>
          <w:szCs w:val="17"/>
          <w:color w:val="auto"/>
        </w:rPr>
        <w:t>.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12.02. Rights as a Lender</w:t>
      </w:r>
      <w:r>
        <w:rPr>
          <w:rFonts w:ascii="Arial" w:cs="Arial" w:eastAsia="Arial" w:hAnsi="Arial"/>
          <w:sz w:val="18"/>
          <w:szCs w:val="18"/>
          <w:color w:val="auto"/>
        </w:rPr>
        <w:t>. Any Person serving as an Agent hereunder shall have the same rights and powers in its capacity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188"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Exculpatory Provisions</w:t>
      </w:r>
      <w:r>
        <w:rPr>
          <w:rFonts w:ascii="Arial" w:cs="Arial" w:eastAsia="Arial" w:hAnsi="Arial"/>
          <w:sz w:val="16"/>
          <w:szCs w:val="16"/>
          <w:color w:val="auto"/>
        </w:rPr>
        <w:t>. No Agent shall have any duties or obligations except those expressly set forth herein and in the other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Credit Documents, and each Agent’s duties hereunder shall be administrative in nature. Without limiting the generality of the foregoing, no Agent:</w:t>
      </w:r>
    </w:p>
    <w:p>
      <w:pPr>
        <w:spacing w:after="0" w:line="222" w:lineRule="exact"/>
        <w:rPr>
          <w:sz w:val="20"/>
          <w:szCs w:val="20"/>
          <w:color w:val="auto"/>
        </w:rPr>
      </w:pPr>
    </w:p>
    <w:p>
      <w:pPr>
        <w:ind w:firstLine="656"/>
        <w:spacing w:after="0" w:line="277" w:lineRule="auto"/>
        <w:tabs>
          <w:tab w:leader="none" w:pos="10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0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8"/>
          <w:szCs w:val="18"/>
          <w:u w:val="single" w:color="auto"/>
          <w:color w:val="auto"/>
        </w:rPr>
        <w:t>Sections 11.01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13.04</w:t>
      </w:r>
      <w:r>
        <w:rPr>
          <w:rFonts w:ascii="Arial" w:cs="Arial" w:eastAsia="Arial" w:hAnsi="Arial"/>
          <w:sz w:val="18"/>
          <w:szCs w:val="18"/>
          <w:color w:val="auto"/>
        </w:rPr>
        <w:t>)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or elsewhere herein, other than to confirm receipt of items expressly required to be delivered to such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and shall not incur any liability with respect to, determining whether any assignee or potential assignee of the Loans or Commitments hereunder is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8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SECTION 12.04. Reliance by Agents</w:t>
      </w:r>
      <w:r>
        <w:rPr>
          <w:rFonts w:ascii="Arial" w:cs="Arial" w:eastAsia="Arial" w:hAnsi="Arial"/>
          <w:sz w:val="16"/>
          <w:szCs w:val="16"/>
          <w:color w:val="auto"/>
        </w:rPr>
        <w:t>. Each Agent shall be entitled to rely upon, and shall not incur any liability for relying upon, any notice,</w:t>
      </w:r>
      <w:r>
        <w:rPr>
          <w:rFonts w:ascii="Arial" w:cs="Arial" w:eastAsia="Arial" w:hAnsi="Arial"/>
          <w:sz w:val="16"/>
          <w:szCs w:val="16"/>
          <w:b w:val="1"/>
          <w:bCs w:val="1"/>
          <w:color w:val="auto"/>
        </w:rPr>
        <w:t xml:space="preserve"> </w:t>
      </w:r>
      <w:r>
        <w:rPr>
          <w:rFonts w:ascii="Arial" w:cs="Arial" w:eastAsia="Arial" w:hAnsi="Arial"/>
          <w:sz w:val="16"/>
          <w:szCs w:val="16"/>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that by its terms must be fulfilled to the satisfaction of a Lender, each Agent may presume that such condition is satisfactory to such Lender unless such Agent shall have received notice to the contrary from such Lender prior to the making of such Loan.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1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12.05. Delegation of Duties</w:t>
      </w:r>
      <w:r>
        <w:rPr>
          <w:rFonts w:ascii="Arial" w:cs="Arial" w:eastAsia="Arial" w:hAnsi="Arial"/>
          <w:sz w:val="17"/>
          <w:szCs w:val="17"/>
          <w:color w:val="auto"/>
        </w:rPr>
        <w:t>. Each Agent may perform any and all of its duties and exercise its rights and powers hereunder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non-appealable judgment that an Agent acted with gross negligence, bad faith or willful misconduct in the selection of such sub-agents.</w:t>
      </w:r>
    </w:p>
    <w:p>
      <w:pPr>
        <w:spacing w:after="0" w:line="17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 and Collateral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3" w:lineRule="auto"/>
        <w:tabs>
          <w:tab w:leader="none" w:pos="104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 xml:space="preserve">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an Event of Default specified in </w:t>
      </w:r>
      <w:r>
        <w:rPr>
          <w:rFonts w:ascii="Arial" w:cs="Arial" w:eastAsia="Arial" w:hAnsi="Arial"/>
          <w:sz w:val="16"/>
          <w:szCs w:val="16"/>
          <w:u w:val="single" w:color="auto"/>
          <w:color w:val="auto"/>
        </w:rPr>
        <w:t>Section 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w:t>
      </w:r>
    </w:p>
    <w:p>
      <w:pPr>
        <w:sectPr>
          <w:pgSz w:w="11900" w:h="16838" w:orient="portrait"/>
          <w:cols w:equalWidth="0" w:num="1">
            <w:col w:w="11420"/>
          </w:cols>
          <w:pgMar w:left="240" w:top="125" w:right="239" w:bottom="0" w:gutter="0" w:footer="0" w:header="0"/>
        </w:sectPr>
      </w:pPr>
    </w:p>
    <w:bookmarkStart w:id="121" w:name="page122"/>
    <w:bookmarkEnd w:id="121"/>
    <w:p>
      <w:pPr>
        <w:spacing w:after="0" w:line="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Default specified in </w:t>
      </w:r>
      <w:r>
        <w:rPr>
          <w:rFonts w:ascii="Arial" w:cs="Arial" w:eastAsia="Arial" w:hAnsi="Arial"/>
          <w:sz w:val="17"/>
          <w:szCs w:val="17"/>
          <w:u w:val="single" w:color="auto"/>
          <w:color w:val="auto"/>
        </w:rPr>
        <w:t>Section 11.01(b)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11.01(c)</w:t>
      </w:r>
      <w:r>
        <w:rPr>
          <w:rFonts w:ascii="Arial" w:cs="Arial" w:eastAsia="Arial" w:hAnsi="Arial"/>
          <w:sz w:val="17"/>
          <w:szCs w:val="17"/>
          <w:color w:val="auto"/>
        </w:rPr>
        <w:t xml:space="preserve"> or an Event of Default specified in </w:t>
      </w:r>
      <w:r>
        <w:rPr>
          <w:rFonts w:ascii="Arial" w:cs="Arial" w:eastAsia="Arial" w:hAnsi="Arial"/>
          <w:sz w:val="17"/>
          <w:szCs w:val="17"/>
          <w:u w:val="single" w:color="auto"/>
          <w:color w:val="auto"/>
        </w:rPr>
        <w:t>Section 11.01(g)</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11.01(h)</w:t>
      </w:r>
      <w:r>
        <w:rPr>
          <w:rFonts w:ascii="Arial" w:cs="Arial" w:eastAsia="Arial" w:hAnsi="Arial"/>
          <w:sz w:val="17"/>
          <w:szCs w:val="17"/>
          <w:color w:val="auto"/>
        </w:rPr>
        <w:t xml:space="preserve"> with respect to Borrower has occurred and is continuing)) (the “</w:t>
      </w:r>
      <w:r>
        <w:rPr>
          <w:rFonts w:ascii="Arial" w:cs="Arial" w:eastAsia="Arial" w:hAnsi="Arial"/>
          <w:sz w:val="17"/>
          <w:szCs w:val="17"/>
          <w:b w:val="1"/>
          <w:bCs w:val="1"/>
          <w:color w:val="auto"/>
        </w:rPr>
        <w:t>Resignation Effective Date</w:t>
      </w:r>
      <w:r>
        <w:rPr>
          <w:rFonts w:ascii="Arial" w:cs="Arial" w:eastAsia="Arial" w:hAnsi="Arial"/>
          <w:sz w:val="17"/>
          <w:szCs w:val="17"/>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71" w:lineRule="exact"/>
        <w:rPr>
          <w:sz w:val="20"/>
          <w:szCs w:val="20"/>
          <w:color w:val="auto"/>
        </w:rPr>
      </w:pPr>
    </w:p>
    <w:p>
      <w:pPr>
        <w:jc w:val="both"/>
        <w:ind w:firstLine="656"/>
        <w:spacing w:after="0" w:line="276" w:lineRule="auto"/>
        <w:tabs>
          <w:tab w:leader="none" w:pos="1065"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the Person serving as Administrative Agent and Collateral Agent is a Defaulting Lender pursuant to clause (c)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firstLine="656"/>
        <w:spacing w:after="0" w:line="267" w:lineRule="auto"/>
        <w:tabs>
          <w:tab w:leader="none" w:pos="1028" w:val="left"/>
        </w:tabs>
        <w:numPr>
          <w:ilvl w:val="0"/>
          <w:numId w:val="143"/>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 other Credit Documents, the provisions of this Article and </w:t>
      </w:r>
      <w:r>
        <w:rPr>
          <w:rFonts w:ascii="Arial" w:cs="Arial" w:eastAsia="Arial" w:hAnsi="Arial"/>
          <w:sz w:val="17"/>
          <w:szCs w:val="17"/>
          <w:u w:val="single" w:color="auto"/>
          <w:color w:val="auto"/>
        </w:rPr>
        <w:t>Section 13.03</w:t>
      </w:r>
      <w:r>
        <w:rPr>
          <w:rFonts w:ascii="Arial" w:cs="Arial" w:eastAsia="Arial" w:hAnsi="Arial"/>
          <w:sz w:val="17"/>
          <w:szCs w:val="17"/>
          <w:color w:val="auto"/>
        </w:rPr>
        <w:t xml:space="preserve">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8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12.07.</w:t>
      </w:r>
      <w:r>
        <w:rPr>
          <w:sz w:val="20"/>
          <w:szCs w:val="20"/>
          <w:color w:val="auto"/>
        </w:rPr>
        <w:tab/>
      </w:r>
      <w:r>
        <w:rPr>
          <w:rFonts w:ascii="Arial" w:cs="Arial" w:eastAsia="Arial" w:hAnsi="Arial"/>
          <w:sz w:val="16"/>
          <w:szCs w:val="16"/>
          <w:b w:val="1"/>
          <w:bCs w:val="1"/>
          <w:color w:val="auto"/>
        </w:rPr>
        <w:t>Nonreliance on Agents and Other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7" w:lineRule="auto"/>
        <w:tabs>
          <w:tab w:leader="none" w:pos="1041" w:val="left"/>
        </w:tabs>
        <w:numPr>
          <w:ilvl w:val="0"/>
          <w:numId w:val="144"/>
        </w:numPr>
        <w:rPr>
          <w:rFonts w:ascii="Arial" w:cs="Arial" w:eastAsia="Arial" w:hAnsi="Arial"/>
          <w:sz w:val="16"/>
          <w:szCs w:val="16"/>
          <w:color w:val="auto"/>
        </w:rPr>
      </w:pPr>
      <w:r>
        <w:rPr>
          <w:rFonts w:ascii="Arial" w:cs="Arial" w:eastAsia="Arial" w:hAnsi="Arial"/>
          <w:sz w:val="16"/>
          <w:szCs w:val="16"/>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58" w:lineRule="exact"/>
        <w:rPr>
          <w:rFonts w:ascii="Arial" w:cs="Arial" w:eastAsia="Arial" w:hAnsi="Arial"/>
          <w:sz w:val="16"/>
          <w:szCs w:val="16"/>
          <w:color w:val="auto"/>
        </w:rPr>
      </w:pPr>
    </w:p>
    <w:p>
      <w:pPr>
        <w:jc w:val="both"/>
        <w:ind w:firstLine="656"/>
        <w:spacing w:after="0" w:line="269" w:lineRule="auto"/>
        <w:tabs>
          <w:tab w:leader="none" w:pos="1092" w:val="left"/>
        </w:tabs>
        <w:numPr>
          <w:ilvl w:val="0"/>
          <w:numId w:val="144"/>
        </w:numPr>
        <w:rPr>
          <w:rFonts w:ascii="Arial" w:cs="Arial" w:eastAsia="Arial" w:hAnsi="Arial"/>
          <w:sz w:val="17"/>
          <w:szCs w:val="17"/>
          <w:color w:val="auto"/>
        </w:rPr>
      </w:pPr>
      <w:r>
        <w:rPr>
          <w:rFonts w:ascii="Arial" w:cs="Arial" w:eastAsia="Arial" w:hAnsi="Arial"/>
          <w:sz w:val="17"/>
          <w:szCs w:val="17"/>
          <w:color w:val="auto"/>
        </w:rPr>
        <w:t xml:space="preserve">Each Lender acknowledges that in connection with Borrower Loan Purchases, (i) Borrower may purchase or acquire Term Loans hereunder from the Lenders from time to time, subject to the restrictions set forth in the definition of Eligible Assignee and in </w:t>
      </w:r>
      <w:r>
        <w:rPr>
          <w:rFonts w:ascii="Arial" w:cs="Arial" w:eastAsia="Arial" w:hAnsi="Arial"/>
          <w:sz w:val="17"/>
          <w:szCs w:val="17"/>
          <w:u w:val="single" w:color="auto"/>
          <w:color w:val="auto"/>
        </w:rPr>
        <w:t>Section 13.05(d)</w:t>
      </w:r>
      <w:r>
        <w:rPr>
          <w:rFonts w:ascii="Arial" w:cs="Arial" w:eastAsia="Arial" w:hAnsi="Arial"/>
          <w:sz w:val="17"/>
          <w:szCs w:val="17"/>
          <w:color w:val="auto"/>
        </w:rPr>
        <w:t>, (ii) Borrower currently may have, and later may come into possession of, information regarding such Term Loans or the Credit Parties hereunder that is not known to such Lender and that may be material to a decision by such Lender to enter into an assignment of such Loans hereunder (“</w:t>
      </w:r>
      <w:r>
        <w:rPr>
          <w:rFonts w:ascii="Arial" w:cs="Arial" w:eastAsia="Arial" w:hAnsi="Arial"/>
          <w:sz w:val="17"/>
          <w:szCs w:val="17"/>
          <w:b w:val="1"/>
          <w:bCs w:val="1"/>
          <w:color w:val="auto"/>
        </w:rPr>
        <w:t>Excluded Information</w:t>
      </w:r>
      <w:r>
        <w:rPr>
          <w:rFonts w:ascii="Arial" w:cs="Arial" w:eastAsia="Arial" w:hAnsi="Arial"/>
          <w:sz w:val="17"/>
          <w:szCs w:val="17"/>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Excluded Information shall not and does not affect the truth or accuracy of the representations or warranties of Borrower in the Standard Terms and Conditions set forth in the applicable assignment agreement. Each Lender further acknowledges that the Excluded Information may not be available to Administrative Agent, Auction Manager or the other Lenders hereunder.</w:t>
      </w:r>
    </w:p>
    <w:p>
      <w:pPr>
        <w:spacing w:after="0" w:line="17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12.08. Indemnification</w:t>
      </w:r>
      <w:r>
        <w:rPr>
          <w:rFonts w:ascii="Arial" w:cs="Arial" w:eastAsia="Arial" w:hAnsi="Arial"/>
          <w:sz w:val="16"/>
          <w:szCs w:val="16"/>
          <w:color w:val="auto"/>
        </w:rPr>
        <w:t>. The Lenders agree to reimburse and indemnify each Agent in its capacity as such ratably according with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 by such Agent under or in connection with any of the foregoing, but only to the extent that any of the foregoing is not paid by Borrower or any of its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w:t>
      </w:r>
      <w:r>
        <w:rPr>
          <w:rFonts w:ascii="Arial" w:cs="Arial" w:eastAsia="Arial" w:hAnsi="Arial"/>
          <w:sz w:val="16"/>
          <w:szCs w:val="16"/>
          <w:u w:val="single" w:color="auto"/>
          <w:color w:val="auto"/>
        </w:rPr>
        <w:t>Section 12.08</w:t>
      </w:r>
      <w:r>
        <w:rPr>
          <w:rFonts w:ascii="Arial" w:cs="Arial" w:eastAsia="Arial" w:hAnsi="Arial"/>
          <w:sz w:val="16"/>
          <w:szCs w:val="16"/>
          <w:color w:val="auto"/>
        </w:rPr>
        <w:t xml:space="preserve"> shall survive the payment of all Obligations.</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12.09. No Other Duties</w:t>
      </w:r>
      <w:r>
        <w:rPr>
          <w:rFonts w:ascii="Arial" w:cs="Arial" w:eastAsia="Arial" w:hAnsi="Arial"/>
          <w:sz w:val="17"/>
          <w:szCs w:val="17"/>
          <w:color w:val="auto"/>
        </w:rPr>
        <w:t>. Anything herein to the contrary notwithstanding, none of the Administrative Agent,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Documentation Agents or Lead Arrangers shall have any powers, duties or responsibilities under this Agreement or any of the other Credit Documents, except in its capacity, as applicable, as the Administrative Agent, the Collateral Agent, the Auction Manager, or a Lender hereunder.</w:t>
      </w:r>
    </w:p>
    <w:p>
      <w:pPr>
        <w:spacing w:after="0" w:line="15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4"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SECTION 12.11. Administrative Agent May File Proofs of Claim</w:t>
      </w:r>
      <w:r>
        <w:rPr>
          <w:rFonts w:ascii="Arial" w:cs="Arial" w:eastAsia="Arial" w:hAnsi="Arial"/>
          <w:sz w:val="16"/>
          <w:szCs w:val="16"/>
          <w:color w:val="auto"/>
        </w:rPr>
        <w:t>. In case of the pendency of any proceeding under any Debtor Relief Law or</w:t>
      </w:r>
      <w:r>
        <w:rPr>
          <w:rFonts w:ascii="Arial" w:cs="Arial" w:eastAsia="Arial" w:hAnsi="Arial"/>
          <w:sz w:val="16"/>
          <w:szCs w:val="16"/>
          <w:b w:val="1"/>
          <w:bCs w:val="1"/>
          <w:color w:val="auto"/>
        </w:rPr>
        <w:t xml:space="preserve"> </w:t>
      </w:r>
      <w:r>
        <w:rPr>
          <w:rFonts w:ascii="Arial" w:cs="Arial" w:eastAsia="Arial" w:hAnsi="Arial"/>
          <w:sz w:val="16"/>
          <w:szCs w:val="16"/>
          <w:color w:val="auto"/>
        </w:rPr>
        <w:t>any other judicial proceeding relative to any Credit Party, the Administrative Agent (irrespective of whether the principal of any Loan shall then be due and</w:t>
      </w:r>
    </w:p>
    <w:p>
      <w:pPr>
        <w:sectPr>
          <w:pgSz w:w="11900" w:h="16844" w:orient="portrait"/>
          <w:cols w:equalWidth="0" w:num="1">
            <w:col w:w="11420"/>
          </w:cols>
          <w:pgMar w:left="240" w:top="125" w:right="239" w:bottom="0" w:gutter="0" w:footer="0" w:header="0"/>
        </w:sectPr>
      </w:pPr>
    </w:p>
    <w:bookmarkStart w:id="122" w:name="page123"/>
    <w:bookmarkEnd w:id="122"/>
    <w:p>
      <w:pPr>
        <w:spacing w:after="0"/>
        <w:rPr>
          <w:sz w:val="20"/>
          <w:szCs w:val="20"/>
          <w:color w:val="auto"/>
        </w:rPr>
      </w:pPr>
      <w:r>
        <w:rPr>
          <w:rFonts w:ascii="Arial" w:cs="Arial" w:eastAsia="Arial" w:hAnsi="Arial"/>
          <w:sz w:val="16"/>
          <w:szCs w:val="16"/>
          <w:color w:val="auto"/>
        </w:rPr>
        <w:t>payable as herein expressed or by declaration or otherwise and irrespective of whether the Administrative Agent shall have made any demand on Borrower)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shall be entitled and empowered, by intervention in such proceeding or otherwise:</w:t>
      </w:r>
    </w:p>
    <w:p>
      <w:pPr>
        <w:spacing w:after="0" w:line="211" w:lineRule="exact"/>
        <w:rPr>
          <w:sz w:val="20"/>
          <w:szCs w:val="20"/>
          <w:color w:val="auto"/>
        </w:rPr>
      </w:pPr>
    </w:p>
    <w:p>
      <w:pPr>
        <w:jc w:val="both"/>
        <w:ind w:firstLine="656"/>
        <w:spacing w:after="0" w:line="279" w:lineRule="auto"/>
        <w:tabs>
          <w:tab w:leader="none" w:pos="104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w:t>
      </w:r>
      <w:r>
        <w:rPr>
          <w:rFonts w:ascii="Arial" w:cs="Arial" w:eastAsia="Arial" w:hAnsi="Arial"/>
          <w:sz w:val="17"/>
          <w:szCs w:val="17"/>
          <w:u w:val="single" w:color="auto"/>
          <w:color w:val="auto"/>
        </w:rPr>
        <w:t>Sections 2.05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13.03</w:t>
      </w:r>
      <w:r>
        <w:rPr>
          <w:rFonts w:ascii="Arial" w:cs="Arial" w:eastAsia="Arial" w:hAnsi="Arial"/>
          <w:sz w:val="17"/>
          <w:szCs w:val="17"/>
          <w:color w:val="auto"/>
        </w:rPr>
        <w:t>) allowed in such judicial proceeding; and</w:t>
      </w:r>
    </w:p>
    <w:p>
      <w:pPr>
        <w:spacing w:after="0" w:line="171" w:lineRule="exact"/>
        <w:rPr>
          <w:rFonts w:ascii="Arial" w:cs="Arial" w:eastAsia="Arial" w:hAnsi="Arial"/>
          <w:sz w:val="17"/>
          <w:szCs w:val="17"/>
          <w:color w:val="auto"/>
        </w:rPr>
      </w:pPr>
    </w:p>
    <w:p>
      <w:pPr>
        <w:ind w:left="1040" w:hanging="384"/>
        <w:spacing w:after="0"/>
        <w:tabs>
          <w:tab w:leader="none" w:pos="104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13.03</w:t>
      </w:r>
      <w:r>
        <w:rPr>
          <w:rFonts w:ascii="Arial" w:cs="Arial" w:eastAsia="Arial" w:hAnsi="Arial"/>
          <w:sz w:val="18"/>
          <w:szCs w:val="18"/>
          <w:color w:val="auto"/>
        </w:rPr>
        <w: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7"/>
          <w:szCs w:val="17"/>
          <w:b w:val="1"/>
          <w:bCs w:val="1"/>
          <w:color w:val="auto"/>
        </w:rPr>
        <w:t>Collateral Matters</w:t>
      </w:r>
      <w:r>
        <w:rPr>
          <w:rFonts w:ascii="Arial" w:cs="Arial" w:eastAsia="Arial" w:hAnsi="Arial"/>
          <w:sz w:val="17"/>
          <w:szCs w:val="17"/>
          <w:color w:val="auto"/>
        </w:rPr>
        <w:t>.</w:t>
      </w:r>
    </w:p>
    <w:p>
      <w:pPr>
        <w:spacing w:after="0" w:line="229" w:lineRule="exact"/>
        <w:rPr>
          <w:sz w:val="20"/>
          <w:szCs w:val="20"/>
          <w:color w:val="auto"/>
        </w:rPr>
      </w:pPr>
    </w:p>
    <w:p>
      <w:pPr>
        <w:jc w:val="both"/>
        <w:ind w:firstLine="656"/>
        <w:spacing w:after="0" w:line="272" w:lineRule="auto"/>
        <w:tabs>
          <w:tab w:leader="none" w:pos="1041"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w:t>
      </w:r>
      <w:r>
        <w:rPr>
          <w:rFonts w:ascii="Arial" w:cs="Arial" w:eastAsia="Arial" w:hAnsi="Arial"/>
          <w:sz w:val="17"/>
          <w:szCs w:val="17"/>
          <w:u w:val="single" w:color="auto"/>
          <w:color w:val="auto"/>
        </w:rPr>
        <w:t>Section 13.04(g)</w:t>
      </w:r>
      <w:r>
        <w:rPr>
          <w:rFonts w:ascii="Arial" w:cs="Arial" w:eastAsia="Arial" w:hAnsi="Arial"/>
          <w:sz w:val="17"/>
          <w:szCs w:val="17"/>
          <w:color w:val="auto"/>
        </w:rPr>
        <w:t xml:space="preserve">. Upon request by Administrative Agent at any time, the Lenders will confirm in writing Collateral Agent’s authority to release particular types or items of Collateral pursuant to </w:t>
      </w:r>
      <w:r>
        <w:rPr>
          <w:rFonts w:ascii="Arial" w:cs="Arial" w:eastAsia="Arial" w:hAnsi="Arial"/>
          <w:sz w:val="17"/>
          <w:szCs w:val="17"/>
          <w:u w:val="single" w:color="auto"/>
          <w:color w:val="auto"/>
        </w:rPr>
        <w:t>Section 13.04(g)</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052"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w:t>
      </w:r>
      <w:r>
        <w:rPr>
          <w:rFonts w:ascii="Arial" w:cs="Arial" w:eastAsia="Arial" w:hAnsi="Arial"/>
          <w:sz w:val="17"/>
          <w:szCs w:val="17"/>
          <w:u w:val="single" w:color="auto"/>
          <w:color w:val="auto"/>
        </w:rPr>
        <w:t>Section 12.01</w:t>
      </w:r>
      <w:r>
        <w:rPr>
          <w:rFonts w:ascii="Arial" w:cs="Arial" w:eastAsia="Arial" w:hAnsi="Arial"/>
          <w:sz w:val="17"/>
          <w:szCs w:val="17"/>
          <w:color w:val="auto"/>
        </w:rPr>
        <w:t xml:space="preserve"> or in this </w:t>
      </w:r>
      <w:r>
        <w:rPr>
          <w:rFonts w:ascii="Arial" w:cs="Arial" w:eastAsia="Arial" w:hAnsi="Arial"/>
          <w:sz w:val="17"/>
          <w:szCs w:val="17"/>
          <w:u w:val="single" w:color="auto"/>
          <w:color w:val="auto"/>
        </w:rPr>
        <w:t>Section 12.12</w:t>
      </w:r>
      <w:r>
        <w:rPr>
          <w:rFonts w:ascii="Arial" w:cs="Arial" w:eastAsia="Arial" w:hAnsi="Arial"/>
          <w:sz w:val="17"/>
          <w:szCs w:val="17"/>
          <w:color w:val="auto"/>
        </w:rPr>
        <w:t xml:space="preserve">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12.13. Withholding Tax</w:t>
      </w:r>
      <w:r>
        <w:rPr>
          <w:rFonts w:ascii="Arial" w:cs="Arial" w:eastAsia="Arial" w:hAnsi="Arial"/>
          <w:sz w:val="17"/>
          <w:szCs w:val="17"/>
          <w:color w:val="auto"/>
        </w:rPr>
        <w:t>. To the extent required by any applicable Requirement of Law, the Administrative Agent may withhold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payment to any Lender, an amount equivalent to any applicable withholding tax. Without limiting or expanding the provisions of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Credit Document against any amount due Administrative Agent under this </w:t>
      </w:r>
      <w:r>
        <w:rPr>
          <w:rFonts w:ascii="Arial" w:cs="Arial" w:eastAsia="Arial" w:hAnsi="Arial"/>
          <w:sz w:val="17"/>
          <w:szCs w:val="17"/>
          <w:u w:val="single" w:color="auto"/>
          <w:color w:val="auto"/>
        </w:rPr>
        <w:t>Section 12.13</w:t>
      </w:r>
      <w:r>
        <w:rPr>
          <w:rFonts w:ascii="Arial" w:cs="Arial" w:eastAsia="Arial" w:hAnsi="Arial"/>
          <w:sz w:val="17"/>
          <w:szCs w:val="17"/>
          <w:color w:val="auto"/>
        </w:rPr>
        <w:t xml:space="preserve">. The agreements in this </w:t>
      </w:r>
      <w:r>
        <w:rPr>
          <w:rFonts w:ascii="Arial" w:cs="Arial" w:eastAsia="Arial" w:hAnsi="Arial"/>
          <w:sz w:val="17"/>
          <w:szCs w:val="17"/>
          <w:u w:val="single" w:color="auto"/>
          <w:color w:val="auto"/>
        </w:rPr>
        <w:t>Section 12.13</w:t>
      </w:r>
      <w:r>
        <w:rPr>
          <w:rFonts w:ascii="Arial" w:cs="Arial" w:eastAsia="Arial" w:hAnsi="Arial"/>
          <w:sz w:val="17"/>
          <w:szCs w:val="17"/>
          <w:color w:val="auto"/>
        </w:rPr>
        <w:t xml:space="preserve"> shall survive the resignation and/or replacement of Administrative Agent, any assignment of rights by, or the replacement of, a Lender, and the repayment, satisfaction or discharge of any Loans and all other amounts payable hereunder.</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12.14. Swap Contracts</w:t>
      </w:r>
      <w:r>
        <w:rPr>
          <w:rFonts w:ascii="Arial" w:cs="Arial" w:eastAsia="Arial" w:hAnsi="Arial"/>
          <w:sz w:val="18"/>
          <w:szCs w:val="18"/>
          <w:color w:val="auto"/>
        </w:rPr>
        <w:t>. Except as otherwise expressly set forth herein or in any Security Document, no Swap Provider that obtains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benefits of </w:t>
      </w:r>
      <w:r>
        <w:rPr>
          <w:rFonts w:ascii="Arial" w:cs="Arial" w:eastAsia="Arial" w:hAnsi="Arial"/>
          <w:sz w:val="18"/>
          <w:szCs w:val="18"/>
          <w:u w:val="single" w:color="auto"/>
          <w:color w:val="auto"/>
        </w:rPr>
        <w:t>Section 11.02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Obligations arising under Swap Contracts unless the Administrative Agent has received written notice of such Obligations, together with such supporting documentation as the Administrative Agent may request from the applicable Swap Provider.</w:t>
      </w:r>
    </w:p>
    <w:p>
      <w:pPr>
        <w:spacing w:after="0" w:line="189"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Collateral Agent or any other Secured Party to exercise and no delay in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ectPr>
          <w:pgSz w:w="11900" w:h="16838" w:orient="portrait"/>
          <w:cols w:equalWidth="0" w:num="1">
            <w:col w:w="11420"/>
          </w:cols>
          <w:pgMar w:left="240" w:top="125" w:right="239" w:bottom="171" w:gutter="0" w:footer="0" w:header="0"/>
        </w:sectPr>
      </w:pPr>
    </w:p>
    <w:bookmarkStart w:id="123" w:name="page124"/>
    <w:bookmarkEnd w:id="123"/>
    <w:p>
      <w:pPr>
        <w:jc w:val="both"/>
        <w:ind w:firstLine="656"/>
        <w:spacing w:after="0" w:line="261" w:lineRule="auto"/>
        <w:tabs>
          <w:tab w:leader="none" w:pos="1149"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(including by facsimile or electronic mail). All such written notices shall be mailed certified or registered mail, faxed or delivered to the applicable address, telecopy or facsimile number or (subject to </w:t>
      </w:r>
      <w:r>
        <w:rPr>
          <w:rFonts w:ascii="Arial" w:cs="Arial" w:eastAsia="Arial" w:hAnsi="Arial"/>
          <w:sz w:val="18"/>
          <w:szCs w:val="18"/>
          <w:u w:val="single" w:color="auto"/>
          <w:color w:val="auto"/>
        </w:rPr>
        <w:t>Section 13.02(b)</w:t>
      </w:r>
      <w:r>
        <w:rPr>
          <w:rFonts w:ascii="Arial" w:cs="Arial" w:eastAsia="Arial" w:hAnsi="Arial"/>
          <w:sz w:val="18"/>
          <w:szCs w:val="18"/>
          <w:color w:val="auto"/>
        </w:rPr>
        <w:t xml:space="preserve"> below) electronic mail address, and all notices and other communications expressly permitted hereunder to be given by telephone shall be made to the applicable telephone number, as follows:</w:t>
      </w:r>
    </w:p>
    <w:p>
      <w:pPr>
        <w:spacing w:after="0" w:line="184" w:lineRule="exact"/>
        <w:rPr>
          <w:rFonts w:ascii="Arial" w:cs="Arial" w:eastAsia="Arial" w:hAnsi="Arial"/>
          <w:sz w:val="18"/>
          <w:szCs w:val="18"/>
          <w:color w:val="auto"/>
        </w:rPr>
      </w:pPr>
    </w:p>
    <w:p>
      <w:pPr>
        <w:ind w:left="660" w:firstLine="645"/>
        <w:spacing w:after="0" w:line="277" w:lineRule="auto"/>
        <w:tabs>
          <w:tab w:leader="none" w:pos="1685"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to any Credit Party or any Agent, to the address, facsimile number, electronic mail address or telephone number specified for such Person below its name on the signature pages hereof;</w:t>
      </w:r>
    </w:p>
    <w:p>
      <w:pPr>
        <w:spacing w:after="0" w:line="170" w:lineRule="exact"/>
        <w:rPr>
          <w:rFonts w:ascii="Arial" w:cs="Arial" w:eastAsia="Arial" w:hAnsi="Arial"/>
          <w:sz w:val="18"/>
          <w:szCs w:val="18"/>
          <w:color w:val="auto"/>
        </w:rPr>
      </w:pPr>
    </w:p>
    <w:p>
      <w:pPr>
        <w:ind w:left="660" w:firstLine="645"/>
        <w:spacing w:after="0" w:line="277" w:lineRule="auto"/>
        <w:tabs>
          <w:tab w:leader="none" w:pos="172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w:t>
      </w:r>
      <w:r>
        <w:rPr>
          <w:rFonts w:ascii="Arial" w:cs="Arial" w:eastAsia="Arial" w:hAnsi="Arial"/>
          <w:sz w:val="18"/>
          <w:szCs w:val="18"/>
          <w:u w:val="single" w:color="auto"/>
          <w:color w:val="auto"/>
        </w:rPr>
        <w:t>Section 13.02(b)</w:t>
      </w:r>
      <w:r>
        <w:rPr>
          <w:rFonts w:ascii="Arial" w:cs="Arial" w:eastAsia="Arial" w:hAnsi="Arial"/>
          <w:sz w:val="18"/>
          <w:szCs w:val="18"/>
          <w:color w:val="auto"/>
        </w:rPr>
        <w:t xml:space="preserve"> below, shall be effective as provided in such </w:t>
      </w:r>
      <w:r>
        <w:rPr>
          <w:rFonts w:ascii="Arial" w:cs="Arial" w:eastAsia="Arial" w:hAnsi="Arial"/>
          <w:sz w:val="18"/>
          <w:szCs w:val="18"/>
          <w:u w:val="single" w:color="auto"/>
          <w:color w:val="auto"/>
        </w:rPr>
        <w:t>Section 13.02(b)</w:t>
      </w:r>
      <w:r>
        <w:rPr>
          <w:rFonts w:ascii="Arial" w:cs="Arial" w:eastAsia="Arial" w:hAnsi="Arial"/>
          <w:sz w:val="18"/>
          <w:szCs w:val="18"/>
          <w:color w:val="auto"/>
        </w:rPr>
        <w:t>.</w:t>
      </w:r>
    </w:p>
    <w:p>
      <w:pPr>
        <w:spacing w:after="0" w:line="183" w:lineRule="exact"/>
        <w:rPr>
          <w:sz w:val="20"/>
          <w:szCs w:val="20"/>
          <w:color w:val="auto"/>
        </w:rPr>
      </w:pPr>
    </w:p>
    <w:p>
      <w:pPr>
        <w:jc w:val="both"/>
        <w:ind w:firstLine="656"/>
        <w:spacing w:after="0" w:line="220" w:lineRule="exact"/>
        <w:tabs>
          <w:tab w:leader="none" w:pos="11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656"/>
        <w:spacing w:after="0" w:line="314" w:lineRule="auto"/>
        <w:tabs>
          <w:tab w:leader="none" w:pos="1068" w:val="left"/>
        </w:tabs>
        <w:numPr>
          <w:ilvl w:val="0"/>
          <w:numId w:val="149"/>
        </w:numPr>
        <w:rPr>
          <w:rFonts w:ascii="Arial" w:cs="Arial" w:eastAsia="Arial" w:hAnsi="Arial"/>
          <w:sz w:val="16"/>
          <w:szCs w:val="16"/>
          <w:color w:val="auto"/>
        </w:rPr>
      </w:pPr>
      <w:r>
        <w:rPr>
          <w:rFonts w:ascii="Arial" w:cs="Arial" w:eastAsia="Arial" w:hAnsi="Arial"/>
          <w:sz w:val="16"/>
          <w:szCs w:val="16"/>
          <w:b w:val="1"/>
          <w:bCs w:val="1"/>
          <w:color w:val="auto"/>
        </w:rPr>
        <w:t>Change of Address, Etc</w:t>
      </w:r>
      <w:r>
        <w:rPr>
          <w:rFonts w:ascii="Arial" w:cs="Arial" w:eastAsia="Arial" w:hAnsi="Arial"/>
          <w:sz w:val="16"/>
          <w:szCs w:val="16"/>
          <w:color w:val="auto"/>
        </w:rPr>
        <w:t>. Each Credit Party and each Agent may change its respective address, facsimile number, electronic mail address or</w:t>
      </w:r>
      <w:r>
        <w:rPr>
          <w:rFonts w:ascii="Arial" w:cs="Arial" w:eastAsia="Arial" w:hAnsi="Arial"/>
          <w:sz w:val="16"/>
          <w:szCs w:val="16"/>
          <w:b w:val="1"/>
          <w:bCs w:val="1"/>
          <w:color w:val="auto"/>
        </w:rPr>
        <w:t xml:space="preserve"> </w:t>
      </w:r>
      <w:r>
        <w:rPr>
          <w:rFonts w:ascii="Arial" w:cs="Arial" w:eastAsia="Arial" w:hAnsi="Arial"/>
          <w:sz w:val="16"/>
          <w:szCs w:val="16"/>
          <w:color w:val="auto"/>
        </w:rPr>
        <w:t>telephone number for notices and other communications hereunder by notice to the other parties hereto. Each other Lender may change its address, facsimile number, electronic mail address or telephone number for notices and other communications hereunder by notice to Borrower and Administrative Agent.</w:t>
      </w:r>
    </w:p>
    <w:p>
      <w:pPr>
        <w:spacing w:after="0" w:line="142" w:lineRule="exact"/>
        <w:rPr>
          <w:rFonts w:ascii="Arial" w:cs="Arial" w:eastAsia="Arial" w:hAnsi="Arial"/>
          <w:sz w:val="16"/>
          <w:szCs w:val="16"/>
          <w:color w:val="auto"/>
        </w:rPr>
      </w:pPr>
    </w:p>
    <w:p>
      <w:pPr>
        <w:jc w:val="both"/>
        <w:ind w:firstLine="656"/>
        <w:spacing w:after="0" w:line="255" w:lineRule="auto"/>
        <w:tabs>
          <w:tab w:leader="none" w:pos="1065"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Reliance by Agents and Lenders</w:t>
      </w:r>
      <w:r>
        <w:rPr>
          <w:rFonts w:ascii="Arial" w:cs="Arial" w:eastAsia="Arial" w:hAnsi="Arial"/>
          <w:sz w:val="18"/>
          <w:szCs w:val="18"/>
          <w:color w:val="auto"/>
        </w:rPr>
        <w:t>. Agents and the Lenders shall be entitled to rely and act upon any notices (including telephonic Notices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85" w:lineRule="exact"/>
        <w:rPr>
          <w:rFonts w:ascii="Arial" w:cs="Arial" w:eastAsia="Arial" w:hAnsi="Arial"/>
          <w:sz w:val="18"/>
          <w:szCs w:val="18"/>
          <w:color w:val="auto"/>
        </w:rPr>
      </w:pPr>
    </w:p>
    <w:p>
      <w:pPr>
        <w:jc w:val="both"/>
        <w:ind w:firstLine="656"/>
        <w:spacing w:after="0" w:line="269" w:lineRule="auto"/>
        <w:tabs>
          <w:tab w:leader="none" w:pos="1055" w:val="left"/>
        </w:tabs>
        <w:numPr>
          <w:ilvl w:val="0"/>
          <w:numId w:val="149"/>
        </w:numPr>
        <w:rPr>
          <w:rFonts w:ascii="Arial" w:cs="Arial" w:eastAsia="Arial" w:hAnsi="Arial"/>
          <w:sz w:val="17"/>
          <w:szCs w:val="17"/>
          <w:color w:val="auto"/>
        </w:rPr>
      </w:pPr>
      <w:r>
        <w:rPr>
          <w:rFonts w:ascii="Arial" w:cs="Arial" w:eastAsia="Arial" w:hAnsi="Arial"/>
          <w:sz w:val="17"/>
          <w:szCs w:val="17"/>
          <w:b w:val="1"/>
          <w:b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b w:val="1"/>
          <w:bCs w:val="1"/>
          <w:color w:val="auto"/>
        </w:rPr>
        <w:t xml:space="preserve"> </w:t>
      </w:r>
      <w:r>
        <w:rPr>
          <w:rFonts w:ascii="Arial" w:cs="Arial" w:eastAsia="Arial" w:hAnsi="Arial"/>
          <w:sz w:val="17"/>
          <w:szCs w:val="17"/>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Borrower, any other Credit Party, any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shall any Agent Party have any liability to Borrower, any other Credit Party, any Lender, or any other Person for indirect, special, incidental, consequential or punitive damages (as opposed to direct or actual damages).</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firstLine="645"/>
        <w:spacing w:after="0" w:line="272" w:lineRule="auto"/>
        <w:tabs>
          <w:tab w:leader="none" w:pos="1699" w:val="left"/>
        </w:tabs>
        <w:numPr>
          <w:ilvl w:val="1"/>
          <w:numId w:val="150"/>
        </w:numPr>
        <w:rPr>
          <w:rFonts w:ascii="Arial" w:cs="Arial" w:eastAsia="Arial" w:hAnsi="Arial"/>
          <w:sz w:val="17"/>
          <w:szCs w:val="17"/>
          <w:color w:val="auto"/>
        </w:rPr>
      </w:pPr>
      <w:r>
        <w:rPr>
          <w:rFonts w:ascii="Arial" w:cs="Arial" w:eastAsia="Arial" w:hAnsi="Arial"/>
          <w:sz w:val="17"/>
          <w:szCs w:val="17"/>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one local counsel in each applicable jurisdiction reasonably deemed necessary by Agents, any “ClearPar” costs and expenses, and the reasonable fees and other disbursements of the Nevada Collateral Agent)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77" w:lineRule="exact"/>
        <w:rPr>
          <w:rFonts w:ascii="Arial" w:cs="Arial" w:eastAsia="Arial" w:hAnsi="Arial"/>
          <w:sz w:val="17"/>
          <w:szCs w:val="17"/>
          <w:color w:val="auto"/>
        </w:rPr>
      </w:pPr>
    </w:p>
    <w:p>
      <w:pPr>
        <w:jc w:val="both"/>
        <w:ind w:left="660" w:firstLine="645"/>
        <w:spacing w:after="0" w:line="293" w:lineRule="auto"/>
        <w:tabs>
          <w:tab w:leader="none" w:pos="173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each Agent and each Lender for all reasonable and documented out-of-pocket costs and expenses of such Agent or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w:t>
      </w:r>
    </w:p>
    <w:p>
      <w:pPr>
        <w:sectPr>
          <w:pgSz w:w="11900" w:h="16838" w:orient="portrait"/>
          <w:cols w:equalWidth="0" w:num="1">
            <w:col w:w="11420"/>
          </w:cols>
          <w:pgMar w:left="240" w:top="121" w:right="239" w:bottom="0" w:gutter="0" w:footer="0" w:header="0"/>
        </w:sectPr>
      </w:pPr>
    </w:p>
    <w:bookmarkStart w:id="124" w:name="page125"/>
    <w:bookmarkEnd w:id="124"/>
    <w:p>
      <w:pPr>
        <w:jc w:val="both"/>
        <w:ind w:left="660"/>
        <w:spacing w:after="0" w:line="259" w:lineRule="auto"/>
        <w:rPr>
          <w:sz w:val="20"/>
          <w:szCs w:val="20"/>
          <w:color w:val="auto"/>
        </w:rPr>
      </w:pPr>
      <w:r>
        <w:rPr>
          <w:rFonts w:ascii="Arial" w:cs="Arial" w:eastAsia="Arial" w:hAnsi="Arial"/>
          <w:sz w:val="18"/>
          <w:szCs w:val="18"/>
          <w:color w:val="auto"/>
        </w:rPr>
        <w:t xml:space="preserve">participation in or other involvement with (x) bankruptcy, insolvency, receivership, foreclosure, 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w:t>
      </w:r>
      <w:r>
        <w:rPr>
          <w:rFonts w:ascii="Arial" w:cs="Arial" w:eastAsia="Arial" w:hAnsi="Arial"/>
          <w:sz w:val="18"/>
          <w:szCs w:val="18"/>
          <w:u w:val="single" w:color="auto"/>
          <w:color w:val="auto"/>
        </w:rPr>
        <w:t>Section 13.03</w:t>
      </w:r>
      <w:r>
        <w:rPr>
          <w:rFonts w:ascii="Arial" w:cs="Arial" w:eastAsia="Arial" w:hAnsi="Arial"/>
          <w:sz w:val="18"/>
          <w:szCs w:val="18"/>
          <w:color w:val="auto"/>
        </w:rPr>
        <w:t>; and</w:t>
      </w:r>
    </w:p>
    <w:p>
      <w:pPr>
        <w:spacing w:after="0" w:line="187" w:lineRule="exact"/>
        <w:rPr>
          <w:sz w:val="20"/>
          <w:szCs w:val="20"/>
          <w:color w:val="auto"/>
        </w:rPr>
      </w:pPr>
    </w:p>
    <w:p>
      <w:pPr>
        <w:jc w:val="both"/>
        <w:ind w:left="660" w:firstLine="645"/>
        <w:spacing w:after="0" w:line="259" w:lineRule="auto"/>
        <w:tabs>
          <w:tab w:leader="none" w:pos="178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and the reasonable fees and other disbursements of the Nevada Collateral Agent) incurred in connection with any filing, registration, recording or perfection of any security interest contemplated by any Credit Document or any other document referred to therein.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 xml:space="preserve">Without limiting the rights of any Agent under this </w:t>
      </w:r>
      <w:r>
        <w:rPr>
          <w:rFonts w:ascii="Arial" w:cs="Arial" w:eastAsia="Arial" w:hAnsi="Arial"/>
          <w:sz w:val="17"/>
          <w:szCs w:val="17"/>
          <w:u w:val="single" w:color="auto"/>
          <w:color w:val="auto"/>
        </w:rPr>
        <w:t>Section 13.03(a)</w:t>
      </w:r>
      <w:r>
        <w:rPr>
          <w:rFonts w:ascii="Arial" w:cs="Arial" w:eastAsia="Arial" w:hAnsi="Arial"/>
          <w:sz w:val="17"/>
          <w:szCs w:val="17"/>
          <w:color w:val="auto"/>
        </w:rPr>
        <w:t xml:space="preserve">, each Agent, promptly after a request of Borrower from time to time, will advise Borrower of an estimate of any amount anticipated to be incurred by such Agent and reimbursed by Borrower under this </w:t>
      </w:r>
      <w:r>
        <w:rPr>
          <w:rFonts w:ascii="Arial" w:cs="Arial" w:eastAsia="Arial" w:hAnsi="Arial"/>
          <w:sz w:val="17"/>
          <w:szCs w:val="17"/>
          <w:u w:val="single" w:color="auto"/>
          <w:color w:val="auto"/>
        </w:rPr>
        <w:t>Section 13.03(a)</w:t>
      </w:r>
      <w:r>
        <w:rPr>
          <w:rFonts w:ascii="Arial" w:cs="Arial" w:eastAsia="Arial" w:hAnsi="Arial"/>
          <w:sz w:val="17"/>
          <w:szCs w:val="17"/>
          <w:color w:val="auto"/>
        </w:rPr>
        <w:t>.</w:t>
      </w:r>
    </w:p>
    <w:p>
      <w:pPr>
        <w:spacing w:after="0" w:line="147" w:lineRule="exact"/>
        <w:rPr>
          <w:sz w:val="20"/>
          <w:szCs w:val="20"/>
          <w:color w:val="auto"/>
        </w:rPr>
      </w:pPr>
    </w:p>
    <w:p>
      <w:pPr>
        <w:jc w:val="both"/>
        <w:ind w:firstLine="656"/>
        <w:spacing w:after="0" w:line="267" w:lineRule="auto"/>
        <w:tabs>
          <w:tab w:leader="none" w:pos="1052"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Credit Parties, jointly and severally, hereby agree to indemnify each Agent, each Lender and their respective Affiliates, directors, trustees, officers, employees, representatives, advisors, partners and agents (each, an “</w:t>
      </w:r>
      <w:r>
        <w:rPr>
          <w:rFonts w:ascii="Arial" w:cs="Arial" w:eastAsia="Arial" w:hAnsi="Arial"/>
          <w:sz w:val="17"/>
          <w:szCs w:val="17"/>
          <w:b w:val="1"/>
          <w:bCs w:val="1"/>
          <w:color w:val="auto"/>
        </w:rPr>
        <w:t>Indemnitee</w:t>
      </w:r>
      <w:r>
        <w:rPr>
          <w:rFonts w:ascii="Arial" w:cs="Arial" w:eastAsia="Arial" w:hAnsi="Arial"/>
          <w:sz w:val="17"/>
          <w:szCs w:val="17"/>
          <w:color w:val="auto"/>
        </w:rPr>
        <w:t xml:space="preserve">”)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the use of any collateral security for the Obligations (including the exercise by any Agent or Lender of the rights and remedies or any power of attorney with respect thereto or any action or inaction in respect thereof), including all amounts payable by any Lender pursuant to </w:t>
      </w:r>
      <w:r>
        <w:rPr>
          <w:rFonts w:ascii="Arial" w:cs="Arial" w:eastAsia="Arial" w:hAnsi="Arial"/>
          <w:sz w:val="17"/>
          <w:szCs w:val="17"/>
          <w:u w:val="single" w:color="auto"/>
          <w:color w:val="auto"/>
        </w:rPr>
        <w:t>Section 12.08</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legal expenses shall be limited to the reasonable fees, expenses and disbursements of one primary legal counsel for all Indemnitees selected by Administrative Agent and of one local counsel in each applicable jurisdiction reasonably deemed necessary by the Indemnitees) (and solely in the case of an actual or perceived conflict of interest, one additional of each such counsel for each group of similarly situated Indemnitees), but excluding (i) any such Losses relating to matters referred to in </w:t>
      </w:r>
      <w:r>
        <w:rPr>
          <w:rFonts w:ascii="Arial" w:cs="Arial" w:eastAsia="Arial" w:hAnsi="Arial"/>
          <w:sz w:val="17"/>
          <w:szCs w:val="17"/>
          <w:u w:val="single" w:color="auto"/>
          <w:color w:val="auto"/>
        </w:rPr>
        <w:t>Sections 5.01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5.06</w:t>
      </w:r>
      <w:r>
        <w:rPr>
          <w:rFonts w:ascii="Arial" w:cs="Arial" w:eastAsia="Arial" w:hAnsi="Arial"/>
          <w:sz w:val="17"/>
          <w:szCs w:val="17"/>
          <w:color w:val="auto"/>
        </w:rPr>
        <w:t xml:space="preserve">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acting in such capacities or fulfilling such roles). For purposes of this </w:t>
      </w:r>
      <w:r>
        <w:rPr>
          <w:rFonts w:ascii="Arial" w:cs="Arial" w:eastAsia="Arial" w:hAnsi="Arial"/>
          <w:sz w:val="17"/>
          <w:szCs w:val="17"/>
          <w:u w:val="single" w:color="auto"/>
          <w:color w:val="auto"/>
        </w:rPr>
        <w:t>Section 13.03(b)</w:t>
      </w:r>
      <w:r>
        <w:rPr>
          <w:rFonts w:ascii="Arial" w:cs="Arial" w:eastAsia="Arial" w:hAnsi="Arial"/>
          <w:sz w:val="17"/>
          <w:szCs w:val="17"/>
          <w:color w:val="auto"/>
        </w:rPr>
        <w:t>, a “</w:t>
      </w:r>
      <w:r>
        <w:rPr>
          <w:rFonts w:ascii="Arial" w:cs="Arial" w:eastAsia="Arial" w:hAnsi="Arial"/>
          <w:sz w:val="17"/>
          <w:szCs w:val="17"/>
          <w:u w:val="single" w:color="auto"/>
          <w:color w:val="auto"/>
        </w:rPr>
        <w:t>Related Indemnified Person</w:t>
      </w:r>
      <w:r>
        <w:rPr>
          <w:rFonts w:ascii="Arial" w:cs="Arial" w:eastAsia="Arial" w:hAnsi="Arial"/>
          <w:sz w:val="17"/>
          <w:szCs w:val="17"/>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 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indemnity hereunder shall be subject to the exclusions from indemnification set forth in the preceding sentence.</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To the extent that the undertaking to indemnify and hold harmless set forth in this </w:t>
      </w:r>
      <w:r>
        <w:rPr>
          <w:rFonts w:ascii="Arial" w:cs="Arial" w:eastAsia="Arial" w:hAnsi="Arial"/>
          <w:sz w:val="18"/>
          <w:szCs w:val="18"/>
          <w:u w:val="single" w:color="auto"/>
          <w:color w:val="auto"/>
        </w:rPr>
        <w:t>Section 13.03</w:t>
      </w:r>
      <w:r>
        <w:rPr>
          <w:rFonts w:ascii="Arial" w:cs="Arial" w:eastAsia="Arial" w:hAnsi="Arial"/>
          <w:sz w:val="18"/>
          <w:szCs w:val="18"/>
          <w:color w:val="auto"/>
        </w:rPr>
        <w:t xml:space="preserve">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limit the Credit Parties’ indemnity and reimbursement obligations to the extent set forth in this </w:t>
      </w:r>
      <w:r>
        <w:rPr>
          <w:rFonts w:ascii="Arial" w:cs="Arial" w:eastAsia="Arial" w:hAnsi="Arial"/>
          <w:sz w:val="16"/>
          <w:szCs w:val="16"/>
          <w:u w:val="single" w:color="auto"/>
          <w:color w:val="auto"/>
        </w:rPr>
        <w:t>Section 13.03</w:t>
      </w:r>
      <w:r>
        <w:rPr>
          <w:rFonts w:ascii="Arial" w:cs="Arial" w:eastAsia="Arial" w:hAnsi="Arial"/>
          <w:sz w:val="16"/>
          <w:szCs w:val="16"/>
          <w:color w:val="auto"/>
        </w:rPr>
        <w:t xml:space="preserve">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clause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6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41" w:val="left"/>
        </w:tabs>
        <w:numPr>
          <w:ilvl w:val="0"/>
          <w:numId w:val="153"/>
        </w:numPr>
        <w:rPr>
          <w:rFonts w:ascii="Arial" w:cs="Arial" w:eastAsia="Arial" w:hAnsi="Arial"/>
          <w:sz w:val="18"/>
          <w:szCs w:val="18"/>
          <w:color w:val="auto"/>
        </w:rPr>
      </w:pPr>
      <w:r>
        <w:rPr>
          <w:rFonts w:ascii="Arial" w:cs="Arial" w:eastAsia="Arial" w:hAnsi="Arial"/>
          <w:sz w:val="18"/>
          <w:szCs w:val="18"/>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no such amendment, modification, change or waiver shall (and any such amendment, modification, change or waiver set forth below in clauses (i) through (vi) of this </w:t>
      </w:r>
      <w:r>
        <w:rPr>
          <w:rFonts w:ascii="Arial" w:cs="Arial" w:eastAsia="Arial" w:hAnsi="Arial"/>
          <w:sz w:val="18"/>
          <w:szCs w:val="18"/>
          <w:u w:val="single" w:color="auto"/>
          <w:color w:val="auto"/>
        </w:rPr>
        <w:t>Section 13.04(a)</w:t>
      </w:r>
      <w:r>
        <w:rPr>
          <w:rFonts w:ascii="Arial" w:cs="Arial" w:eastAsia="Arial" w:hAnsi="Arial"/>
          <w:sz w:val="18"/>
          <w:szCs w:val="18"/>
          <w:color w:val="auto"/>
        </w:rPr>
        <w:t xml:space="preserve"> shall only require the approval of the Agents and/or Lenders whose consent is required therefor pursuant to such clauses):</w:t>
      </w:r>
    </w:p>
    <w:p>
      <w:pPr>
        <w:sectPr>
          <w:pgSz w:w="11900" w:h="16838" w:orient="portrait"/>
          <w:cols w:equalWidth="0" w:num="1">
            <w:col w:w="11420"/>
          </w:cols>
          <w:pgMar w:left="240" w:top="125" w:right="239" w:bottom="130" w:gutter="0" w:footer="0" w:header="0"/>
        </w:sectPr>
      </w:pPr>
    </w:p>
    <w:bookmarkStart w:id="125" w:name="page126"/>
    <w:bookmarkEnd w:id="125"/>
    <w:p>
      <w:pPr>
        <w:jc w:val="both"/>
        <w:ind w:left="660" w:firstLine="888"/>
        <w:spacing w:after="0" w:line="255" w:lineRule="auto"/>
        <w:tabs>
          <w:tab w:leader="none" w:pos="2023"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extend the date for any scheduled payment of principal on any Loan or Note or extend the termination date of any of the Commitments, increase any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93" w:lineRule="exact"/>
        <w:rPr>
          <w:rFonts w:ascii="Arial" w:cs="Arial" w:eastAsia="Arial" w:hAnsi="Arial"/>
          <w:sz w:val="18"/>
          <w:szCs w:val="18"/>
          <w:color w:val="auto"/>
        </w:rPr>
      </w:pPr>
    </w:p>
    <w:p>
      <w:pPr>
        <w:jc w:val="both"/>
        <w:ind w:left="660" w:firstLine="888"/>
        <w:spacing w:after="0" w:line="264" w:lineRule="auto"/>
        <w:tabs>
          <w:tab w:leader="none" w:pos="2086" w:val="left"/>
        </w:tabs>
        <w:numPr>
          <w:ilvl w:val="1"/>
          <w:numId w:val="154"/>
        </w:numPr>
        <w:rPr>
          <w:rFonts w:ascii="Arial" w:cs="Arial" w:eastAsia="Arial" w:hAnsi="Arial"/>
          <w:sz w:val="18"/>
          <w:szCs w:val="18"/>
          <w:color w:val="auto"/>
        </w:rPr>
      </w:pPr>
      <w:r>
        <w:rPr>
          <w:rFonts w:ascii="Arial" w:cs="Arial" w:eastAsia="Arial" w:hAnsi="Arial"/>
          <w:sz w:val="18"/>
          <w:szCs w:val="18"/>
          <w:color w:val="auto"/>
        </w:rPr>
        <w:t>release (x) all or substantially all of the Collateral (except as provided in the Security Documents) under all the Security Documents without the consent of the Supermajority Lenders or (y) all or substantially all of the Guarantors from the Guarantees without the consent of each Lender;</w:t>
      </w:r>
    </w:p>
    <w:p>
      <w:pPr>
        <w:spacing w:after="0" w:line="181" w:lineRule="exact"/>
        <w:rPr>
          <w:rFonts w:ascii="Arial" w:cs="Arial" w:eastAsia="Arial" w:hAnsi="Arial"/>
          <w:sz w:val="18"/>
          <w:szCs w:val="18"/>
          <w:color w:val="auto"/>
        </w:rPr>
      </w:pPr>
    </w:p>
    <w:p>
      <w:pPr>
        <w:ind w:left="2060" w:hanging="512"/>
        <w:spacing w:after="0"/>
        <w:tabs>
          <w:tab w:leader="none" w:pos="206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 xml:space="preserve">amend, modify, change or waive (x) any provision of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Section 13.04</w:t>
      </w:r>
      <w:r>
        <w:rPr>
          <w:rFonts w:ascii="Arial" w:cs="Arial" w:eastAsia="Arial" w:hAnsi="Arial"/>
          <w:sz w:val="17"/>
          <w:szCs w:val="17"/>
          <w:color w:val="auto"/>
        </w:rPr>
        <w:t xml:space="preserve"> without the consent of each Lender,</w:t>
      </w:r>
    </w:p>
    <w:p>
      <w:pPr>
        <w:spacing w:after="0" w:line="34" w:lineRule="exact"/>
        <w:rPr>
          <w:rFonts w:ascii="Arial" w:cs="Arial" w:eastAsia="Arial" w:hAnsi="Arial"/>
          <w:sz w:val="17"/>
          <w:szCs w:val="17"/>
          <w:color w:val="auto"/>
        </w:rPr>
      </w:pPr>
    </w:p>
    <w:p>
      <w:pPr>
        <w:jc w:val="both"/>
        <w:ind w:left="660" w:hanging="4"/>
        <w:spacing w:after="0" w:line="271" w:lineRule="auto"/>
        <w:tabs>
          <w:tab w:leader="none" w:pos="92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any other provision of any Credit Document or any other provision of this Agreement that expressly provides that the consent of all Lenders is required, without the consent of each Lender, or (z) any provision of any Credit Document that expressly provides that the consent of the Required Tranche Lenders of a particular Tranche is required, without the consent of the Required Tranche Lenders of such Tranche (in each case, except for technical amendments with respect to additional extensions of credit (including Extended Term Loans) pursuant to this Agreement which afford the benefits or protections to such additional extensions of credit of the type provided to the Term Loans);</w:t>
      </w:r>
    </w:p>
    <w:p>
      <w:pPr>
        <w:spacing w:after="0" w:line="178" w:lineRule="exact"/>
        <w:rPr>
          <w:rFonts w:ascii="Arial" w:cs="Arial" w:eastAsia="Arial" w:hAnsi="Arial"/>
          <w:sz w:val="17"/>
          <w:szCs w:val="17"/>
          <w:color w:val="auto"/>
        </w:rPr>
      </w:pPr>
    </w:p>
    <w:p>
      <w:pPr>
        <w:jc w:val="both"/>
        <w:ind w:left="660" w:firstLine="888"/>
        <w:spacing w:after="0" w:line="255" w:lineRule="auto"/>
        <w:tabs>
          <w:tab w:leader="none" w:pos="2032" w:val="left"/>
        </w:tabs>
        <w:numPr>
          <w:ilvl w:val="1"/>
          <w:numId w:val="155"/>
        </w:numPr>
        <w:rPr>
          <w:rFonts w:ascii="Arial" w:cs="Arial" w:eastAsia="Arial" w:hAnsi="Arial"/>
          <w:sz w:val="18"/>
          <w:szCs w:val="18"/>
          <w:color w:val="auto"/>
        </w:rPr>
      </w:pPr>
      <w:r>
        <w:rPr>
          <w:rFonts w:ascii="Arial" w:cs="Arial" w:eastAsia="Arial" w:hAnsi="Arial"/>
          <w:sz w:val="18"/>
          <w:szCs w:val="18"/>
          <w:color w:val="auto"/>
        </w:rPr>
        <w:t>reduce the percentage specified in the definition of “Required Lenders” or “Required Tranche Lenders” or otherwise amend the definition of “Required Lenders” or “Required Tranche Lenders” without the consent of each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pursuant to this Agreement may be included in the determination of the Required Lenders and/or Required Tranche Lenders on substantially the same basis as the extensions of Loans and Commitments are included on the Closing Date);</w:t>
      </w:r>
    </w:p>
    <w:p>
      <w:pPr>
        <w:spacing w:after="0" w:line="193" w:lineRule="exact"/>
        <w:rPr>
          <w:rFonts w:ascii="Arial" w:cs="Arial" w:eastAsia="Arial" w:hAnsi="Arial"/>
          <w:sz w:val="18"/>
          <w:szCs w:val="18"/>
          <w:color w:val="auto"/>
        </w:rPr>
      </w:pPr>
    </w:p>
    <w:p>
      <w:pPr>
        <w:jc w:val="both"/>
        <w:ind w:left="660" w:firstLine="888"/>
        <w:spacing w:after="0" w:line="302" w:lineRule="auto"/>
        <w:tabs>
          <w:tab w:leader="none" w:pos="199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 xml:space="preserve">amend, modify, change or waive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4.07(b)</w:t>
      </w:r>
      <w:r>
        <w:rPr>
          <w:rFonts w:ascii="Arial" w:cs="Arial" w:eastAsia="Arial" w:hAnsi="Arial"/>
          <w:sz w:val="16"/>
          <w:szCs w:val="16"/>
          <w:color w:val="auto"/>
        </w:rPr>
        <w:t xml:space="preserve">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or </w:t>
      </w:r>
      <w:r>
        <w:rPr>
          <w:rFonts w:ascii="Arial" w:cs="Arial" w:eastAsia="Arial" w:hAnsi="Arial"/>
          <w:sz w:val="16"/>
          <w:szCs w:val="16"/>
          <w:u w:val="single" w:color="auto"/>
          <w:color w:val="auto"/>
        </w:rPr>
        <w:t>Section 11.02</w:t>
      </w:r>
      <w:r>
        <w:rPr>
          <w:rFonts w:ascii="Arial" w:cs="Arial" w:eastAsia="Arial" w:hAnsi="Arial"/>
          <w:sz w:val="16"/>
          <w:szCs w:val="16"/>
          <w:color w:val="auto"/>
        </w:rPr>
        <w:t xml:space="preserve"> in a manner that would alter the application of proceeds required thereby, in each case without the consent of each Lender directly affected thereby (except for technical amendments with respect to additional extensions of credit (including Extended Term Loans) pursuant to this Agreement which afford the protections to such additional extensions of credit of the type provided to the Term Loans); or</w:t>
      </w:r>
    </w:p>
    <w:p>
      <w:pPr>
        <w:spacing w:after="0" w:line="154" w:lineRule="exact"/>
        <w:rPr>
          <w:rFonts w:ascii="Arial" w:cs="Arial" w:eastAsia="Arial" w:hAnsi="Arial"/>
          <w:sz w:val="16"/>
          <w:szCs w:val="16"/>
          <w:color w:val="auto"/>
        </w:rPr>
      </w:pPr>
    </w:p>
    <w:p>
      <w:pPr>
        <w:ind w:left="660" w:right="20" w:firstLine="888"/>
        <w:spacing w:after="0" w:line="277" w:lineRule="auto"/>
        <w:tabs>
          <w:tab w:leader="none" w:pos="204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Tranche to assign any of its rights or obligations hereunder without the written consent of the Required Tranche Lenders for such Tranche;</w:t>
      </w:r>
    </w:p>
    <w:p>
      <w:pPr>
        <w:spacing w:after="0" w:line="170" w:lineRule="exact"/>
        <w:rPr>
          <w:sz w:val="20"/>
          <w:szCs w:val="20"/>
          <w:color w:val="auto"/>
        </w:rPr>
      </w:pPr>
    </w:p>
    <w:p>
      <w:pPr>
        <w:jc w:val="both"/>
        <w:ind w:left="660" w:firstLine="648"/>
        <w:spacing w:after="0" w:line="285"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amount thereof then in effect without the consent of such Lender (it being understood that waivers or modifications of conditions precedent, covenants, Defaults, or Events of Default or of a mandatory reduction in the total Commitments or a waiver of a mandatory prepayment shall not constitute an increase of the Commitment of any Lender), (B) without the consent of any applicable Agent, amend, modify, change or waive any provision as same relates to the rights or obligations of such Agent, or (C) amend, modify, change, or waive </w:t>
      </w:r>
      <w:r>
        <w:rPr>
          <w:rFonts w:ascii="Arial" w:cs="Arial" w:eastAsia="Arial" w:hAnsi="Arial"/>
          <w:sz w:val="16"/>
          <w:szCs w:val="16"/>
          <w:u w:val="single" w:color="auto"/>
          <w:color w:val="auto"/>
        </w:rPr>
        <w:t>Section 2.10(b)</w:t>
      </w:r>
      <w:r>
        <w:rPr>
          <w:rFonts w:ascii="Arial" w:cs="Arial" w:eastAsia="Arial" w:hAnsi="Arial"/>
          <w:sz w:val="16"/>
          <w:szCs w:val="16"/>
          <w:color w:val="auto"/>
        </w:rPr>
        <w:t xml:space="preserve">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w:t>
      </w:r>
      <w:r>
        <w:rPr>
          <w:rFonts w:ascii="Arial" w:cs="Arial" w:eastAsia="Arial" w:hAnsi="Arial"/>
          <w:sz w:val="16"/>
          <w:szCs w:val="16"/>
          <w:u w:val="single" w:color="auto"/>
          <w:color w:val="auto"/>
        </w:rPr>
        <w:t>Section 13.04(a)</w:t>
      </w:r>
      <w:r>
        <w:rPr>
          <w:rFonts w:ascii="Arial" w:cs="Arial" w:eastAsia="Arial" w:hAnsi="Arial"/>
          <w:sz w:val="16"/>
          <w:szCs w:val="16"/>
          <w:color w:val="auto"/>
        </w:rPr>
        <w:t xml:space="preserve">) (except for technical amendments with respect to additional extensions of credit pursuant to this Agreement (including Extended Term Loans) so that such additional extensions may share in the application of prepayments (or commitment reductions) with any Tranche of Term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Required Lenders may waive, in whole or in part, any prepayment so long as the application, as between Tranches, of any portion of such prepayment which is still required to be made is not altered.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3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70" w:lineRule="exact"/>
        <w:rPr>
          <w:sz w:val="20"/>
          <w:szCs w:val="20"/>
          <w:color w:val="auto"/>
        </w:rPr>
      </w:pPr>
    </w:p>
    <w:p>
      <w:pPr>
        <w:jc w:val="both"/>
        <w:ind w:firstLine="656"/>
        <w:spacing w:after="0" w:line="257" w:lineRule="auto"/>
        <w:tabs>
          <w:tab w:leader="none" w:pos="1038"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(i) or (ii) below, to either:</w:t>
      </w:r>
    </w:p>
    <w:p>
      <w:pPr>
        <w:spacing w:after="0" w:line="188" w:lineRule="exact"/>
        <w:rPr>
          <w:rFonts w:ascii="Arial" w:cs="Arial" w:eastAsia="Arial" w:hAnsi="Arial"/>
          <w:sz w:val="18"/>
          <w:szCs w:val="18"/>
          <w:color w:val="auto"/>
        </w:rPr>
      </w:pPr>
    </w:p>
    <w:p>
      <w:pPr>
        <w:jc w:val="both"/>
        <w:ind w:left="660" w:firstLine="888"/>
        <w:spacing w:after="0" w:line="283" w:lineRule="auto"/>
        <w:tabs>
          <w:tab w:leader="none" w:pos="1969" w:val="left"/>
        </w:tabs>
        <w:numPr>
          <w:ilvl w:val="1"/>
          <w:numId w:val="156"/>
        </w:numPr>
        <w:rPr>
          <w:rFonts w:ascii="Arial" w:cs="Arial" w:eastAsia="Arial" w:hAnsi="Arial"/>
          <w:sz w:val="16"/>
          <w:szCs w:val="16"/>
          <w:color w:val="auto"/>
        </w:rPr>
      </w:pPr>
      <w:r>
        <w:rPr>
          <w:rFonts w:ascii="Arial" w:cs="Arial" w:eastAsia="Arial" w:hAnsi="Arial"/>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Arial" w:cs="Arial" w:eastAsia="Arial" w:hAnsi="Arial"/>
          <w:sz w:val="16"/>
          <w:szCs w:val="16"/>
          <w:b w:val="1"/>
          <w:bCs w:val="1"/>
          <w:color w:val="auto"/>
        </w:rPr>
        <w:t>Affected Classes</w:t>
      </w:r>
      <w:r>
        <w:rPr>
          <w:rFonts w:ascii="Arial" w:cs="Arial" w:eastAsia="Arial" w:hAnsi="Arial"/>
          <w:sz w:val="16"/>
          <w:szCs w:val="16"/>
          <w:color w:val="auto"/>
        </w:rPr>
        <w:t xml:space="preserve">”)) with one or more Replacement Lenders, so long as, at the time of such replacement, each such Replacement Lender consents to the 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w:t>
      </w:r>
      <w:r>
        <w:rPr>
          <w:rFonts w:ascii="Arial" w:cs="Arial" w:eastAsia="Arial" w:hAnsi="Arial"/>
          <w:sz w:val="16"/>
          <w:szCs w:val="16"/>
          <w:u w:val="single" w:color="auto"/>
          <w:color w:val="auto"/>
        </w:rPr>
        <w:t>Section 13.05(b)</w:t>
      </w:r>
      <w:r>
        <w:rPr>
          <w:rFonts w:ascii="Arial" w:cs="Arial" w:eastAsia="Arial" w:hAnsi="Arial"/>
          <w:sz w:val="16"/>
          <w:szCs w:val="16"/>
          <w:color w:val="auto"/>
        </w:rPr>
        <w:t xml:space="preserve"> to be paid by the Replacement Lender) pursuant to which the Replacement Lender shall acquire all of the Commitments and outstanding Loans of the Replaced Lender (or, at the option of Borrower if the respective Lender’s consent is required with respect to less than all Tranches of Loans (or related Commitments), the Commitments, and outstanding Loans of the Affected Classes), (ii) at the time of any replacement, the Replaced Lender shall receive an amount equal to the sum of</w:t>
      </w:r>
    </w:p>
    <w:p>
      <w:pPr>
        <w:spacing w:after="0" w:line="6" w:lineRule="exact"/>
        <w:rPr>
          <w:rFonts w:ascii="Arial" w:cs="Arial" w:eastAsia="Arial" w:hAnsi="Arial"/>
          <w:sz w:val="16"/>
          <w:szCs w:val="16"/>
          <w:color w:val="auto"/>
        </w:rPr>
      </w:pPr>
    </w:p>
    <w:p>
      <w:pPr>
        <w:jc w:val="both"/>
        <w:ind w:left="660"/>
        <w:spacing w:after="0" w:line="295" w:lineRule="auto"/>
        <w:rPr>
          <w:rFonts w:ascii="Arial" w:cs="Arial" w:eastAsia="Arial" w:hAnsi="Arial"/>
          <w:sz w:val="16"/>
          <w:szCs w:val="16"/>
          <w:color w:val="auto"/>
        </w:rPr>
      </w:pPr>
      <w:r>
        <w:rPr>
          <w:rFonts w:ascii="Arial" w:cs="Arial" w:eastAsia="Arial" w:hAnsi="Arial"/>
          <w:sz w:val="16"/>
          <w:szCs w:val="16"/>
          <w:color w:val="auto"/>
        </w:rPr>
        <w:t xml:space="preserve">(A) the principal of, and all accrued interest on, all outstanding Loans of such Lender (other than any Loans not being acquired by the Replacement Lender) and (B) all accrued, but theretofore unpaid, fees and other amounts owing to the Lender with respect to the Loans being so assigned (including any fee owed to such Lender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and (iii) all obligations of Borrower owing to such Replaced Lender (other than those specifically described in clause (ii) above in respect of Replaced Lenders for which the assignment purchase price has been, or is concurrently</w:t>
      </w:r>
    </w:p>
    <w:p>
      <w:pPr>
        <w:sectPr>
          <w:pgSz w:w="11900" w:h="16838" w:orient="portrait"/>
          <w:cols w:equalWidth="0" w:num="1">
            <w:col w:w="11420"/>
          </w:cols>
          <w:pgMar w:left="240" w:top="125" w:right="239" w:bottom="0" w:gutter="0" w:footer="0" w:header="0"/>
        </w:sectPr>
      </w:pPr>
    </w:p>
    <w:bookmarkStart w:id="126" w:name="page127"/>
    <w:bookmarkEnd w:id="126"/>
    <w:p>
      <w:pPr>
        <w:jc w:val="both"/>
        <w:ind w:left="660"/>
        <w:spacing w:after="0" w:line="288" w:lineRule="auto"/>
        <w:rPr>
          <w:sz w:val="20"/>
          <w:szCs w:val="20"/>
          <w:color w:val="auto"/>
        </w:rPr>
      </w:pPr>
      <w:r>
        <w:rPr>
          <w:rFonts w:ascii="Arial" w:cs="Arial" w:eastAsia="Arial" w:hAnsi="Arial"/>
          <w:sz w:val="16"/>
          <w:szCs w:val="16"/>
          <w:color w:val="auto"/>
        </w:rPr>
        <w:t xml:space="preserve">being, paid, and other than those relating to Loans or Commitments not being acquired by the Replacement Lender, but including any amounts which would be paid to a Lender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if Borrower were prepaying a LIBOR Loan), as applicable, shall be paid in full to such Replaced Lender, as applicable, concurrently with such replacement.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and Commitments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169" w:lineRule="exact"/>
        <w:rPr>
          <w:sz w:val="20"/>
          <w:szCs w:val="20"/>
          <w:color w:val="auto"/>
        </w:rPr>
      </w:pPr>
    </w:p>
    <w:p>
      <w:pPr>
        <w:jc w:val="both"/>
        <w:ind w:left="660" w:firstLine="888"/>
        <w:spacing w:after="0" w:line="285" w:lineRule="auto"/>
        <w:tabs>
          <w:tab w:leader="none" w:pos="2086" w:val="left"/>
        </w:tabs>
        <w:numPr>
          <w:ilvl w:val="0"/>
          <w:numId w:val="157"/>
        </w:numPr>
        <w:rPr>
          <w:rFonts w:ascii="Arial" w:cs="Arial" w:eastAsia="Arial" w:hAnsi="Arial"/>
          <w:sz w:val="16"/>
          <w:szCs w:val="16"/>
          <w:color w:val="auto"/>
        </w:rPr>
      </w:pPr>
      <w:r>
        <w:rPr>
          <w:rFonts w:ascii="Arial" w:cs="Arial" w:eastAsia="Arial" w:hAnsi="Arial"/>
          <w:sz w:val="16"/>
          <w:szCs w:val="16"/>
          <w:color w:val="auto"/>
        </w:rPr>
        <w:t xml:space="preserve">terminate such non-consenting Lender’s Commitment and/or repay Loans held by such Lender (or, if such non-consenting Lender’s consent is required with respect to a particular Class or Tranche of Loans, the Commitment and Loans of the Affected Class)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w:t>
      </w:r>
      <w:r>
        <w:rPr>
          <w:rFonts w:ascii="Arial" w:cs="Arial" w:eastAsia="Arial" w:hAnsi="Arial"/>
          <w:sz w:val="16"/>
          <w:szCs w:val="16"/>
          <w:u w:val="single" w:color="auto"/>
          <w:color w:val="auto"/>
        </w:rPr>
        <w:t>Section 2.05(d)</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w:t>
      </w:r>
      <w:r>
        <w:rPr>
          <w:rFonts w:ascii="Arial" w:cs="Arial" w:eastAsia="Arial" w:hAnsi="Arial"/>
          <w:sz w:val="16"/>
          <w:szCs w:val="16"/>
          <w:u w:val="single" w:color="auto"/>
          <w:color w:val="auto"/>
        </w:rPr>
        <w:t>Section 5.05</w:t>
      </w:r>
      <w:r>
        <w:rPr>
          <w:rFonts w:ascii="Arial" w:cs="Arial" w:eastAsia="Arial" w:hAnsi="Arial"/>
          <w:sz w:val="16"/>
          <w:szCs w:val="16"/>
          <w:color w:val="auto"/>
        </w:rPr>
        <w:t xml:space="preserve">) under such Tranche). Immediately upon any repayment of Loans by Borrower pursuant to this </w:t>
      </w:r>
      <w:r>
        <w:rPr>
          <w:rFonts w:ascii="Arial" w:cs="Arial" w:eastAsia="Arial" w:hAnsi="Arial"/>
          <w:sz w:val="16"/>
          <w:szCs w:val="16"/>
          <w:u w:val="single" w:color="auto"/>
          <w:color w:val="auto"/>
        </w:rPr>
        <w:t>Section 13.04(b)(ii)</w:t>
      </w:r>
      <w:r>
        <w:rPr>
          <w:rFonts w:ascii="Arial" w:cs="Arial" w:eastAsia="Arial" w:hAnsi="Arial"/>
          <w:sz w:val="16"/>
          <w:szCs w:val="16"/>
          <w:color w:val="auto"/>
        </w:rPr>
        <w:t>, such Loans repaid or acquired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Commitments which are terminated and Loans which are repaid pursuant to this clause (ii) are immediately replaced in full at such time through the addition of new Lenders or the increase of the Commitments and/or outstanding Loans of existing Lenders (who in each case must consent thereto), then, in the case of any action pursuant to this clause (ii), the Required Lenders (determined after giving effect to the proposed action) shall specifically consent thereto;</w:t>
      </w:r>
    </w:p>
    <w:p>
      <w:pPr>
        <w:spacing w:after="0" w:line="3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 that Borrower shall not have the right to replace a Lender, or terminate the Commitments of or repay the Loans of a Lender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13.04(b)</w:t>
      </w:r>
      <w:r>
        <w:rPr>
          <w:rFonts w:ascii="Arial" w:cs="Arial" w:eastAsia="Arial" w:hAnsi="Arial"/>
          <w:sz w:val="18"/>
          <w:szCs w:val="18"/>
          <w:color w:val="auto"/>
        </w:rPr>
        <w:t xml:space="preserve">, solely as a result of the exercise of such Lender’s rights (and the withholding of any required consent by such Lender) pursuant to clauses (A) through (C) of the second proviso to </w:t>
      </w:r>
      <w:r>
        <w:rPr>
          <w:rFonts w:ascii="Arial" w:cs="Arial" w:eastAsia="Arial" w:hAnsi="Arial"/>
          <w:sz w:val="18"/>
          <w:szCs w:val="18"/>
          <w:u w:val="single" w:color="auto"/>
          <w:color w:val="auto"/>
        </w:rPr>
        <w:t>Section 13.04(a)</w:t>
      </w:r>
      <w:r>
        <w:rPr>
          <w:rFonts w:ascii="Arial" w:cs="Arial" w:eastAsia="Arial" w:hAnsi="Arial"/>
          <w:sz w:val="18"/>
          <w:szCs w:val="18"/>
          <w:color w:val="auto"/>
        </w:rPr>
        <w:t>.</w:t>
      </w:r>
    </w:p>
    <w:p>
      <w:pPr>
        <w:spacing w:after="0" w:line="181" w:lineRule="exact"/>
        <w:rPr>
          <w:sz w:val="20"/>
          <w:szCs w:val="20"/>
          <w:color w:val="auto"/>
        </w:rPr>
      </w:pPr>
    </w:p>
    <w:p>
      <w:pPr>
        <w:jc w:val="both"/>
        <w:ind w:firstLine="656"/>
        <w:spacing w:after="0" w:line="268" w:lineRule="auto"/>
        <w:tabs>
          <w:tab w:leader="none" w:pos="1068" w:val="left"/>
        </w:tabs>
        <w:numPr>
          <w:ilvl w:val="0"/>
          <w:numId w:val="158"/>
        </w:numPr>
        <w:rPr>
          <w:rFonts w:ascii="Arial" w:cs="Arial" w:eastAsia="Arial" w:hAnsi="Arial"/>
          <w:sz w:val="17"/>
          <w:szCs w:val="17"/>
          <w:color w:val="auto"/>
        </w:rPr>
      </w:pPr>
      <w:r>
        <w:rPr>
          <w:rFonts w:ascii="Arial" w:cs="Arial" w:eastAsia="Arial" w:hAnsi="Arial"/>
          <w:sz w:val="17"/>
          <w:szCs w:val="17"/>
          <w:color w:val="auto"/>
        </w:rPr>
        <w:t xml:space="preserve">Administrative Agent and Borrower may (without the consent of Lenders) amend any Credit Document to the extent (but only to the extent) necessary to reflect the existence and terms of Incremental Term Loans, Extended Term Loans, and Other Term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 incurred pursuant thereto (including any amendments necessary to treat the Loans and Commitments subject thereto as Other Term Loans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or incurred pursuant to </w:t>
      </w:r>
      <w:r>
        <w:rPr>
          <w:rFonts w:ascii="Arial" w:cs="Arial" w:eastAsia="Arial" w:hAnsi="Arial"/>
          <w:sz w:val="17"/>
          <w:szCs w:val="17"/>
          <w:u w:val="single" w:color="auto"/>
          <w:color w:val="auto"/>
        </w:rPr>
        <w:t>Sections 2.12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2.15</w:t>
      </w:r>
      <w:r>
        <w:rPr>
          <w:rFonts w:ascii="Arial" w:cs="Arial" w:eastAsia="Arial" w:hAnsi="Arial"/>
          <w:sz w:val="17"/>
          <w:szCs w:val="17"/>
          <w:color w:val="auto"/>
        </w:rPr>
        <w:t xml:space="preserve"> and such technical amendments as may be necessary or appropriate in the reasonable opinion of Administrative Agent and Borrower in connection with the establishment of such new tranches or sub-tranches, in each case on terms consistent with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2.15</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jc w:val="both"/>
        <w:ind w:firstLine="656"/>
        <w:spacing w:after="0" w:line="257" w:lineRule="auto"/>
        <w:tabs>
          <w:tab w:leader="none" w:pos="10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Notwithstanding the foregoing, this Agreement may be amended (or amended and restated) with the written consent of the Required Lenders, Administrative Agent and Borrower (i)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and the accrued interest and fees in respect thereof and (ii) to include appropriately the Lenders holding such credit facilities in any determination of the Required Lenders.</w:t>
      </w:r>
    </w:p>
    <w:p>
      <w:pPr>
        <w:spacing w:after="0" w:line="188" w:lineRule="exact"/>
        <w:rPr>
          <w:rFonts w:ascii="Arial" w:cs="Arial" w:eastAsia="Arial" w:hAnsi="Arial"/>
          <w:sz w:val="18"/>
          <w:szCs w:val="18"/>
          <w:color w:val="auto"/>
        </w:rPr>
      </w:pPr>
    </w:p>
    <w:p>
      <w:pPr>
        <w:jc w:val="both"/>
        <w:ind w:firstLine="656"/>
        <w:spacing w:after="0" w:line="285" w:lineRule="auto"/>
        <w:tabs>
          <w:tab w:leader="none" w:pos="104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upon the request of Borrower in connection with the incurrence of Permitted First Priority Refinancing Debt, Permitted First Lien Indebtedness (and Permitted Refinancings thereof that qualify as Permitted First Lien Indebtedness), or Incremental Equivalent Debt (and Permitted Refinancings thereof that satisfy </w:t>
      </w:r>
      <w:r>
        <w:rPr>
          <w:rFonts w:ascii="Arial" w:cs="Arial" w:eastAsia="Arial" w:hAnsi="Arial"/>
          <w:sz w:val="16"/>
          <w:szCs w:val="16"/>
          <w:u w:val="single" w:color="auto"/>
          <w:color w:val="auto"/>
        </w:rPr>
        <w:t>Sections 10.01(m)(i)(C)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10.01(m)(ii)</w:t>
      </w:r>
      <w:r>
        <w:rPr>
          <w:rFonts w:ascii="Arial" w:cs="Arial" w:eastAsia="Arial" w:hAnsi="Arial"/>
          <w:sz w:val="16"/>
          <w:szCs w:val="16"/>
          <w:color w:val="auto"/>
        </w:rPr>
        <w:t xml:space="preserve">), as applicable (or any amendments and supplements thereto in connection with the incurrence of additional Permitted First Priority Refinancing Debt, Permitted First Lien Indebtedness (and Permitted Refinancings thereof that qualify as Permitted First Lien Indebtedness) or Incremental Equivalent Debt (and Permitted Refinancings thereof that satisfy </w:t>
      </w:r>
      <w:r>
        <w:rPr>
          <w:rFonts w:ascii="Arial" w:cs="Arial" w:eastAsia="Arial" w:hAnsi="Arial"/>
          <w:sz w:val="16"/>
          <w:szCs w:val="16"/>
          <w:u w:val="single" w:color="auto"/>
          <w:color w:val="auto"/>
        </w:rPr>
        <w:t>Sections 10.01(m)(i)(C)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10.01(m)</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ectPr>
          <w:pgSz w:w="11900" w:h="16838" w:orient="portrait"/>
          <w:cols w:equalWidth="0" w:num="1">
            <w:col w:w="11420"/>
          </w:cols>
          <w:pgMar w:left="240" w:top="125" w:right="239" w:bottom="112" w:gutter="0" w:footer="0" w:header="0"/>
        </w:sectPr>
      </w:pPr>
    </w:p>
    <w:bookmarkStart w:id="127" w:name="page128"/>
    <w:bookmarkEnd w:id="127"/>
    <w:p>
      <w:pPr>
        <w:jc w:val="both"/>
        <w:ind w:left="-656" w:firstLine="656"/>
        <w:spacing w:after="0" w:line="273" w:lineRule="auto"/>
        <w:tabs>
          <w:tab w:leader="none" w:pos="37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178" w:lineRule="exact"/>
        <w:rPr>
          <w:rFonts w:ascii="Arial" w:cs="Arial" w:eastAsia="Arial" w:hAnsi="Arial"/>
          <w:sz w:val="17"/>
          <w:szCs w:val="17"/>
          <w:color w:val="auto"/>
        </w:rPr>
      </w:pPr>
    </w:p>
    <w:p>
      <w:pPr>
        <w:jc w:val="both"/>
        <w:ind w:left="-656" w:firstLine="656"/>
        <w:spacing w:after="0" w:line="291" w:lineRule="auto"/>
        <w:tabs>
          <w:tab w:leader="none" w:pos="422" w:val="left"/>
        </w:tabs>
        <w:numPr>
          <w:ilvl w:val="0"/>
          <w:numId w:val="159"/>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Administrative Agent and Collateral Agent shall (A) release any Lien granted to or held by Administrative Agent or Collateral Agent upon any Collateral (i) upon Payment in Full of the Obligations (other than obligations under any Swap Contracts as to which acceptable arrangements have been made to the satisfaction of the relevant counterparties), (ii) upon the sale, transfer or other disposition of Collateral to the extent required pursuant to the last paragraph in </w:t>
      </w:r>
      <w:r>
        <w:rPr>
          <w:rFonts w:ascii="Arial" w:cs="Arial" w:eastAsia="Arial" w:hAnsi="Arial"/>
          <w:sz w:val="16"/>
          <w:szCs w:val="16"/>
          <w:u w:val="single" w:color="auto"/>
          <w:color w:val="auto"/>
        </w:rPr>
        <w:t>Section 10.05</w:t>
      </w:r>
      <w:r>
        <w:rPr>
          <w:rFonts w:ascii="Arial" w:cs="Arial" w:eastAsia="Arial" w:hAnsi="Arial"/>
          <w:sz w:val="16"/>
          <w:szCs w:val="16"/>
          <w:color w:val="auto"/>
        </w:rPr>
        <w:t xml:space="preserve">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the Supermajority Lenders to the extent required by </w:t>
      </w:r>
      <w:r>
        <w:rPr>
          <w:rFonts w:ascii="Arial" w:cs="Arial" w:eastAsia="Arial" w:hAnsi="Arial"/>
          <w:sz w:val="16"/>
          <w:szCs w:val="16"/>
          <w:u w:val="single" w:color="auto"/>
          <w:color w:val="auto"/>
        </w:rPr>
        <w:t>Section 13.04(a)</w:t>
      </w:r>
      <w:r>
        <w:rPr>
          <w:rFonts w:ascii="Arial" w:cs="Arial" w:eastAsia="Arial" w:hAnsi="Arial"/>
          <w:sz w:val="16"/>
          <w:szCs w:val="16"/>
          <w:color w:val="auto"/>
        </w:rPr>
        <w:t xml:space="preserve">), or (iv) if the property subject to such Lien is owned by a Guarantor, upon release of such Guarantor from its obligations under its Guarantee pursuant to </w:t>
      </w:r>
      <w:r>
        <w:rPr>
          <w:rFonts w:ascii="Arial" w:cs="Arial" w:eastAsia="Arial" w:hAnsi="Arial"/>
          <w:sz w:val="16"/>
          <w:szCs w:val="16"/>
          <w:u w:val="single" w:color="auto"/>
          <w:color w:val="auto"/>
        </w:rPr>
        <w:t>Section 6.08</w:t>
      </w:r>
      <w:r>
        <w:rPr>
          <w:rFonts w:ascii="Arial" w:cs="Arial" w:eastAsia="Arial" w:hAnsi="Arial"/>
          <w:sz w:val="16"/>
          <w:szCs w:val="16"/>
          <w:color w:val="auto"/>
        </w:rPr>
        <w:t>.</w:t>
      </w:r>
    </w:p>
    <w:p>
      <w:pPr>
        <w:spacing w:after="0" w:line="163" w:lineRule="exact"/>
        <w:rPr>
          <w:sz w:val="20"/>
          <w:szCs w:val="20"/>
          <w:color w:val="auto"/>
        </w:rPr>
      </w:pPr>
    </w:p>
    <w:p>
      <w:pPr>
        <w:ind w:left="4"/>
        <w:spacing w:after="0"/>
        <w:tabs>
          <w:tab w:leader="none" w:pos="1463"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left="-656" w:firstLine="656"/>
        <w:spacing w:after="0" w:line="283" w:lineRule="auto"/>
        <w:tabs>
          <w:tab w:leader="none" w:pos="42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This Agreement shall be binding upon and inure to the benefit of and be enforceable by the respective successors and assigns of the parties 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no Credit Party may assign or transfer any of its rights, obligations or interest hereunder or under any other Credit Document (it being understood that a merger or consolidation 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w:t>
      </w:r>
      <w:r>
        <w:rPr>
          <w:rFonts w:ascii="Arial" w:cs="Arial" w:eastAsia="Arial" w:hAnsi="Arial"/>
          <w:sz w:val="16"/>
          <w:szCs w:val="16"/>
          <w:u w:val="single" w:color="auto"/>
          <w:color w:val="auto"/>
        </w:rPr>
        <w:t>Section 13.05(b)</w:t>
      </w:r>
      <w:r>
        <w:rPr>
          <w:rFonts w:ascii="Arial" w:cs="Arial" w:eastAsia="Arial" w:hAnsi="Arial"/>
          <w:sz w:val="16"/>
          <w:szCs w:val="16"/>
          <w:color w:val="auto"/>
        </w:rPr>
        <w:t xml:space="preserve">)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Lender shall transfer, assign or grant any participation (x) to a natural person,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or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(a), Borrower agrees that each participant shall be entitled to the benefits of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(subject to the obligations and limitations of such Sections, including </w:t>
      </w:r>
      <w:r>
        <w:rPr>
          <w:rFonts w:ascii="Arial" w:cs="Arial" w:eastAsia="Arial" w:hAnsi="Arial"/>
          <w:sz w:val="16"/>
          <w:szCs w:val="16"/>
          <w:u w:val="single" w:color="auto"/>
          <w:color w:val="auto"/>
        </w:rPr>
        <w:t>Section 5.06(b)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(it being understood that the documentation required under </w:t>
      </w:r>
      <w:r>
        <w:rPr>
          <w:rFonts w:ascii="Arial" w:cs="Arial" w:eastAsia="Arial" w:hAnsi="Arial"/>
          <w:sz w:val="16"/>
          <w:szCs w:val="16"/>
          <w:u w:val="single" w:color="auto"/>
          <w:color w:val="auto"/>
        </w:rPr>
        <w:t>Section 5.06(b)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(d)</w:t>
      </w:r>
      <w:r>
        <w:rPr>
          <w:rFonts w:ascii="Arial" w:cs="Arial" w:eastAsia="Arial" w:hAnsi="Arial"/>
          <w:sz w:val="16"/>
          <w:szCs w:val="16"/>
          <w:color w:val="auto"/>
        </w:rPr>
        <w:t xml:space="preserve"> shall be delivered solely to the participating Lender)) to the same extent as if it were a Lender and had acquired its interest by assignment pursuant to paragraph (b) of this </w:t>
      </w:r>
      <w:r>
        <w:rPr>
          <w:rFonts w:ascii="Arial" w:cs="Arial" w:eastAsia="Arial" w:hAnsi="Arial"/>
          <w:sz w:val="16"/>
          <w:szCs w:val="16"/>
          <w:u w:val="single" w:color="auto"/>
          <w:color w:val="auto"/>
        </w:rPr>
        <w:t>Section 13.05</w:t>
      </w:r>
      <w:r>
        <w:rPr>
          <w:rFonts w:ascii="Arial" w:cs="Arial" w:eastAsia="Arial" w:hAnsi="Arial"/>
          <w:sz w:val="16"/>
          <w:szCs w:val="16"/>
          <w:color w:val="auto"/>
        </w:rPr>
        <w:t xml:space="preserve">. To the extent permitted by law, each participant also shall be entitled to the benefits of </w:t>
      </w:r>
      <w:r>
        <w:rPr>
          <w:rFonts w:ascii="Arial" w:cs="Arial" w:eastAsia="Arial" w:hAnsi="Arial"/>
          <w:sz w:val="16"/>
          <w:szCs w:val="16"/>
          <w:u w:val="single" w:color="auto"/>
          <w:color w:val="auto"/>
        </w:rPr>
        <w:t>Section 4.07</w:t>
      </w:r>
      <w:r>
        <w:rPr>
          <w:rFonts w:ascii="Arial" w:cs="Arial" w:eastAsia="Arial" w:hAnsi="Arial"/>
          <w:sz w:val="16"/>
          <w:szCs w:val="16"/>
          <w:color w:val="auto"/>
        </w:rPr>
        <w:t xml:space="preserve">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xml:space="preserve">”).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United States Treasury Regulations Section 5f.103-1(c) and the United States Proposed Treasury Regulations 1.163-5(b) (or any amended or successor version). A participant shall not be entitled to receive any greater payment under </w:t>
      </w:r>
      <w:r>
        <w:rPr>
          <w:rFonts w:ascii="Arial" w:cs="Arial" w:eastAsia="Arial" w:hAnsi="Arial"/>
          <w:sz w:val="16"/>
          <w:szCs w:val="16"/>
          <w:u w:val="single" w:color="auto"/>
          <w:color w:val="auto"/>
        </w:rPr>
        <w:t>Sections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5.06</w:t>
      </w:r>
      <w:r>
        <w:rPr>
          <w:rFonts w:ascii="Arial" w:cs="Arial" w:eastAsia="Arial" w:hAnsi="Arial"/>
          <w:sz w:val="16"/>
          <w:szCs w:val="16"/>
          <w:color w:val="auto"/>
        </w:rPr>
        <w:t xml:space="preserve"> than the applicable Lender would have been entitled to receive with respect to the participation sold to such participant, except to the extent the entitlement to a greater payment results from any change in applicable Laws after the date the participant became a participant.</w:t>
      </w:r>
    </w:p>
    <w:p>
      <w:pPr>
        <w:spacing w:after="0" w:line="200" w:lineRule="exact"/>
        <w:rPr>
          <w:rFonts w:ascii="Arial" w:cs="Arial" w:eastAsia="Arial" w:hAnsi="Arial"/>
          <w:sz w:val="16"/>
          <w:szCs w:val="16"/>
          <w:color w:val="auto"/>
        </w:rPr>
      </w:pPr>
    </w:p>
    <w:p>
      <w:pPr>
        <w:spacing w:after="0" w:line="202" w:lineRule="exact"/>
        <w:rPr>
          <w:rFonts w:ascii="Arial" w:cs="Arial" w:eastAsia="Arial" w:hAnsi="Arial"/>
          <w:sz w:val="16"/>
          <w:szCs w:val="16"/>
          <w:color w:val="auto"/>
        </w:rPr>
      </w:pPr>
    </w:p>
    <w:p>
      <w:pPr>
        <w:jc w:val="both"/>
        <w:ind w:left="-656" w:firstLine="656"/>
        <w:spacing w:after="0" w:line="284" w:lineRule="auto"/>
        <w:tabs>
          <w:tab w:leader="none" w:pos="436" w:val="left"/>
        </w:tabs>
        <w:numPr>
          <w:ilvl w:val="0"/>
          <w:numId w:val="160"/>
        </w:numPr>
        <w:rPr>
          <w:rFonts w:ascii="Arial" w:cs="Arial" w:eastAsia="Arial" w:hAnsi="Arial"/>
          <w:sz w:val="16"/>
          <w:szCs w:val="16"/>
          <w:color w:val="auto"/>
        </w:rPr>
      </w:pPr>
      <w:r>
        <w:rPr>
          <w:rFonts w:ascii="Arial" w:cs="Arial" w:eastAsia="Arial" w:hAnsi="Arial"/>
          <w:sz w:val="16"/>
          <w:szCs w:val="16"/>
          <w:color w:val="auto"/>
        </w:rPr>
        <w:t xml:space="preserve">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so long as no Event of Default pursuant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with respect to Borrower, </w:t>
      </w:r>
      <w:r>
        <w:rPr>
          <w:rFonts w:ascii="Arial" w:cs="Arial" w:eastAsia="Arial" w:hAnsi="Arial"/>
          <w:sz w:val="16"/>
          <w:szCs w:val="16"/>
          <w:u w:val="single" w:color="auto"/>
          <w:color w:val="auto"/>
        </w:rPr>
        <w:t>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has occurred and is continuing, Borrower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$1.0 million; (y) no such consent of Borrower shall be necessary in the case of an assignment of Term Facility Loans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(y)(B)), or (C) in the case of any Lender that is a fund that invests in loans, any other fund that invests in loans and is managed or advised by the same investment advisor of any Lender or by an Affiliate of such investment advisor, and (z) Borrower shall be deemed to have consented to any such assignment unless it shall object thereto by written notice to Administrative Agent within ten (10) Business Days after having received notice thereof. Notwithstanding the foregoing, so long as no Event of Default pursuant to </w:t>
      </w:r>
      <w:r>
        <w:rPr>
          <w:rFonts w:ascii="Arial" w:cs="Arial" w:eastAsia="Arial" w:hAnsi="Arial"/>
          <w:sz w:val="16"/>
          <w:szCs w:val="16"/>
          <w:u w:val="single" w:color="auto"/>
          <w:color w:val="auto"/>
        </w:rPr>
        <w:t>Section 11.01(b)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11.01(c)</w:t>
      </w:r>
      <w:r>
        <w:rPr>
          <w:rFonts w:ascii="Arial" w:cs="Arial" w:eastAsia="Arial" w:hAnsi="Arial"/>
          <w:sz w:val="16"/>
          <w:szCs w:val="16"/>
          <w:color w:val="auto"/>
        </w:rPr>
        <w:t xml:space="preserve">, or, with respect to Borrower, </w:t>
      </w:r>
      <w:r>
        <w:rPr>
          <w:rFonts w:ascii="Arial" w:cs="Arial" w:eastAsia="Arial" w:hAnsi="Arial"/>
          <w:sz w:val="16"/>
          <w:szCs w:val="16"/>
          <w:u w:val="single" w:color="auto"/>
          <w:color w:val="auto"/>
        </w:rPr>
        <w:t>11.01(g)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11.01(h)</w:t>
      </w:r>
      <w:r>
        <w:rPr>
          <w:rFonts w:ascii="Arial" w:cs="Arial" w:eastAsia="Arial" w:hAnsi="Arial"/>
          <w:sz w:val="16"/>
          <w:szCs w:val="16"/>
          <w:color w:val="auto"/>
        </w:rPr>
        <w:t xml:space="preserve">, has occurred and is continuing, no assignment will be permitted to any Lender that will result in such Lender holding, collectively with its Affiliates (including any Person deemed to be an Affiliate for purposes of sub-clause (y)(B) above), Loans and Commitments having an aggregate principal amount in excess of 25% of the aggregate amount of Loans and Commitments then outstanding, without the prior written consent of Borrower (such consent not to be unreasonably withheld, conditioned or delayed);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Borrower shall be deemed to have consented to any such assignment unless it shall object thereto by written notice to Administrative Agent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w:t>
      </w:r>
    </w:p>
    <w:p>
      <w:pPr>
        <w:sectPr>
          <w:pgSz w:w="11900" w:h="16838" w:orient="portrait"/>
          <w:cols w:equalWidth="0" w:num="1">
            <w:col w:w="10764"/>
          </w:cols>
          <w:pgMar w:left="896" w:top="125" w:right="239" w:bottom="0" w:gutter="0" w:footer="0" w:header="0"/>
        </w:sectPr>
      </w:pPr>
    </w:p>
    <w:bookmarkStart w:id="128" w:name="page129"/>
    <w:bookmarkEnd w:id="128"/>
    <w:p>
      <w:pPr>
        <w:jc w:val="both"/>
        <w:spacing w:after="0" w:line="287" w:lineRule="auto"/>
        <w:rPr>
          <w:sz w:val="20"/>
          <w:szCs w:val="20"/>
          <w:color w:val="auto"/>
        </w:rPr>
      </w:pPr>
      <w:r>
        <w:rPr>
          <w:rFonts w:ascii="Arial" w:cs="Arial" w:eastAsia="Arial" w:hAnsi="Arial"/>
          <w:sz w:val="16"/>
          <w:szCs w:val="16"/>
          <w:color w:val="auto"/>
        </w:rPr>
        <w:t xml:space="preserve">will be effective until recorded by Administrative Agent on the Register pursuant to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and (III) such assignments may be made on a pro rata basis among Commitments and/or Loans (and related Obligations). To the extent of any assignment permitted pursuant to this </w:t>
      </w:r>
      <w:r>
        <w:rPr>
          <w:rFonts w:ascii="Arial" w:cs="Arial" w:eastAsia="Arial" w:hAnsi="Arial"/>
          <w:sz w:val="16"/>
          <w:szCs w:val="16"/>
          <w:u w:val="single" w:color="auto"/>
          <w:color w:val="auto"/>
        </w:rPr>
        <w:t>Section 13.05(b)</w:t>
      </w:r>
      <w:r>
        <w:rPr>
          <w:rFonts w:ascii="Arial" w:cs="Arial" w:eastAsia="Arial" w:hAnsi="Arial"/>
          <w:sz w:val="16"/>
          <w:szCs w:val="16"/>
          <w:color w:val="auto"/>
        </w:rPr>
        <w:t>, the assigning Lender shall be relieved of its obligations hereunder with respect to its assigned Commitments and outstanding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assignment shall not release such Lender of any claims or liabilities that may exist against such Lender at the time of such assignment). At the time of each assignment pursuant to this </w:t>
      </w:r>
      <w:r>
        <w:rPr>
          <w:rFonts w:ascii="Arial" w:cs="Arial" w:eastAsia="Arial" w:hAnsi="Arial"/>
          <w:sz w:val="16"/>
          <w:szCs w:val="16"/>
          <w:u w:val="single" w:color="auto"/>
          <w:color w:val="auto"/>
        </w:rPr>
        <w:t>Section 13.05(b)</w:t>
      </w:r>
      <w:r>
        <w:rPr>
          <w:rFonts w:ascii="Arial" w:cs="Arial" w:eastAsia="Arial" w:hAnsi="Arial"/>
          <w:sz w:val="16"/>
          <w:szCs w:val="16"/>
          <w:color w:val="auto"/>
        </w:rPr>
        <w:t xml:space="preserve"> to a Person which is not already a Lender hereunder, the respective assignee Lender shall, to the extent legally eligible to do so, provide to Borrower and Administrative Agent the appropriate Internal Revenue Service Forms and other information as described in </w:t>
      </w:r>
      <w:r>
        <w:rPr>
          <w:rFonts w:ascii="Arial" w:cs="Arial" w:eastAsia="Arial" w:hAnsi="Arial"/>
          <w:sz w:val="16"/>
          <w:szCs w:val="16"/>
          <w:u w:val="single" w:color="auto"/>
          <w:color w:val="auto"/>
        </w:rPr>
        <w:t>Sections 5.06(b)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5.06(d)</w:t>
      </w:r>
      <w:r>
        <w:rPr>
          <w:rFonts w:ascii="Arial" w:cs="Arial" w:eastAsia="Arial" w:hAnsi="Arial"/>
          <w:sz w:val="16"/>
          <w:szCs w:val="16"/>
          <w:color w:val="auto"/>
        </w:rPr>
        <w:t xml:space="preserve">, as applicable. To the extent that an assignment of all or any portion of a Lender’s Commitments, Loans and related outstanding Obligations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13.04(b)(i)(B)</w:t>
      </w:r>
      <w:r>
        <w:rPr>
          <w:rFonts w:ascii="Arial" w:cs="Arial" w:eastAsia="Arial" w:hAnsi="Arial"/>
          <w:sz w:val="16"/>
          <w:szCs w:val="16"/>
          <w:color w:val="auto"/>
        </w:rPr>
        <w:t xml:space="preserve"> or this </w:t>
      </w:r>
      <w:r>
        <w:rPr>
          <w:rFonts w:ascii="Arial" w:cs="Arial" w:eastAsia="Arial" w:hAnsi="Arial"/>
          <w:sz w:val="16"/>
          <w:szCs w:val="16"/>
          <w:u w:val="single" w:color="auto"/>
          <w:color w:val="auto"/>
        </w:rPr>
        <w:t>Section 13.05(b)</w:t>
      </w:r>
      <w:r>
        <w:rPr>
          <w:rFonts w:ascii="Arial" w:cs="Arial" w:eastAsia="Arial" w:hAnsi="Arial"/>
          <w:sz w:val="16"/>
          <w:szCs w:val="16"/>
          <w:color w:val="auto"/>
        </w:rPr>
        <w:t xml:space="preserve"> would, under the laws in effect at the time of such assignment, result in increased costs under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5.03</w:t>
      </w:r>
      <w:r>
        <w:rPr>
          <w:rFonts w:ascii="Arial" w:cs="Arial" w:eastAsia="Arial" w:hAnsi="Arial"/>
          <w:sz w:val="16"/>
          <w:szCs w:val="16"/>
          <w:color w:val="auto"/>
        </w:rPr>
        <w:t xml:space="preserve">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173" w:lineRule="exact"/>
        <w:rPr>
          <w:sz w:val="20"/>
          <w:szCs w:val="20"/>
          <w:color w:val="auto"/>
        </w:rPr>
      </w:pPr>
    </w:p>
    <w:p>
      <w:pPr>
        <w:jc w:val="both"/>
        <w:ind w:firstLine="656"/>
        <w:spacing w:after="0" w:line="259" w:lineRule="auto"/>
        <w:tabs>
          <w:tab w:leader="none" w:pos="102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 xml:space="preserve">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w:t>
      </w:r>
      <w:r>
        <w:rPr>
          <w:rFonts w:ascii="Arial" w:cs="Arial" w:eastAsia="Arial" w:hAnsi="Arial"/>
          <w:sz w:val="18"/>
          <w:szCs w:val="18"/>
          <w:u w:val="single" w:color="auto"/>
          <w:color w:val="auto"/>
        </w:rPr>
        <w:t>Section 13.05(c)</w:t>
      </w:r>
      <w:r>
        <w:rPr>
          <w:rFonts w:ascii="Arial" w:cs="Arial" w:eastAsia="Arial" w:hAnsi="Arial"/>
          <w:sz w:val="18"/>
          <w:szCs w:val="18"/>
          <w:color w:val="auto"/>
        </w:rPr>
        <w:t xml:space="preserve"> shall release the transferor Lender from any of its obligations hereunder or permit the pledgee to become a lender hereunder without otherwise complying with </w:t>
      </w:r>
      <w:r>
        <w:rPr>
          <w:rFonts w:ascii="Arial" w:cs="Arial" w:eastAsia="Arial" w:hAnsi="Arial"/>
          <w:sz w:val="18"/>
          <w:szCs w:val="18"/>
          <w:u w:val="single" w:color="auto"/>
          <w:color w:val="auto"/>
        </w:rPr>
        <w:t>Section 13.05(b)</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173"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contained in this </w:t>
      </w:r>
      <w:r>
        <w:rPr>
          <w:rFonts w:ascii="Arial" w:cs="Arial" w:eastAsia="Arial" w:hAnsi="Arial"/>
          <w:sz w:val="17"/>
          <w:szCs w:val="17"/>
          <w:u w:val="single" w:color="auto"/>
          <w:color w:val="auto"/>
        </w:rPr>
        <w:t>Section 13.05</w:t>
      </w:r>
      <w:r>
        <w:rPr>
          <w:rFonts w:ascii="Arial" w:cs="Arial" w:eastAsia="Arial" w:hAnsi="Arial"/>
          <w:sz w:val="17"/>
          <w:szCs w:val="17"/>
          <w:color w:val="auto"/>
        </w:rPr>
        <w:t xml:space="preserve">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65" w:lineRule="exact"/>
        <w:rPr>
          <w:rFonts w:ascii="Arial" w:cs="Arial" w:eastAsia="Arial" w:hAnsi="Arial"/>
          <w:sz w:val="17"/>
          <w:szCs w:val="17"/>
          <w:color w:val="auto"/>
        </w:rPr>
      </w:pPr>
    </w:p>
    <w:p>
      <w:pPr>
        <w:jc w:val="both"/>
        <w:ind w:left="660" w:firstLine="888"/>
        <w:spacing w:after="0" w:line="257" w:lineRule="auto"/>
        <w:tabs>
          <w:tab w:leader="none" w:pos="1915"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(x) with respect to any Borrower Loan Purchase pursuant to the Auction Procedures, at the time of the applicable Purchase Notice (as defined in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no Event of Default under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11.01(b)</w:t>
      </w:r>
      <w:r>
        <w:rPr>
          <w:rFonts w:ascii="Arial" w:cs="Arial" w:eastAsia="Arial" w:hAnsi="Arial"/>
          <w:sz w:val="18"/>
          <w:szCs w:val="18"/>
          <w:color w:val="auto"/>
        </w:rPr>
        <w:t xml:space="preserve"> or, with respect to Borrower, </w:t>
      </w:r>
      <w:r>
        <w:rPr>
          <w:rFonts w:ascii="Arial" w:cs="Arial" w:eastAsia="Arial" w:hAnsi="Arial"/>
          <w:sz w:val="18"/>
          <w:szCs w:val="18"/>
          <w:u w:val="single" w:color="auto"/>
          <w:color w:val="auto"/>
        </w:rPr>
        <w:t>Section 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has occurred and is continuing or would result therefrom, and (y) with respect to any Borrower Loan Purchase consummated through an open market purchase, at the time of the applicable assignment, no Event of Default under </w:t>
      </w:r>
      <w:r>
        <w:rPr>
          <w:rFonts w:ascii="Arial" w:cs="Arial" w:eastAsia="Arial" w:hAnsi="Arial"/>
          <w:sz w:val="18"/>
          <w:szCs w:val="18"/>
          <w:u w:val="single" w:color="auto"/>
          <w:color w:val="auto"/>
        </w:rPr>
        <w:t>Section 11.01(a)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11.01(b)</w:t>
      </w:r>
      <w:r>
        <w:rPr>
          <w:rFonts w:ascii="Arial" w:cs="Arial" w:eastAsia="Arial" w:hAnsi="Arial"/>
          <w:sz w:val="18"/>
          <w:szCs w:val="18"/>
          <w:color w:val="auto"/>
        </w:rPr>
        <w:t xml:space="preserve"> or, with respect to Borrower, </w:t>
      </w:r>
      <w:r>
        <w:rPr>
          <w:rFonts w:ascii="Arial" w:cs="Arial" w:eastAsia="Arial" w:hAnsi="Arial"/>
          <w:sz w:val="18"/>
          <w:szCs w:val="18"/>
          <w:u w:val="single" w:color="auto"/>
          <w:color w:val="auto"/>
        </w:rPr>
        <w:t>Section 11.01(g)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11.01(h)</w:t>
      </w:r>
      <w:r>
        <w:rPr>
          <w:rFonts w:ascii="Arial" w:cs="Arial" w:eastAsia="Arial" w:hAnsi="Arial"/>
          <w:sz w:val="18"/>
          <w:szCs w:val="18"/>
          <w:color w:val="auto"/>
        </w:rPr>
        <w:t xml:space="preserve"> has occurred and is continuing or would result therefrom;</w:t>
      </w:r>
    </w:p>
    <w:p>
      <w:pPr>
        <w:spacing w:after="0" w:line="188" w:lineRule="exact"/>
        <w:rPr>
          <w:rFonts w:ascii="Arial" w:cs="Arial" w:eastAsia="Arial" w:hAnsi="Arial"/>
          <w:sz w:val="18"/>
          <w:szCs w:val="18"/>
          <w:color w:val="auto"/>
        </w:rPr>
      </w:pPr>
    </w:p>
    <w:p>
      <w:pPr>
        <w:jc w:val="both"/>
        <w:ind w:left="660" w:firstLine="888"/>
        <w:spacing w:after="0" w:line="271" w:lineRule="auto"/>
        <w:tabs>
          <w:tab w:leader="none" w:pos="1978" w:val="left"/>
        </w:tabs>
        <w:numPr>
          <w:ilvl w:val="1"/>
          <w:numId w:val="161"/>
        </w:numPr>
        <w:rPr>
          <w:rFonts w:ascii="Arial" w:cs="Arial" w:eastAsia="Arial" w:hAnsi="Arial"/>
          <w:sz w:val="17"/>
          <w:szCs w:val="17"/>
          <w:color w:val="auto"/>
        </w:rPr>
      </w:pPr>
      <w:r>
        <w:rPr>
          <w:rFonts w:ascii="Arial" w:cs="Arial" w:eastAsia="Arial" w:hAnsi="Arial"/>
          <w:sz w:val="17"/>
          <w:szCs w:val="17"/>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purchases and cancellations shall not constitute prepayments or repayments of the Loans (including, without limitation,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2.10</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IV</w:t>
      </w:r>
      <w:r>
        <w:rPr>
          <w:rFonts w:ascii="Arial" w:cs="Arial" w:eastAsia="Arial" w:hAnsi="Arial"/>
          <w:sz w:val="17"/>
          <w:szCs w:val="17"/>
          <w:color w:val="auto"/>
        </w:rPr>
        <w:t>)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8" w:lineRule="exact"/>
        <w:rPr>
          <w:rFonts w:ascii="Arial" w:cs="Arial" w:eastAsia="Arial" w:hAnsi="Arial"/>
          <w:sz w:val="17"/>
          <w:szCs w:val="17"/>
          <w:color w:val="auto"/>
        </w:rPr>
      </w:pPr>
    </w:p>
    <w:p>
      <w:pPr>
        <w:jc w:val="both"/>
        <w:ind w:left="660" w:firstLine="888"/>
        <w:spacing w:after="0" w:line="259" w:lineRule="auto"/>
        <w:tabs>
          <w:tab w:leader="none" w:pos="2136"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 and</w:t>
      </w:r>
    </w:p>
    <w:p>
      <w:pPr>
        <w:spacing w:after="0" w:line="186" w:lineRule="exact"/>
        <w:rPr>
          <w:rFonts w:ascii="Arial" w:cs="Arial" w:eastAsia="Arial" w:hAnsi="Arial"/>
          <w:sz w:val="18"/>
          <w:szCs w:val="18"/>
          <w:color w:val="auto"/>
        </w:rPr>
      </w:pPr>
    </w:p>
    <w:p>
      <w:pPr>
        <w:jc w:val="both"/>
        <w:ind w:left="660" w:firstLine="888"/>
        <w:spacing w:after="0" w:line="264" w:lineRule="auto"/>
        <w:tabs>
          <w:tab w:leader="none" w:pos="2018" w:val="left"/>
        </w:tabs>
        <w:numPr>
          <w:ilvl w:val="1"/>
          <w:numId w:val="161"/>
        </w:numPr>
        <w:rPr>
          <w:rFonts w:ascii="Arial" w:cs="Arial" w:eastAsia="Arial" w:hAnsi="Arial"/>
          <w:sz w:val="18"/>
          <w:szCs w:val="18"/>
          <w:color w:val="auto"/>
        </w:rPr>
      </w:pPr>
      <w:r>
        <w:rPr>
          <w:rFonts w:ascii="Arial" w:cs="Arial" w:eastAsia="Arial" w:hAnsi="Arial"/>
          <w:sz w:val="18"/>
          <w:szCs w:val="18"/>
          <w:color w:val="auto"/>
        </w:rPr>
        <w:t xml:space="preserve">open market purchases of Term Loans by Borrower and its Subsidiaries shall not in the aggregate exceed 25% of the sum of (A) the initial aggregate principal amount of the Term Facility Loans on the Closing Date </w:t>
      </w:r>
      <w:r>
        <w:rPr>
          <w:rFonts w:ascii="Arial" w:cs="Arial" w:eastAsia="Arial" w:hAnsi="Arial"/>
          <w:sz w:val="18"/>
          <w:szCs w:val="18"/>
          <w:i w:val="1"/>
          <w:iCs w:val="1"/>
          <w:color w:val="auto"/>
        </w:rPr>
        <w:t>plus</w:t>
      </w:r>
      <w:r>
        <w:rPr>
          <w:rFonts w:ascii="Arial" w:cs="Arial" w:eastAsia="Arial" w:hAnsi="Arial"/>
          <w:sz w:val="18"/>
          <w:szCs w:val="18"/>
          <w:color w:val="auto"/>
        </w:rPr>
        <w:t xml:space="preserve"> (B) the initial aggregate principal amount of all Incremental Term Loans incurred after the Closing Date and prior to such date of determination.</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The assignment fee set forth in </w:t>
      </w:r>
      <w:r>
        <w:rPr>
          <w:rFonts w:ascii="Arial" w:cs="Arial" w:eastAsia="Arial" w:hAnsi="Arial"/>
          <w:sz w:val="18"/>
          <w:szCs w:val="18"/>
          <w:u w:val="single" w:color="auto"/>
          <w:color w:val="auto"/>
        </w:rPr>
        <w:t>Section 13.05(b)</w:t>
      </w:r>
      <w:r>
        <w:rPr>
          <w:rFonts w:ascii="Arial" w:cs="Arial" w:eastAsia="Arial" w:hAnsi="Arial"/>
          <w:sz w:val="18"/>
          <w:szCs w:val="18"/>
          <w:color w:val="auto"/>
        </w:rPr>
        <w:t xml:space="preserve"> shall not be applicable to any Borrower Loan Purchase consummated pursuant to this </w:t>
      </w:r>
      <w:r>
        <w:rPr>
          <w:rFonts w:ascii="Arial" w:cs="Arial" w:eastAsia="Arial" w:hAnsi="Arial"/>
          <w:sz w:val="18"/>
          <w:szCs w:val="18"/>
          <w:u w:val="single" w:color="auto"/>
          <w:color w:val="auto"/>
        </w:rPr>
        <w:t>Section 13.05(d)</w:t>
      </w:r>
      <w:r>
        <w:rPr>
          <w:rFonts w:ascii="Arial" w:cs="Arial" w:eastAsia="Arial" w:hAnsi="Arial"/>
          <w:sz w:val="18"/>
          <w:szCs w:val="18"/>
          <w:color w:val="auto"/>
        </w:rPr>
        <w:t>.</w:t>
      </w:r>
    </w:p>
    <w:p>
      <w:pPr>
        <w:spacing w:after="0" w:line="170" w:lineRule="exact"/>
        <w:rPr>
          <w:sz w:val="20"/>
          <w:szCs w:val="20"/>
          <w:color w:val="auto"/>
        </w:rPr>
      </w:pPr>
    </w:p>
    <w:p>
      <w:pPr>
        <w:jc w:val="both"/>
        <w:ind w:firstLine="656"/>
        <w:spacing w:after="0" w:line="268" w:lineRule="auto"/>
        <w:tabs>
          <w:tab w:leader="none" w:pos="1055" w:val="left"/>
        </w:tabs>
        <w:numPr>
          <w:ilvl w:val="1"/>
          <w:numId w:val="162"/>
        </w:numPr>
        <w:rPr>
          <w:rFonts w:ascii="Arial" w:cs="Arial" w:eastAsia="Arial" w:hAnsi="Arial"/>
          <w:sz w:val="17"/>
          <w:szCs w:val="17"/>
          <w:color w:val="auto"/>
        </w:rPr>
      </w:pPr>
      <w:r>
        <w:rPr>
          <w:rFonts w:ascii="Arial" w:cs="Arial" w:eastAsia="Arial" w:hAnsi="Arial"/>
          <w:sz w:val="17"/>
          <w:szCs w:val="17"/>
          <w:color w:val="auto"/>
        </w:rPr>
        <w:t>Each Lender who is an Affiliate of Borrower (excluding (x) Borrower and its Subsidiaries and (y) any Debt Fund Affiliate Lenders) (each, an “</w:t>
      </w:r>
      <w:r>
        <w:rPr>
          <w:rFonts w:ascii="Arial" w:cs="Arial" w:eastAsia="Arial" w:hAnsi="Arial"/>
          <w:sz w:val="17"/>
          <w:szCs w:val="17"/>
          <w:b w:val="1"/>
          <w:bCs w:val="1"/>
          <w:color w:val="auto"/>
        </w:rPr>
        <w:t>Affiliate Lender</w:t>
      </w:r>
      <w:r>
        <w:rPr>
          <w:rFonts w:ascii="Arial" w:cs="Arial" w:eastAsia="Arial" w:hAnsi="Arial"/>
          <w:sz w:val="17"/>
          <w:szCs w:val="17"/>
          <w:color w:val="auto"/>
        </w:rPr>
        <w:t xml:space="preserve">”; it being understood that (x) neither Borrower nor any of its Subsidiaries may be Affiliate Lenders and (y) Debt Fund Affiliate Lenders and Affiliate Lenders may be lenders in accordance with this </w:t>
      </w:r>
      <w:r>
        <w:rPr>
          <w:rFonts w:ascii="Arial" w:cs="Arial" w:eastAsia="Arial" w:hAnsi="Arial"/>
          <w:sz w:val="17"/>
          <w:szCs w:val="17"/>
          <w:u w:val="single" w:color="auto"/>
          <w:color w:val="auto"/>
        </w:rPr>
        <w:t>Section 13.05</w:t>
      </w:r>
      <w:r>
        <w:rPr>
          <w:rFonts w:ascii="Arial" w:cs="Arial" w:eastAsia="Arial" w:hAnsi="Arial"/>
          <w:sz w:val="17"/>
          <w:szCs w:val="17"/>
          <w:color w:val="auto"/>
        </w:rPr>
        <w:t xml:space="preserve"> subject, in the case of Affiliate Lenders, to this </w:t>
      </w:r>
      <w:r>
        <w:rPr>
          <w:rFonts w:ascii="Arial" w:cs="Arial" w:eastAsia="Arial" w:hAnsi="Arial"/>
          <w:sz w:val="17"/>
          <w:szCs w:val="17"/>
          <w:u w:val="single" w:color="auto"/>
          <w:color w:val="auto"/>
        </w:rPr>
        <w:t>Section 13.05(e)</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13.05(f)</w:t>
      </w:r>
      <w:r>
        <w:rPr>
          <w:rFonts w:ascii="Arial" w:cs="Arial" w:eastAsia="Arial" w:hAnsi="Arial"/>
          <w:sz w:val="17"/>
          <w:szCs w:val="17"/>
          <w:color w:val="auto"/>
        </w:rPr>
        <w:t xml:space="preserve">),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w:t>
      </w:r>
      <w:r>
        <w:rPr>
          <w:rFonts w:ascii="Arial" w:cs="Arial" w:eastAsia="Arial" w:hAnsi="Arial"/>
          <w:sz w:val="17"/>
          <w:szCs w:val="17"/>
          <w:u w:val="single" w:color="auto"/>
          <w:color w:val="auto"/>
        </w:rPr>
        <w:t>Section 13.04(a)</w:t>
      </w:r>
      <w:r>
        <w:rPr>
          <w:rFonts w:ascii="Arial" w:cs="Arial" w:eastAsia="Arial" w:hAnsi="Arial"/>
          <w:sz w:val="17"/>
          <w:szCs w:val="17"/>
          <w:color w:val="auto"/>
        </w:rPr>
        <w:t xml:space="preserve">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 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87" w:lineRule="exact"/>
        <w:rPr>
          <w:rFonts w:ascii="Arial" w:cs="Arial" w:eastAsia="Arial" w:hAnsi="Arial"/>
          <w:sz w:val="17"/>
          <w:szCs w:val="17"/>
          <w:color w:val="auto"/>
        </w:rPr>
      </w:pPr>
    </w:p>
    <w:p>
      <w:pPr>
        <w:jc w:val="both"/>
        <w:ind w:right="20" w:firstLine="656"/>
        <w:spacing w:after="0" w:line="291" w:lineRule="auto"/>
        <w:tabs>
          <w:tab w:leader="none" w:pos="102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w:t>
      </w:r>
    </w:p>
    <w:p>
      <w:pPr>
        <w:jc w:val="both"/>
        <w:ind w:firstLine="8"/>
        <w:spacing w:after="0" w:line="290" w:lineRule="auto"/>
        <w:tabs>
          <w:tab w:leader="none" w:pos="279" w:val="left"/>
        </w:tabs>
        <w:numPr>
          <w:ilvl w:val="0"/>
          <w:numId w:val="163"/>
        </w:numPr>
        <w:rPr>
          <w:rFonts w:ascii="Arial" w:cs="Arial" w:eastAsia="Arial" w:hAnsi="Arial"/>
          <w:sz w:val="16"/>
          <w:szCs w:val="16"/>
          <w:color w:val="auto"/>
        </w:rPr>
      </w:pPr>
      <w:r>
        <w:rPr>
          <w:rFonts w:ascii="Arial" w:cs="Arial" w:eastAsia="Arial" w:hAnsi="Arial"/>
          <w:sz w:val="16"/>
          <w:szCs w:val="16"/>
          <w:color w:val="auto"/>
        </w:rPr>
        <w:t>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or (iv) purchase any Term Loan if, immediately after giving effect to such purchase, Affiliate Lenders in the aggregate would own Term Loans with an aggregate principal amount in excess of 25% of the aggregate principal amount of all Term Loans then outstanding.</w:t>
      </w:r>
    </w:p>
    <w:p>
      <w:pPr>
        <w:spacing w:after="0" w:line="16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SECTION 13.06. Survival</w:t>
      </w:r>
      <w:r>
        <w:rPr>
          <w:rFonts w:ascii="Arial" w:cs="Arial" w:eastAsia="Arial" w:hAnsi="Arial"/>
          <w:sz w:val="16"/>
          <w:szCs w:val="16"/>
          <w:color w:val="auto"/>
        </w:rPr>
        <w:t>. The obligations of the Credit Parties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Sections 5.01</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5.05</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5.06</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13.03</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13.20</w:t>
      </w:r>
      <w:r>
        <w:rPr>
          <w:rFonts w:ascii="Arial" w:cs="Arial" w:eastAsia="Arial" w:hAnsi="Arial"/>
          <w:sz w:val="16"/>
          <w:szCs w:val="16"/>
          <w:color w:val="auto"/>
        </w:rPr>
        <w:t>, the obligations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Guarantor under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and the obligations of the Lenders and Administrative Agent under </w:t>
      </w:r>
      <w:r>
        <w:rPr>
          <w:rFonts w:ascii="Arial" w:cs="Arial" w:eastAsia="Arial" w:hAnsi="Arial"/>
          <w:sz w:val="16"/>
          <w:szCs w:val="16"/>
          <w:u w:val="single" w:color="auto"/>
          <w:color w:val="auto"/>
        </w:rPr>
        <w:t>Sections 5.06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12.08</w:t>
      </w:r>
      <w:r>
        <w:rPr>
          <w:rFonts w:ascii="Arial" w:cs="Arial" w:eastAsia="Arial" w:hAnsi="Arial"/>
          <w:sz w:val="16"/>
          <w:szCs w:val="16"/>
          <w:color w:val="auto"/>
        </w:rPr>
        <w:t>, in each case shall survive the repayment of the Loans and the other Obligations and the termination of the Commitments and, in the case of any Lender that may assign any interest in its Commitments or Loans (and any related Obligations) hereunder, shall (to the extent relating to such time as it was a Lender) survive the making of such assignment, notwithstanding that such assigning Lender may cease to be a “Lender” hereunder. In addition, each representation and warranty made, or</w:t>
      </w:r>
    </w:p>
    <w:p>
      <w:pPr>
        <w:sectPr>
          <w:pgSz w:w="11900" w:h="16838" w:orient="portrait"/>
          <w:cols w:equalWidth="0" w:num="1">
            <w:col w:w="11420"/>
          </w:cols>
          <w:pgMar w:left="240" w:top="125" w:right="239" w:bottom="0" w:gutter="0" w:footer="0" w:header="0"/>
        </w:sectPr>
      </w:pPr>
    </w:p>
    <w:bookmarkStart w:id="129" w:name="page130"/>
    <w:bookmarkEnd w:id="129"/>
    <w:p>
      <w:pPr>
        <w:jc w:val="both"/>
        <w:spacing w:after="0" w:line="259" w:lineRule="auto"/>
        <w:rPr>
          <w:sz w:val="20"/>
          <w:szCs w:val="20"/>
          <w:color w:val="auto"/>
        </w:rPr>
      </w:pPr>
      <w:r>
        <w:rPr>
          <w:rFonts w:ascii="Arial" w:cs="Arial" w:eastAsia="Arial" w:hAnsi="Arial"/>
          <w:sz w:val="18"/>
          <w:szCs w:val="18"/>
          <w:color w:val="auto"/>
        </w:rPr>
        <w:t>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8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are not intended to affect the interpretation of any provision of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25" w:lineRule="exact"/>
        <w:rPr>
          <w:sz w:val="20"/>
          <w:szCs w:val="20"/>
          <w:color w:val="auto"/>
        </w:rPr>
      </w:pPr>
    </w:p>
    <w:p>
      <w:pPr>
        <w:jc w:val="both"/>
        <w:ind w:firstLine="656"/>
        <w:spacing w:after="0" w:line="256" w:lineRule="auto"/>
        <w:tabs>
          <w:tab w:leader="none" w:pos="1176"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187" w:lineRule="exact"/>
        <w:rPr>
          <w:rFonts w:ascii="Arial" w:cs="Arial" w:eastAsia="Arial" w:hAnsi="Arial"/>
          <w:sz w:val="18"/>
          <w:szCs w:val="18"/>
          <w:color w:val="auto"/>
        </w:rPr>
      </w:pPr>
    </w:p>
    <w:p>
      <w:pPr>
        <w:jc w:val="both"/>
        <w:ind w:firstLine="656"/>
        <w:spacing w:after="0" w:line="252" w:lineRule="auto"/>
        <w:tabs>
          <w:tab w:leader="none" w:pos="1092"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SUBMISSION TO JURISDICTION</w:t>
      </w:r>
      <w:r>
        <w:rPr>
          <w:rFonts w:ascii="Arial" w:cs="Arial" w:eastAsia="Arial" w:hAnsi="Arial"/>
          <w:sz w:val="18"/>
          <w:szCs w:val="18"/>
          <w:color w:val="auto"/>
        </w:rPr>
        <w:t>. EACH CREDIT PARTY IRREVOCABLY AND UNCONDITIONALLY AGREES THAT IT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196" w:lineRule="exact"/>
        <w:rPr>
          <w:rFonts w:ascii="Arial" w:cs="Arial" w:eastAsia="Arial" w:hAnsi="Arial"/>
          <w:sz w:val="18"/>
          <w:szCs w:val="18"/>
          <w:color w:val="auto"/>
        </w:rPr>
      </w:pPr>
    </w:p>
    <w:p>
      <w:pPr>
        <w:jc w:val="both"/>
        <w:ind w:firstLine="656"/>
        <w:spacing w:after="0" w:line="256" w:lineRule="auto"/>
        <w:tabs>
          <w:tab w:leader="none" w:pos="1068"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jc w:val="both"/>
        <w:ind w:firstLine="656"/>
        <w:spacing w:after="0" w:line="266" w:lineRule="auto"/>
        <w:tabs>
          <w:tab w:leader="none" w:pos="11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PROVIDED FOR NOTICES IN </w:t>
      </w:r>
      <w:r>
        <w:rPr>
          <w:rFonts w:ascii="Arial" w:cs="Arial" w:eastAsia="Arial" w:hAnsi="Arial"/>
          <w:sz w:val="18"/>
          <w:szCs w:val="18"/>
          <w:u w:val="single" w:color="auto"/>
          <w:color w:val="auto"/>
        </w:rPr>
        <w:t>SECTION 13.02</w:t>
      </w:r>
      <w:r>
        <w:rPr>
          <w:rFonts w:ascii="Arial" w:cs="Arial" w:eastAsia="Arial" w:hAnsi="Arial"/>
          <w:sz w:val="18"/>
          <w:szCs w:val="18"/>
          <w:color w:val="auto"/>
        </w:rPr>
        <w:t>. NOTHING IN THIS AGREEMENT WILL AFFECT THE RIGHT OF ANY PARTY HERETO TO SERVE PROCESS IN ANY OTHER MANNER PERMITTED BY APPLICABLE LAW.</w:t>
      </w:r>
    </w:p>
    <w:p>
      <w:pPr>
        <w:spacing w:after="0" w:line="176" w:lineRule="exact"/>
        <w:rPr>
          <w:sz w:val="20"/>
          <w:szCs w:val="20"/>
          <w:color w:val="auto"/>
        </w:rPr>
      </w:pPr>
    </w:p>
    <w:p>
      <w:pPr>
        <w:jc w:val="both"/>
        <w:ind w:firstLine="656"/>
        <w:spacing w:after="0" w:line="272" w:lineRule="auto"/>
        <w:tabs>
          <w:tab w:leader="none" w:pos="1065"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13.10. Confidentiality</w:t>
      </w:r>
      <w:r>
        <w:rPr>
          <w:rFonts w:ascii="Arial" w:cs="Arial" w:eastAsia="Arial" w:hAnsi="Arial"/>
          <w:sz w:val="16"/>
          <w:szCs w:val="16"/>
          <w:color w:val="auto"/>
        </w:rPr>
        <w:t>. Each Agent and each Lender agrees to keep information obtained by it pursuant to the Credit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 counterparty’s professional advisor (so long as such creditor, contractual counterparty or professional advisor to such creditor or contractual counterparty agrees in writing to be bound by the provision of this </w:t>
      </w:r>
      <w:r>
        <w:rPr>
          <w:rFonts w:ascii="Arial" w:cs="Arial" w:eastAsia="Arial" w:hAnsi="Arial"/>
          <w:sz w:val="16"/>
          <w:szCs w:val="16"/>
          <w:u w:val="single" w:color="auto"/>
          <w:color w:val="auto"/>
        </w:rPr>
        <w:t>Section 13.10</w:t>
      </w:r>
      <w:r>
        <w:rPr>
          <w:rFonts w:ascii="Arial" w:cs="Arial" w:eastAsia="Arial" w:hAnsi="Arial"/>
          <w:sz w:val="16"/>
          <w:szCs w:val="16"/>
          <w:color w:val="auto"/>
        </w:rPr>
        <w:t>,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such requirement or order shall be promptly furnished to Borrower unless such notice is legally prohibited) or requested or required by bank, securities, insurance</w:t>
      </w:r>
    </w:p>
    <w:p>
      <w:pPr>
        <w:sectPr>
          <w:pgSz w:w="11900" w:h="16838" w:orient="portrait"/>
          <w:cols w:equalWidth="0" w:num="1">
            <w:col w:w="11420"/>
          </w:cols>
          <w:pgMar w:left="240" w:top="125" w:right="239" w:bottom="0" w:gutter="0" w:footer="0" w:header="0"/>
        </w:sectPr>
      </w:pPr>
    </w:p>
    <w:bookmarkStart w:id="130" w:name="page131"/>
    <w:bookmarkEnd w:id="130"/>
    <w:p>
      <w:pPr>
        <w:jc w:val="both"/>
        <w:spacing w:after="0" w:line="254" w:lineRule="auto"/>
        <w:rPr>
          <w:sz w:val="20"/>
          <w:szCs w:val="20"/>
          <w:color w:val="auto"/>
        </w:rPr>
      </w:pPr>
      <w:r>
        <w:rPr>
          <w:rFonts w:ascii="Arial" w:cs="Arial" w:eastAsia="Arial" w:hAnsi="Arial"/>
          <w:sz w:val="18"/>
          <w:szCs w:val="18"/>
          <w:color w:val="auto"/>
        </w:rPr>
        <w:t xml:space="preserve">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prior notice thereof is furnished to Borrower, (e) to pledgees under </w:t>
      </w:r>
      <w:r>
        <w:rPr>
          <w:rFonts w:ascii="Arial" w:cs="Arial" w:eastAsia="Arial" w:hAnsi="Arial"/>
          <w:sz w:val="18"/>
          <w:szCs w:val="18"/>
          <w:u w:val="single" w:color="auto"/>
          <w:color w:val="auto"/>
        </w:rPr>
        <w:t>Section 13.05(c)</w:t>
      </w:r>
      <w:r>
        <w:rPr>
          <w:rFonts w:ascii="Arial" w:cs="Arial" w:eastAsia="Arial" w:hAnsi="Arial"/>
          <w:sz w:val="18"/>
          <w:szCs w:val="18"/>
          <w:color w:val="auto"/>
        </w:rPr>
        <w:t xml:space="preserve">, assignees, participants, prospective assignees or prospective participants, in each case who agree in writing to be bound by the provisions of this </w:t>
      </w:r>
      <w:r>
        <w:rPr>
          <w:rFonts w:ascii="Arial" w:cs="Arial" w:eastAsia="Arial" w:hAnsi="Arial"/>
          <w:sz w:val="18"/>
          <w:szCs w:val="18"/>
          <w:u w:val="single" w:color="auto"/>
          <w:color w:val="auto"/>
        </w:rPr>
        <w:t>Section 13.10</w:t>
      </w:r>
      <w:r>
        <w:rPr>
          <w:rFonts w:ascii="Arial" w:cs="Arial" w:eastAsia="Arial" w:hAnsi="Arial"/>
          <w:sz w:val="18"/>
          <w:szCs w:val="18"/>
          <w:color w:val="auto"/>
        </w:rPr>
        <w:t xml:space="preserve">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13.12. Severability</w:t>
      </w:r>
      <w:r>
        <w:rPr>
          <w:rFonts w:ascii="Arial" w:cs="Arial" w:eastAsia="Arial" w:hAnsi="Arial"/>
          <w:sz w:val="16"/>
          <w:szCs w:val="16"/>
          <w:color w:val="auto"/>
        </w:rPr>
        <w:t>. Wherever possible, each provision of this Agreement shall be interpreted in such manner as to be effective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4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028"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7"/>
          <w:szCs w:val="17"/>
          <w:b w:val="1"/>
          <w:bCs w:val="1"/>
          <w:color w:val="auto"/>
        </w:rPr>
        <w:t>Liquor</w:t>
      </w:r>
      <w:r>
        <w:rPr>
          <w:rFonts w:ascii="Arial" w:cs="Arial" w:eastAsia="Arial" w:hAnsi="Arial"/>
          <w:sz w:val="17"/>
          <w:szCs w:val="17"/>
          <w:color w:val="auto"/>
        </w:rPr>
        <w:t xml:space="preserve"> </w:t>
      </w:r>
      <w:r>
        <w:rPr>
          <w:rFonts w:ascii="Arial" w:cs="Arial" w:eastAsia="Arial" w:hAnsi="Arial"/>
          <w:sz w:val="17"/>
          <w:szCs w:val="17"/>
          <w:b w:val="1"/>
          <w:bCs w:val="1"/>
          <w:color w:val="auto"/>
        </w:rPr>
        <w:t>Laws</w:t>
      </w:r>
      <w:r>
        <w:rPr>
          <w:rFonts w:ascii="Arial" w:cs="Arial" w:eastAsia="Arial" w:hAnsi="Arial"/>
          <w:sz w:val="17"/>
          <w:szCs w:val="17"/>
          <w:color w:val="auto"/>
        </w:rPr>
        <w:t>”). Without limiting the foregoing, Administrative Agent, each other Agent, each Lender and each participant acknowledges that (i) it is the subject of</w:t>
      </w:r>
      <w:r>
        <w:rPr>
          <w:rFonts w:ascii="Arial" w:cs="Arial" w:eastAsia="Arial" w:hAnsi="Arial"/>
          <w:sz w:val="17"/>
          <w:szCs w:val="17"/>
          <w:b w:val="1"/>
          <w:bCs w:val="1"/>
          <w:color w:val="auto"/>
        </w:rPr>
        <w:t xml:space="preserve"> </w:t>
      </w:r>
      <w:r>
        <w:rPr>
          <w:rFonts w:ascii="Arial" w:cs="Arial" w:eastAsia="Arial" w:hAnsi="Arial"/>
          <w:sz w:val="17"/>
          <w:szCs w:val="17"/>
          <w:color w:val="auto"/>
        </w:rPr>
        <w:t>being called forward by any Gaming Authority or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1" w:lineRule="exact"/>
        <w:rPr>
          <w:rFonts w:ascii="Arial" w:cs="Arial" w:eastAsia="Arial" w:hAnsi="Arial"/>
          <w:sz w:val="17"/>
          <w:szCs w:val="17"/>
          <w:color w:val="auto"/>
        </w:rPr>
      </w:pPr>
    </w:p>
    <w:p>
      <w:pPr>
        <w:jc w:val="both"/>
        <w:ind w:firstLine="656"/>
        <w:spacing w:after="0" w:line="276" w:lineRule="auto"/>
        <w:tabs>
          <w:tab w:leader="none" w:pos="111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 xml:space="preserve">Notwithstanding anything to the contrary in this Agreement or any other Credit Document, Administrative Agent, each other Agent, each Lender and each participant agrees to cooperate with each Gaming Authority and each Liquor Authority (and, in each case, to be subject to </w:t>
      </w:r>
      <w:r>
        <w:rPr>
          <w:rFonts w:ascii="Arial" w:cs="Arial" w:eastAsia="Arial" w:hAnsi="Arial"/>
          <w:sz w:val="17"/>
          <w:szCs w:val="17"/>
          <w:u w:val="single" w:color="auto"/>
          <w:color w:val="auto"/>
        </w:rPr>
        <w:t>Section 2.11</w:t>
      </w:r>
      <w:r>
        <w:rPr>
          <w:rFonts w:ascii="Arial" w:cs="Arial" w:eastAsia="Arial" w:hAnsi="Arial"/>
          <w:sz w:val="17"/>
          <w:szCs w:val="17"/>
          <w:color w:val="auto"/>
        </w:rPr>
        <w:t>)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172" w:lineRule="exact"/>
        <w:rPr>
          <w:rFonts w:ascii="Arial" w:cs="Arial" w:eastAsia="Arial" w:hAnsi="Arial"/>
          <w:sz w:val="17"/>
          <w:szCs w:val="17"/>
          <w:color w:val="auto"/>
        </w:rPr>
      </w:pPr>
    </w:p>
    <w:p>
      <w:pPr>
        <w:jc w:val="both"/>
        <w:ind w:firstLine="656"/>
        <w:spacing w:after="0" w:line="297" w:lineRule="auto"/>
        <w:tabs>
          <w:tab w:leader="none" w:pos="1028" w:val="left"/>
        </w:tabs>
        <w:numPr>
          <w:ilvl w:val="0"/>
          <w:numId w:val="166"/>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any Credit Party in this Agreement with respect to the creation, perfection or priority (as applicable) of the security interest granted in favor of Collateral Agent or any other Secured Party (including, without limitation,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of this Agreement) shall be deemed not to apply to such assets.</w:t>
      </w:r>
    </w:p>
    <w:p>
      <w:pPr>
        <w:spacing w:after="0" w:line="158" w:lineRule="exact"/>
        <w:rPr>
          <w:rFonts w:ascii="Arial" w:cs="Arial" w:eastAsia="Arial" w:hAnsi="Arial"/>
          <w:sz w:val="16"/>
          <w:szCs w:val="16"/>
          <w:color w:val="auto"/>
        </w:rPr>
      </w:pPr>
    </w:p>
    <w:p>
      <w:pPr>
        <w:jc w:val="both"/>
        <w:ind w:firstLine="656"/>
        <w:spacing w:after="0" w:line="264" w:lineRule="auto"/>
        <w:tabs>
          <w:tab w:leader="none" w:pos="10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Guarantors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[Reserved]</w:t>
      </w:r>
      <w:r>
        <w:rPr>
          <w:rFonts w:ascii="Arial" w:cs="Arial" w:eastAsia="Arial" w:hAnsi="Arial"/>
          <w:sz w:val="16"/>
          <w:szCs w:val="16"/>
          <w:color w:val="auto"/>
        </w:rPr>
        <w:t>.</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13.16. Waiver of Claims</w:t>
      </w:r>
      <w:r>
        <w:rPr>
          <w:rFonts w:ascii="Arial" w:cs="Arial" w:eastAsia="Arial" w:hAnsi="Arial"/>
          <w:sz w:val="17"/>
          <w:szCs w:val="17"/>
          <w:color w:val="auto"/>
        </w:rPr>
        <w:t>. Notwithstanding anything in this Agreement or the other Credit Documents to the contrary, the Credit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the foregoing shall not impair Borrower’s ability to make a claim in respect of a breach of the representations or warranties or obligations of the relevant assignor in a Borrower Loan Purchase, including in the standard terms and conditions set forth in the assignment agreement applicable to a Borrower Loan Purchase.</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SECTION 13.17.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Agents, the Lead Arrangers and the Lenders are arm’s-length commercial transactions between Borrower, each other Credit Party and their respective Affiliates, on the one hand, and the Administrative Agent, the Collateral Agent, the Documentation Agents, the Lead Arrangers and the Lenders, on the other hand, (B) each of Borrower and the other Credit Parties has consulted its own legal, accounting, regulatory and tax advisors to the extent it has deemed appropriate, and (C) Borrower and each other Credit Party is capable of evaluating, and understands and accepts, the terms, risks and conditions of the transactions contemplated hereby and by the other Credit Documents; (ii) (A) the Administrative Agent, the Collateral Agent, the Documentation Agents, the Lead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Agents, the Lead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Agents, the Lead Arrangers or any Lender on one hand and Borrower, any other Credit Party or any of their respective Affiliates on the other hand; and (iii) the Administrative Agent, the Collateral Agent, the</w:t>
      </w:r>
    </w:p>
    <w:p>
      <w:pPr>
        <w:sectPr>
          <w:pgSz w:w="11900" w:h="16838" w:orient="portrait"/>
          <w:cols w:equalWidth="0" w:num="1">
            <w:col w:w="11420"/>
          </w:cols>
          <w:pgMar w:left="240" w:top="125" w:right="239" w:bottom="0" w:gutter="0" w:footer="0" w:header="0"/>
        </w:sectPr>
      </w:pPr>
    </w:p>
    <w:bookmarkStart w:id="131" w:name="page132"/>
    <w:bookmarkEnd w:id="131"/>
    <w:p>
      <w:pPr>
        <w:jc w:val="both"/>
        <w:spacing w:after="0" w:line="270" w:lineRule="auto"/>
        <w:rPr>
          <w:sz w:val="20"/>
          <w:szCs w:val="20"/>
          <w:color w:val="auto"/>
        </w:rPr>
      </w:pPr>
      <w:r>
        <w:rPr>
          <w:rFonts w:ascii="Arial" w:cs="Arial" w:eastAsia="Arial" w:hAnsi="Arial"/>
          <w:sz w:val="17"/>
          <w:szCs w:val="17"/>
          <w:color w:val="auto"/>
        </w:rPr>
        <w:t>Documentation Agents, the Lead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Agents, the Lead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Agents, the Lead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Agents, the Lead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13.18. Lender Action</w:t>
      </w:r>
      <w:r>
        <w:rPr>
          <w:rFonts w:ascii="Arial" w:cs="Arial" w:eastAsia="Arial" w:hAnsi="Arial"/>
          <w:sz w:val="18"/>
          <w:szCs w:val="18"/>
          <w:color w:val="auto"/>
        </w:rPr>
        <w:t>. Each Lender agrees that it shall not take or institute any actions or proceedings, judicial or otherwise,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right or remedy against any Credit Party or any other obligor under any of the Credit Documents or the Swap Contracts, or institute any actions or proceedings, or otherwise commence any remedial procedures, with respect to any Collateral or any other property of any such Credit Party, without the prior written consent of Administrative Agent. The provisions of this </w:t>
      </w:r>
      <w:r>
        <w:rPr>
          <w:rFonts w:ascii="Arial" w:cs="Arial" w:eastAsia="Arial" w:hAnsi="Arial"/>
          <w:sz w:val="18"/>
          <w:szCs w:val="18"/>
          <w:u w:val="single" w:color="auto"/>
          <w:color w:val="auto"/>
        </w:rPr>
        <w:t>Section 13.18</w:t>
      </w:r>
      <w:r>
        <w:rPr>
          <w:rFonts w:ascii="Arial" w:cs="Arial" w:eastAsia="Arial" w:hAnsi="Arial"/>
          <w:sz w:val="18"/>
          <w:szCs w:val="18"/>
          <w:color w:val="auto"/>
        </w:rPr>
        <w:t xml:space="preserve"> are for the sole benefit of the Agents and Lenders and shall not afford any right to, or constitute a defense available to, any Credit Party.</w:t>
      </w:r>
    </w:p>
    <w:p>
      <w:pPr>
        <w:spacing w:after="0" w:line="18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13.19. Interest Rate Limitation</w:t>
      </w:r>
      <w:r>
        <w:rPr>
          <w:rFonts w:ascii="Arial" w:cs="Arial" w:eastAsia="Arial" w:hAnsi="Arial"/>
          <w:sz w:val="16"/>
          <w:szCs w:val="16"/>
          <w:color w:val="auto"/>
        </w:rPr>
        <w:t>. Notwithstanding anything to the contrary contained in any Credit Document, the interest paid or</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be paid under the Credit Documents (collectively, the “</w:t>
      </w:r>
      <w:r>
        <w:rPr>
          <w:rFonts w:ascii="Arial" w:cs="Arial" w:eastAsia="Arial" w:hAnsi="Arial"/>
          <w:sz w:val="16"/>
          <w:szCs w:val="16"/>
          <w:b w:val="1"/>
          <w:bCs w:val="1"/>
          <w:color w:val="auto"/>
        </w:rPr>
        <w:t>Charges</w:t>
      </w:r>
      <w:r>
        <w:rPr>
          <w:rFonts w:ascii="Arial" w:cs="Arial" w:eastAsia="Arial" w:hAnsi="Arial"/>
          <w:sz w:val="16"/>
          <w:szCs w:val="16"/>
          <w:color w:val="auto"/>
        </w:rPr>
        <w:t>”) shall not exceed the maximum rate of non-usurious interest permitted by applicable Law (the “</w:t>
      </w:r>
      <w:r>
        <w:rPr>
          <w:rFonts w:ascii="Arial" w:cs="Arial" w:eastAsia="Arial" w:hAnsi="Arial"/>
          <w:sz w:val="16"/>
          <w:szCs w:val="16"/>
          <w:b w:val="1"/>
          <w:bCs w:val="1"/>
          <w:color w:val="auto"/>
        </w:rPr>
        <w:t>Maximum Rate</w:t>
      </w:r>
      <w:r>
        <w:rPr>
          <w:rFonts w:ascii="Arial" w:cs="Arial" w:eastAsia="Arial" w:hAnsi="Arial"/>
          <w:sz w:val="16"/>
          <w:szCs w:val="16"/>
          <w:color w:val="auto"/>
        </w:rPr>
        <w:t xml:space="preserve">”).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w:t>
      </w:r>
      <w:r>
        <w:rPr>
          <w:rFonts w:ascii="Arial" w:cs="Arial" w:eastAsia="Arial" w:hAnsi="Arial"/>
          <w:sz w:val="16"/>
          <w:szCs w:val="16"/>
          <w:u w:val="single" w:color="auto"/>
          <w:color w:val="auto"/>
        </w:rPr>
        <w:t>Section 13.19</w:t>
      </w:r>
      <w:r>
        <w:rPr>
          <w:rFonts w:ascii="Arial" w:cs="Arial" w:eastAsia="Arial" w:hAnsi="Arial"/>
          <w:sz w:val="16"/>
          <w:szCs w:val="16"/>
          <w:color w:val="auto"/>
        </w:rPr>
        <w:t xml:space="preserve">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w:t>
      </w:r>
      <w:r>
        <w:rPr>
          <w:rFonts w:ascii="Arial" w:cs="Arial" w:eastAsia="Arial" w:hAnsi="Arial"/>
          <w:sz w:val="16"/>
          <w:szCs w:val="16"/>
          <w:u w:val="single" w:color="auto"/>
          <w:color w:val="auto"/>
        </w:rPr>
        <w:t>Section 13.19</w:t>
      </w:r>
      <w:r>
        <w:rPr>
          <w:rFonts w:ascii="Arial" w:cs="Arial" w:eastAsia="Arial" w:hAnsi="Arial"/>
          <w:sz w:val="16"/>
          <w:szCs w:val="16"/>
          <w:color w:val="auto"/>
        </w:rPr>
        <w:t xml:space="preserve">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w:t>
      </w:r>
      <w:r>
        <w:rPr>
          <w:rFonts w:ascii="Arial" w:cs="Arial" w:eastAsia="Arial" w:hAnsi="Arial"/>
          <w:sz w:val="16"/>
          <w:szCs w:val="16"/>
          <w:u w:val="single" w:color="auto"/>
          <w:color w:val="auto"/>
        </w:rPr>
        <w:t>Section 13.19</w:t>
      </w:r>
      <w:r>
        <w:rPr>
          <w:rFonts w:ascii="Arial" w:cs="Arial" w:eastAsia="Arial" w:hAnsi="Arial"/>
          <w:sz w:val="16"/>
          <w:szCs w:val="16"/>
          <w:color w:val="auto"/>
        </w:rPr>
        <w:t xml:space="preserve">, such interest shall be calculated at a daily rate equal to the Maximum Rate divided by the number of days in the year in which such calculation is made. If, notwithstanding the provisions of this </w:t>
      </w:r>
      <w:r>
        <w:rPr>
          <w:rFonts w:ascii="Arial" w:cs="Arial" w:eastAsia="Arial" w:hAnsi="Arial"/>
          <w:sz w:val="16"/>
          <w:szCs w:val="16"/>
          <w:u w:val="single" w:color="auto"/>
          <w:color w:val="auto"/>
        </w:rPr>
        <w:t>Section 13.19</w:t>
      </w:r>
      <w:r>
        <w:rPr>
          <w:rFonts w:ascii="Arial" w:cs="Arial" w:eastAsia="Arial" w:hAnsi="Arial"/>
          <w:sz w:val="16"/>
          <w:szCs w:val="16"/>
          <w:color w:val="auto"/>
        </w:rPr>
        <w:t>,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7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13.20. Payments Set Aside</w:t>
      </w:r>
      <w:r>
        <w:rPr>
          <w:rFonts w:ascii="Arial" w:cs="Arial" w:eastAsia="Arial" w:hAnsi="Arial"/>
          <w:sz w:val="17"/>
          <w:szCs w:val="17"/>
          <w:color w:val="auto"/>
        </w:rPr>
        <w:t>. To the extent that any payment by or on behalf of Borrower is made to any Agent or any Lender,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Agent or any Lender exercises its right of setoff, and such payment or the proceeds of such setoff or any part thereof is subsequently invalidated, declared to be fraudulent or preferential, set aside 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and the Lenders to effect such reinstatement.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13.21. Acknowledgement and Consent to Bail-In of EEA Financial Institutions</w:t>
      </w:r>
      <w:r>
        <w:rPr>
          <w:rFonts w:ascii="Arial" w:cs="Arial" w:eastAsia="Arial" w:hAnsi="Arial"/>
          <w:sz w:val="17"/>
          <w:szCs w:val="17"/>
          <w:color w:val="auto"/>
        </w:rPr>
        <w:t>. Notwithstanding anything to the contrary in any</w:t>
      </w:r>
      <w:r>
        <w:rPr>
          <w:rFonts w:ascii="Arial" w:cs="Arial" w:eastAsia="Arial" w:hAnsi="Arial"/>
          <w:sz w:val="17"/>
          <w:szCs w:val="17"/>
          <w:b w:val="1"/>
          <w:bCs w:val="1"/>
          <w:color w:val="auto"/>
        </w:rPr>
        <w:t xml:space="preserve"> </w:t>
      </w:r>
      <w:r>
        <w:rPr>
          <w:rFonts w:ascii="Arial" w:cs="Arial" w:eastAsia="Arial" w:hAnsi="Arial"/>
          <w:sz w:val="17"/>
          <w:szCs w:val="17"/>
          <w:color w:val="auto"/>
        </w:rPr>
        <w:t>Credit Document or in any other agreement, arrangement or understanding among any such parties, each party hereto acknowledges that any liability of any Lender that is an EEA Financial Institution arising under any Credit Document, to the extent such liability is unsecured, may be subject to the write-down and conversion powers of an EEA Resolution Authority and agrees and consents to, and acknowledges and agrees to be bound by:</w:t>
      </w:r>
    </w:p>
    <w:p>
      <w:pPr>
        <w:spacing w:after="0" w:line="169" w:lineRule="exact"/>
        <w:rPr>
          <w:sz w:val="20"/>
          <w:szCs w:val="20"/>
          <w:color w:val="auto"/>
        </w:rPr>
      </w:pPr>
    </w:p>
    <w:p>
      <w:pPr>
        <w:ind w:firstLine="656"/>
        <w:spacing w:after="0" w:line="277" w:lineRule="auto"/>
        <w:tabs>
          <w:tab w:leader="none" w:pos="112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Lender that is an EEA Financial Institution; and</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735" w:val="left"/>
        </w:tabs>
        <w:numPr>
          <w:ilvl w:val="1"/>
          <w:numId w:val="167"/>
        </w:numPr>
        <w:rPr>
          <w:rFonts w:ascii="Arial" w:cs="Arial" w:eastAsia="Arial" w:hAnsi="Arial"/>
          <w:sz w:val="17"/>
          <w:szCs w:val="17"/>
          <w:color w:val="auto"/>
        </w:rPr>
      </w:pPr>
      <w:r>
        <w:rPr>
          <w:rFonts w:ascii="Arial" w:cs="Arial" w:eastAsia="Arial" w:hAnsi="Arial"/>
          <w:sz w:val="17"/>
          <w:szCs w:val="17"/>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65" w:lineRule="exact"/>
        <w:rPr>
          <w:rFonts w:ascii="Arial" w:cs="Arial" w:eastAsia="Arial" w:hAnsi="Arial"/>
          <w:sz w:val="17"/>
          <w:szCs w:val="17"/>
          <w:color w:val="auto"/>
        </w:rPr>
      </w:pPr>
    </w:p>
    <w:p>
      <w:pPr>
        <w:ind w:left="660" w:firstLine="645"/>
        <w:spacing w:after="0" w:line="277" w:lineRule="auto"/>
        <w:tabs>
          <w:tab w:leader="none" w:pos="1826"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6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13.22. Certain ERISA Matters</w:t>
      </w:r>
      <w:r>
        <w:rPr>
          <w:rFonts w:ascii="Arial" w:cs="Arial" w:eastAsia="Arial" w:hAnsi="Arial"/>
          <w:sz w:val="18"/>
          <w:szCs w:val="18"/>
          <w:color w:val="auto"/>
        </w:rPr>
        <w:t>. (a) Each Lender (x) represents and warrants, as of the date such Person became a Lender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at least one of the following is and will be true:</w:t>
      </w:r>
    </w:p>
    <w:p>
      <w:pPr>
        <w:spacing w:after="0" w:line="184" w:lineRule="exact"/>
        <w:rPr>
          <w:sz w:val="20"/>
          <w:szCs w:val="20"/>
          <w:color w:val="auto"/>
        </w:rPr>
      </w:pPr>
    </w:p>
    <w:p>
      <w:pPr>
        <w:ind w:left="660" w:hanging="4"/>
        <w:spacing w:after="0" w:line="308" w:lineRule="auto"/>
        <w:tabs>
          <w:tab w:leader="none" w:pos="879"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such Lender is not using “plan assets” (within the meaning of Section 3(42) of ERISA or otherwise) of one or more Benefit Plans with respect to such Lender’s entrance into, participation in, administration of and performance of the Loans, the Commitments or this Agreement,</w:t>
      </w:r>
    </w:p>
    <w:p>
      <w:pPr>
        <w:sectPr>
          <w:pgSz w:w="11900" w:h="16838" w:orient="portrait"/>
          <w:cols w:equalWidth="0" w:num="1">
            <w:col w:w="11420"/>
          </w:cols>
          <w:pgMar w:left="240" w:top="125" w:right="239" w:bottom="89" w:gutter="0" w:footer="0" w:header="0"/>
        </w:sectPr>
      </w:pPr>
    </w:p>
    <w:bookmarkStart w:id="132" w:name="page133"/>
    <w:bookmarkEnd w:id="132"/>
    <w:p>
      <w:pPr>
        <w:jc w:val="both"/>
        <w:ind w:left="660" w:hanging="4"/>
        <w:spacing w:after="0" w:line="255" w:lineRule="auto"/>
        <w:tabs>
          <w:tab w:leader="none" w:pos="964"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spacing w:after="0" w:line="193" w:lineRule="exact"/>
        <w:rPr>
          <w:rFonts w:ascii="Arial" w:cs="Arial" w:eastAsia="Arial" w:hAnsi="Arial"/>
          <w:sz w:val="18"/>
          <w:szCs w:val="18"/>
          <w:color w:val="auto"/>
        </w:rPr>
      </w:pPr>
    </w:p>
    <w:p>
      <w:pPr>
        <w:jc w:val="both"/>
        <w:ind w:left="660" w:hanging="4"/>
        <w:spacing w:after="0" w:line="273" w:lineRule="auto"/>
        <w:tabs>
          <w:tab w:leader="none" w:pos="975"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78" w:lineRule="exact"/>
        <w:rPr>
          <w:rFonts w:ascii="Arial" w:cs="Arial" w:eastAsia="Arial" w:hAnsi="Arial"/>
          <w:sz w:val="17"/>
          <w:szCs w:val="17"/>
          <w:color w:val="auto"/>
        </w:rPr>
      </w:pPr>
    </w:p>
    <w:p>
      <w:pPr>
        <w:ind w:left="660" w:hanging="4"/>
        <w:spacing w:after="0" w:line="277" w:lineRule="auto"/>
        <w:tabs>
          <w:tab w:leader="none" w:pos="969"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70" w:lineRule="exact"/>
        <w:rPr>
          <w:sz w:val="20"/>
          <w:szCs w:val="20"/>
          <w:color w:val="auto"/>
        </w:rPr>
      </w:pPr>
    </w:p>
    <w:p>
      <w:pPr>
        <w:jc w:val="both"/>
        <w:ind w:firstLine="656"/>
        <w:spacing w:after="0" w:line="291" w:lineRule="auto"/>
        <w:tabs>
          <w:tab w:leader="none" w:pos="91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Credit Party, that the Administrative Agent is not a fiduciary with respect to the assets of such Lender involved in such Lender’s entrance into, participation in, administration of and performance of the Loans, the Commitments and this Agreement (including in connection with the reservation or exercise of any rights by the Administrative Agent under this Agreement, any Credit Document or any documents related hereto or thereto).</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WYNN RESORTS, LIMITED</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2754630</wp:posOffset>
            </wp:positionH>
            <wp:positionV relativeFrom="paragraph">
              <wp:posOffset>-10160</wp:posOffset>
            </wp:positionV>
            <wp:extent cx="10731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073150" cy="8890"/>
                    </a:xfrm>
                    <a:prstGeom prst="rect">
                      <a:avLst/>
                    </a:prstGeom>
                    <a:noFill/>
                  </pic:spPr>
                </pic:pic>
              </a:graphicData>
            </a:graphic>
          </wp:anchor>
        </w:drawing>
      </w:r>
    </w:p>
    <w:p>
      <w:pPr>
        <w:spacing w:after="0" w:line="3" w:lineRule="exact"/>
        <w:rPr>
          <w:sz w:val="20"/>
          <w:szCs w:val="20"/>
          <w:color w:val="auto"/>
        </w:rPr>
      </w:pPr>
    </w:p>
    <w:p>
      <w:pPr>
        <w:ind w:left="8220"/>
        <w:spacing w:after="0"/>
        <w:rPr>
          <w:sz w:val="20"/>
          <w:szCs w:val="20"/>
          <w:color w:val="auto"/>
        </w:rPr>
      </w:pPr>
      <w:r>
        <w:rPr>
          <w:rFonts w:ascii="Arial" w:cs="Arial" w:eastAsia="Arial" w:hAnsi="Arial"/>
          <w:sz w:val="18"/>
          <w:szCs w:val="18"/>
          <w:color w:val="auto"/>
        </w:rPr>
        <w:t>Name: Craig S. Billings</w:t>
      </w:r>
    </w:p>
    <w:p>
      <w:pPr>
        <w:spacing w:after="0" w:line="9"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Title: Chief Financial Officer and Treasurer</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 for Borrower and each Guarantor:</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Las Vegas, Nevada 89109</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 Chief Financial Officer</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With a copy to:</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 General Counsel</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WYNN GROUP ASIA, INC.</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3589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Craig S. Billings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Treasurer</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WYNN RESORTS HOLDINGS, LLC</w:t>
      </w:r>
      <w:r>
        <w:rPr>
          <w:rFonts w:ascii="Arial" w:cs="Arial" w:eastAsia="Arial" w:hAnsi="Arial"/>
          <w:sz w:val="18"/>
          <w:szCs w:val="18"/>
          <w:color w:val="auto"/>
        </w:rPr>
        <w:t>,</w:t>
      </w:r>
    </w:p>
    <w:p>
      <w:pPr>
        <w:spacing w:after="0" w:line="9" w:lineRule="exact"/>
        <w:rPr>
          <w:sz w:val="20"/>
          <w:szCs w:val="20"/>
          <w:color w:val="auto"/>
        </w:rPr>
      </w:pPr>
    </w:p>
    <w:p>
      <w:pPr>
        <w:ind w:left="3900"/>
        <w:spacing w:after="0"/>
        <w:tabs>
          <w:tab w:leader="none" w:pos="4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Wynn Resorts, Limited, its sole member</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3589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Craig S. Billings</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Chief Financial Officer and Treasurer</w:t>
      </w: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Administrative Agent</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Alicia Shug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2509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Alicia Shug</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Maria Guinchard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3773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Maria Guinchard</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ectPr>
          <w:pgSz w:w="11900" w:h="16838" w:orient="portrait"/>
          <w:cols w:equalWidth="0" w:num="1">
            <w:col w:w="11420"/>
          </w:cols>
          <w:pgMar w:left="240" w:top="125" w:right="239" w:bottom="369" w:gutter="0" w:footer="0" w:header="0"/>
        </w:sectPr>
      </w:pPr>
    </w:p>
    <w:bookmarkStart w:id="133" w:name="page134"/>
    <w:bookmarkEnd w:id="133"/>
    <w:p>
      <w:pPr>
        <w:ind w:left="39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60 Wall Street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 Mark Kellam</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No.: 866 240-3622</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No.: 904 271-2469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mark.kellam@db.com</w:t>
      </w:r>
      <w:r>
        <w:rPr>
          <w:rFonts w:ascii="Arial" w:cs="Arial" w:eastAsia="Arial" w:hAnsi="Arial"/>
          <w:sz w:val="18"/>
          <w:szCs w:val="18"/>
          <w:color w:val="auto"/>
        </w:rPr>
        <w:t xml:space="preserve"> with a cc to </w:t>
      </w:r>
      <w:r>
        <w:rPr>
          <w:rFonts w:ascii="Arial" w:cs="Arial" w:eastAsia="Arial" w:hAnsi="Arial"/>
          <w:sz w:val="18"/>
          <w:szCs w:val="18"/>
          <w:u w:val="single" w:color="auto"/>
          <w:color w:val="0000FF"/>
        </w:rPr>
        <w:t>NA.Agencyservicing@db.com</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philip.tancorra@db.com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Alicia Shug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2509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Alicia Shug</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Maria Guinchard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37731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6">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Maria Guinchard</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Address for Notices:</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60 Wall Street</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New York, NY 10005</w:t>
      </w:r>
    </w:p>
    <w:p>
      <w:pPr>
        <w:spacing w:after="0" w:line="21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Contact Person: Mark Kellam</w:t>
      </w:r>
    </w:p>
    <w:p>
      <w:pPr>
        <w:spacing w:after="0" w:line="2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Facsimile No.: 866 240-3622</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Telephone No.: 904 271-2469</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mark.kellam@db.com</w:t>
      </w:r>
      <w:r>
        <w:rPr>
          <w:rFonts w:ascii="Arial" w:cs="Arial" w:eastAsia="Arial" w:hAnsi="Arial"/>
          <w:sz w:val="16"/>
          <w:szCs w:val="16"/>
          <w:color w:val="auto"/>
        </w:rPr>
        <w:t xml:space="preserve"> with a cc to </w:t>
      </w:r>
      <w:r>
        <w:rPr>
          <w:rFonts w:ascii="Arial" w:cs="Arial" w:eastAsia="Arial" w:hAnsi="Arial"/>
          <w:sz w:val="16"/>
          <w:szCs w:val="16"/>
          <w:u w:val="single" w:color="auto"/>
          <w:color w:val="0000FF"/>
        </w:rPr>
        <w:t>NA.Agencyservicing@db.com</w:t>
      </w:r>
      <w:r>
        <w:rPr>
          <w:rFonts w:ascii="Arial" w:cs="Arial" w:eastAsia="Arial" w:hAnsi="Arial"/>
          <w:sz w:val="16"/>
          <w:szCs w:val="16"/>
          <w:color w:val="auto"/>
        </w:rPr>
        <w:t xml:space="preserve"> and </w:t>
      </w:r>
      <w:r>
        <w:rPr>
          <w:rFonts w:ascii="Arial" w:cs="Arial" w:eastAsia="Arial" w:hAnsi="Arial"/>
          <w:sz w:val="16"/>
          <w:szCs w:val="16"/>
          <w:u w:val="single" w:color="auto"/>
          <w:color w:val="0000FF"/>
        </w:rPr>
        <w:t>philip.tancorra@db.com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a Lender</w:t>
      </w:r>
    </w:p>
    <w:p>
      <w:pPr>
        <w:spacing w:after="0" w:line="200" w:lineRule="exact"/>
        <w:rPr>
          <w:sz w:val="20"/>
          <w:szCs w:val="20"/>
          <w:color w:val="auto"/>
        </w:rPr>
      </w:pPr>
    </w:p>
    <w:p>
      <w:pPr>
        <w:spacing w:after="0" w:line="245"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Alicia Shug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2509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7">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Alicia Shug</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ind w:left="3900"/>
        <w:spacing w:after="0"/>
        <w:tabs>
          <w:tab w:leader="none" w:pos="4360" w:val="left"/>
        </w:tabs>
        <w:rPr>
          <w:sz w:val="20"/>
          <w:szCs w:val="20"/>
          <w:color w:val="auto"/>
        </w:rPr>
      </w:pPr>
      <w:r>
        <w:rPr>
          <w:rFonts w:ascii="Arial" w:cs="Arial" w:eastAsia="Arial" w:hAnsi="Arial"/>
          <w:sz w:val="18"/>
          <w:szCs w:val="18"/>
          <w:color w:val="auto"/>
        </w:rPr>
        <w:t>By:</w:t>
        <w:tab/>
        <w:t>/s/ Maria Guinchard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2668270</wp:posOffset>
            </wp:positionH>
            <wp:positionV relativeFrom="paragraph">
              <wp:posOffset>-10160</wp:posOffset>
            </wp:positionV>
            <wp:extent cx="13773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1377315" cy="8890"/>
                    </a:xfrm>
                    <a:prstGeom prst="rect">
                      <a:avLst/>
                    </a:prstGeom>
                    <a:noFill/>
                  </pic:spPr>
                </pic:pic>
              </a:graphicData>
            </a:graphic>
          </wp:anchor>
        </w:drawing>
      </w:r>
    </w:p>
    <w:p>
      <w:pPr>
        <w:spacing w:after="0" w:line="3" w:lineRule="exact"/>
        <w:rPr>
          <w:sz w:val="20"/>
          <w:szCs w:val="20"/>
          <w:color w:val="auto"/>
        </w:rPr>
      </w:pPr>
    </w:p>
    <w:p>
      <w:pPr>
        <w:ind w:left="3900"/>
        <w:spacing w:after="0"/>
        <w:tabs>
          <w:tab w:leader="none" w:pos="45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Maria Guinchard</w:t>
      </w:r>
    </w:p>
    <w:p>
      <w:pPr>
        <w:spacing w:after="0" w:line="9" w:lineRule="exact"/>
        <w:rPr>
          <w:sz w:val="20"/>
          <w:szCs w:val="20"/>
          <w:color w:val="auto"/>
        </w:rPr>
      </w:pPr>
    </w:p>
    <w:p>
      <w:pPr>
        <w:ind w:left="3900"/>
        <w:spacing w:after="0"/>
        <w:tabs>
          <w:tab w:leader="none" w:pos="44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4"/>
          <w:szCs w:val="14"/>
          <w:color w:val="auto"/>
        </w:rPr>
        <w:t>US-DOCS\103582357.6</w:t>
      </w:r>
    </w:p>
    <w:p>
      <w:pPr>
        <w:sectPr>
          <w:pgSz w:w="11900" w:h="16838" w:orient="portrait"/>
          <w:cols w:equalWidth="0" w:num="1">
            <w:col w:w="11280"/>
          </w:cols>
          <w:pgMar w:left="240" w:top="125" w:right="37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171" w:lineRule="exact"/>
        <w:rPr>
          <w:sz w:val="20"/>
          <w:szCs w:val="20"/>
          <w:color w:val="auto"/>
        </w:rPr>
      </w:pPr>
    </w:p>
    <w:p>
      <w:pPr>
        <w:ind w:left="820" w:hanging="812"/>
        <w:spacing w:after="0"/>
        <w:tabs>
          <w:tab w:leader="none" w:pos="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7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 and 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661"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171" w:lineRule="exact"/>
        <w:rPr>
          <w:sz w:val="20"/>
          <w:szCs w:val="20"/>
          <w:color w:val="auto"/>
        </w:rPr>
      </w:pPr>
    </w:p>
    <w:p>
      <w:pPr>
        <w:ind w:left="820" w:hanging="812"/>
        <w:spacing w:after="0"/>
        <w:tabs>
          <w:tab w:leader="none" w:pos="8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71"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820" w:right="120" w:hanging="812"/>
        <w:spacing w:after="0" w:line="264" w:lineRule="auto"/>
        <w:tabs>
          <w:tab w:leader="none" w:pos="8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620" w:right="200" w:hanging="802"/>
        <w:spacing w:after="0" w:line="286" w:lineRule="auto"/>
        <w:tabs>
          <w:tab w:leader="none" w:pos="162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802"/>
        <w:spacing w:after="0" w:line="264" w:lineRule="auto"/>
        <w:tabs>
          <w:tab w:leader="none" w:pos="16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802"/>
        <w:spacing w:after="0" w:line="342" w:lineRule="auto"/>
        <w:tabs>
          <w:tab w:leader="none" w:pos="1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802"/>
        <w:spacing w:after="0" w:line="264" w:lineRule="auto"/>
        <w:tabs>
          <w:tab w:leader="none" w:pos="16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820" w:right="20" w:hanging="812"/>
        <w:spacing w:after="0" w:line="308" w:lineRule="auto"/>
        <w:tabs>
          <w:tab w:leader="none" w:pos="82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620" w:right="300" w:hanging="802"/>
        <w:spacing w:after="0" w:line="342" w:lineRule="auto"/>
        <w:tabs>
          <w:tab w:leader="none" w:pos="1620" w:val="left"/>
        </w:tabs>
        <w:numPr>
          <w:ilvl w:val="1"/>
          <w:numId w:val="17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802"/>
        <w:spacing w:after="0" w:line="277" w:lineRule="auto"/>
        <w:tabs>
          <w:tab w:leader="none" w:pos="162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2018</w:t>
      </w:r>
    </w:p>
    <w:p>
      <w:pPr>
        <w:spacing w:after="0" w:line="252"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661"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September 30, 2018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133"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652"/>
        <w:spacing w:after="0"/>
        <w:tabs>
          <w:tab w:leader="none" w:pos="6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9878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9878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Matt Maddox</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Executive Officer and President</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7, 2018</w:t>
            </w:r>
          </w:p>
        </w:tc>
      </w:tr>
      <w:tr>
        <w:trPr>
          <w:trHeight w:val="405"/>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/s/ Craig S. Billings</w:t>
            </w:r>
          </w:p>
        </w:tc>
      </w:tr>
      <w:tr>
        <w:trPr>
          <w:trHeight w:val="27"/>
        </w:trPr>
        <w:tc>
          <w:tcPr>
            <w:tcW w:w="840" w:type="dxa"/>
            <w:vAlign w:val="bottom"/>
            <w:tcBorders>
              <w:bottom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r>
        <w:trPr>
          <w:trHeight w:val="237"/>
        </w:trPr>
        <w:tc>
          <w:tcPr>
            <w:tcW w:w="840" w:type="dxa"/>
            <w:vAlign w:val="bottom"/>
          </w:tcPr>
          <w:p>
            <w:pPr>
              <w:ind w:left="40"/>
              <w:spacing w:after="0"/>
              <w:rPr>
                <w:sz w:val="20"/>
                <w:szCs w:val="20"/>
                <w:color w:val="auto"/>
              </w:rPr>
            </w:pPr>
            <w:r>
              <w:rPr>
                <w:rFonts w:ascii="Arial" w:cs="Arial" w:eastAsia="Arial" w:hAnsi="Arial"/>
                <w:sz w:val="18"/>
                <w:szCs w:val="18"/>
                <w:color w:val="auto"/>
              </w:rPr>
              <w:t>Name:</w:t>
            </w:r>
          </w:p>
        </w:tc>
        <w:tc>
          <w:tcPr>
            <w:tcW w:w="5440" w:type="dxa"/>
            <w:vAlign w:val="bottom"/>
          </w:tcPr>
          <w:p>
            <w:pPr>
              <w:ind w:left="340"/>
              <w:spacing w:after="0"/>
              <w:rPr>
                <w:sz w:val="20"/>
                <w:szCs w:val="20"/>
                <w:color w:val="auto"/>
              </w:rPr>
            </w:pPr>
            <w:r>
              <w:rPr>
                <w:rFonts w:ascii="Arial" w:cs="Arial" w:eastAsia="Arial" w:hAnsi="Arial"/>
                <w:sz w:val="18"/>
                <w:szCs w:val="18"/>
                <w:color w:val="auto"/>
              </w:rPr>
              <w:t>Craig S. Billings</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Title:</w:t>
            </w:r>
          </w:p>
        </w:tc>
        <w:tc>
          <w:tcPr>
            <w:tcW w:w="5440" w:type="dxa"/>
            <w:vAlign w:val="bottom"/>
          </w:tcPr>
          <w:p>
            <w:pPr>
              <w:ind w:left="340"/>
              <w:spacing w:after="0"/>
              <w:rPr>
                <w:sz w:val="20"/>
                <w:szCs w:val="20"/>
                <w:color w:val="auto"/>
              </w:rPr>
            </w:pPr>
            <w:r>
              <w:rPr>
                <w:rFonts w:ascii="Arial" w:cs="Arial" w:eastAsia="Arial" w:hAnsi="Arial"/>
                <w:sz w:val="18"/>
                <w:szCs w:val="18"/>
                <w:color w:val="auto"/>
              </w:rPr>
              <w:t>Chief Financial Officer and Treasurer</w:t>
            </w:r>
          </w:p>
        </w:tc>
      </w:tr>
      <w:tr>
        <w:trPr>
          <w:trHeight w:val="270"/>
        </w:trPr>
        <w:tc>
          <w:tcPr>
            <w:tcW w:w="840" w:type="dxa"/>
            <w:vAlign w:val="bottom"/>
          </w:tcPr>
          <w:p>
            <w:pPr>
              <w:spacing w:after="0"/>
              <w:rPr>
                <w:sz w:val="23"/>
                <w:szCs w:val="23"/>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Date:</w:t>
            </w:r>
          </w:p>
        </w:tc>
        <w:tc>
          <w:tcPr>
            <w:tcW w:w="5440" w:type="dxa"/>
            <w:vAlign w:val="bottom"/>
          </w:tcPr>
          <w:p>
            <w:pPr>
              <w:ind w:left="340"/>
              <w:spacing w:after="0"/>
              <w:rPr>
                <w:sz w:val="20"/>
                <w:szCs w:val="20"/>
                <w:color w:val="auto"/>
              </w:rPr>
            </w:pPr>
            <w:r>
              <w:rPr>
                <w:rFonts w:ascii="Arial" w:cs="Arial" w:eastAsia="Arial" w:hAnsi="Arial"/>
                <w:sz w:val="18"/>
                <w:szCs w:val="18"/>
                <w:color w:val="auto"/>
              </w:rPr>
              <w:t>November 7, 2018</w:t>
            </w:r>
          </w:p>
        </w:tc>
      </w:tr>
    </w:tbl>
    <w:p>
      <w:pPr>
        <w:spacing w:after="0" w:line="94"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66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272110"/>
    <w:multiLevelType w:val="hybridMultilevel"/>
    <w:lvl w:ilvl="0">
      <w:lvlJc w:val="left"/>
      <w:lvlText w:val="x"/>
      <w:numFmt w:val="bullet"/>
      <w:start w:val="1"/>
    </w:lvl>
  </w:abstractNum>
  <w:abstractNum w:abstractNumId="1">
    <w:nsid w:val="4C04A8AF"/>
    <w:multiLevelType w:val="hybridMultilevel"/>
    <w:lvl w:ilvl="0">
      <w:lvlJc w:val="left"/>
      <w:lvlText w:val="☐"/>
      <w:numFmt w:val="bullet"/>
      <w:start w:val="1"/>
    </w:lvl>
  </w:abstractNum>
  <w:abstractNum w:abstractNumId="2">
    <w:nsid w:val="1716703B"/>
    <w:multiLevelType w:val="hybridMultilevel"/>
    <w:lvl w:ilvl="0">
      <w:lvlJc w:val="left"/>
      <w:lvlText w:val="(%1)"/>
      <w:numFmt w:val="decimal"/>
      <w:start w:val="1"/>
    </w:lvl>
  </w:abstractNum>
  <w:abstractNum w:abstractNumId="3">
    <w:nsid w:val="14E17E33"/>
    <w:multiLevelType w:val="hybridMultilevel"/>
    <w:lvl w:ilvl="0">
      <w:lvlJc w:val="left"/>
      <w:lvlText w:val="(%1)"/>
      <w:numFmt w:val="decimal"/>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1)"/>
      <w:numFmt w:val="decimal"/>
      <w:start w:val="2"/>
    </w:lvl>
  </w:abstractNum>
  <w:abstractNum w:abstractNumId="7">
    <w:nsid w:val="2DF6D648"/>
    <w:multiLevelType w:val="hybridMultilevel"/>
    <w:lvl w:ilvl="0">
      <w:lvlJc w:val="left"/>
      <w:lvlText w:val="(%1)"/>
      <w:numFmt w:val="decimal"/>
      <w:start w:val="1"/>
    </w:lvl>
  </w:abstractNum>
  <w:abstractNum w:abstractNumId="8">
    <w:nsid w:val="46B7D447"/>
    <w:multiLevelType w:val="hybridMultilevel"/>
    <w:lvl w:ilvl="0">
      <w:lvlJc w:val="left"/>
      <w:lvlText w:val="(%1)"/>
      <w:numFmt w:val="decimal"/>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1)"/>
      <w:numFmt w:val="decimal"/>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1)"/>
      <w:numFmt w:val="lowerLetter"/>
      <w:start w:val="1"/>
    </w:lvl>
  </w:abstractNum>
  <w:abstractNum w:abstractNumId="17">
    <w:nsid w:val="49DA307D"/>
    <w:multiLevelType w:val="hybridMultilevel"/>
    <w:lvl w:ilvl="0">
      <w:lvlJc w:val="left"/>
      <w:lvlText w:val="(%1)"/>
      <w:numFmt w:val="lowerLetter"/>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1)"/>
      <w:numFmt w:val="lowerLetter"/>
      <w:start w:val="2"/>
    </w:lvl>
  </w:abstractNum>
  <w:abstractNum w:abstractNumId="20">
    <w:nsid w:val="50801EE1"/>
    <w:multiLevelType w:val="hybridMultilevel"/>
    <w:lvl w:ilvl="0">
      <w:lvlJc w:val="left"/>
      <w:lvlText w:val="(%1)"/>
      <w:numFmt w:val="lowerLetter"/>
      <w:start w:val="1"/>
    </w:lvl>
  </w:abstractNum>
  <w:abstractNum w:abstractNumId="21">
    <w:nsid w:val="488AC1A"/>
    <w:multiLevelType w:val="hybridMultilevel"/>
    <w:lvl w:ilvl="0">
      <w:lvlJc w:val="left"/>
      <w:lvlText w:val="(%1)"/>
      <w:numFmt w:val="lowerLetter"/>
      <w:start w:val="25"/>
    </w:lvl>
  </w:abstractNum>
  <w:abstractNum w:abstractNumId="22">
    <w:nsid w:val="5FB8011C"/>
    <w:multiLevelType w:val="hybridMultilevel"/>
    <w:lvl w:ilvl="0">
      <w:lvlJc w:val="left"/>
      <w:lvlText w:val="(%1)"/>
      <w:numFmt w:val="lowerLetter"/>
      <w:start w:val="8"/>
    </w:lvl>
  </w:abstractNum>
  <w:abstractNum w:abstractNumId="23">
    <w:nsid w:val="6AA78F7F"/>
    <w:multiLevelType w:val="hybridMultilevel"/>
    <w:lvl w:ilvl="0">
      <w:lvlJc w:val="left"/>
      <w:lvlText w:val="%1"/>
      <w:numFmt w:val="decimal"/>
      <w:start w:val="1"/>
    </w:lvl>
    <w:lvl w:ilvl="1">
      <w:lvlJc w:val="left"/>
      <w:lvlText w:val="(%2)"/>
      <w:numFmt w:val="lowerLetter"/>
      <w:start w:val="1"/>
    </w:lvl>
  </w:abstractNum>
  <w:abstractNum w:abstractNumId="24">
    <w:nsid w:val="7672BD23"/>
    <w:multiLevelType w:val="hybridMultilevel"/>
    <w:lvl w:ilvl="0">
      <w:lvlJc w:val="left"/>
      <w:lvlText w:val="(%1)"/>
      <w:numFmt w:val="decimal"/>
      <w:start w:val="3"/>
    </w:lvl>
    <w:lvl w:ilvl="1">
      <w:lvlJc w:val="left"/>
      <w:lvlText w:val="(%2)"/>
      <w:numFmt w:val="lowerLetter"/>
      <w:start w:val="2"/>
    </w:lvl>
  </w:abstractNum>
  <w:abstractNum w:abstractNumId="25">
    <w:nsid w:val="6FC75AF8"/>
    <w:multiLevelType w:val="hybridMultilevel"/>
    <w:lvl w:ilvl="0">
      <w:lvlJc w:val="left"/>
      <w:lvlText w:val="(%1)"/>
      <w:numFmt w:val="lowerLetter"/>
      <w:start w:val="1"/>
    </w:lvl>
  </w:abstractNum>
  <w:abstractNum w:abstractNumId="26">
    <w:nsid w:val="6A5F702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7">
    <w:nsid w:val="7D5E18F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8">
    <w:nsid w:val="5F3534A4"/>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29">
    <w:nsid w:val="73A1821B"/>
    <w:multiLevelType w:val="hybridMultilevel"/>
    <w:lvl w:ilvl="0">
      <w:lvlJc w:val="left"/>
      <w:lvlText w:val="(%1)"/>
      <w:numFmt w:val="lowerLetter"/>
      <w:start w:val="5"/>
    </w:lvl>
  </w:abstractNum>
  <w:abstractNum w:abstractNumId="30">
    <w:nsid w:val="7DE67713"/>
    <w:multiLevelType w:val="hybridMultilevel"/>
    <w:lvl w:ilvl="0">
      <w:lvlJc w:val="left"/>
      <w:lvlText w:val="(%1)"/>
      <w:numFmt w:val="upperLetter"/>
      <w:start w:val="1"/>
    </w:lvl>
  </w:abstractNum>
  <w:abstractNum w:abstractNumId="31">
    <w:nsid w:val="555C55B5"/>
    <w:multiLevelType w:val="hybridMultilevel"/>
    <w:lvl w:ilvl="0">
      <w:lvlJc w:val="left"/>
      <w:lvlText w:val="(%1)"/>
      <w:numFmt w:val="lowerRoman"/>
      <w:start w:val="10"/>
    </w:lvl>
  </w:abstractNum>
  <w:abstractNum w:abstractNumId="32">
    <w:nsid w:val="3FA62ACA"/>
    <w:multiLevelType w:val="hybridMultilevel"/>
    <w:lvl w:ilvl="0">
      <w:lvlJc w:val="left"/>
      <w:lvlText w:val="(%1)"/>
      <w:numFmt w:val="lowerLetter"/>
      <w:start w:val="1"/>
    </w:lvl>
  </w:abstractNum>
  <w:abstractNum w:abstractNumId="33">
    <w:nsid w:val="14FCE74E"/>
    <w:multiLevelType w:val="hybridMultilevel"/>
    <w:lvl w:ilvl="0">
      <w:lvlJc w:val="left"/>
      <w:lvlText w:val="(%1)"/>
      <w:numFmt w:val="lowerLetter"/>
      <w:start w:val="12"/>
    </w:lvl>
  </w:abstractNum>
  <w:abstractNum w:abstractNumId="34">
    <w:nsid w:val="6A3DD3E8"/>
    <w:multiLevelType w:val="hybridMultilevel"/>
    <w:lvl w:ilvl="0">
      <w:lvlJc w:val="left"/>
      <w:lvlText w:val="(%1)"/>
      <w:numFmt w:val="lowerLetter"/>
      <w:start w:val="1"/>
    </w:lvl>
  </w:abstractNum>
  <w:abstractNum w:abstractNumId="35">
    <w:nsid w:val="71C91298"/>
    <w:multiLevelType w:val="hybridMultilevel"/>
    <w:lvl w:ilvl="0">
      <w:lvlJc w:val="left"/>
      <w:lvlText w:val="(%1)"/>
      <w:numFmt w:val="lowerLetter"/>
      <w:start w:val="2"/>
    </w:lvl>
  </w:abstractNum>
  <w:abstractNum w:abstractNumId="36">
    <w:nsid w:val="9DAF632"/>
    <w:multiLevelType w:val="hybridMultilevel"/>
    <w:lvl w:ilvl="0">
      <w:lvlJc w:val="left"/>
      <w:lvlText w:val="(%1)"/>
      <w:numFmt w:val="lowerLetter"/>
      <w:start w:val="2"/>
    </w:lvl>
  </w:abstractNum>
  <w:abstractNum w:abstractNumId="37">
    <w:nsid w:val="53299938"/>
    <w:multiLevelType w:val="hybridMultilevel"/>
    <w:lvl w:ilvl="0">
      <w:lvlJc w:val="left"/>
      <w:lvlText w:val="(%1)"/>
      <w:numFmt w:val="lowerLetter"/>
      <w:start w:val="25"/>
    </w:lvl>
  </w:abstractNum>
  <w:abstractNum w:abstractNumId="38">
    <w:nsid w:val="1FBFE8E0"/>
    <w:multiLevelType w:val="hybridMultilevel"/>
    <w:lvl w:ilvl="0">
      <w:lvlJc w:val="left"/>
      <w:lvlText w:val="(%1)"/>
      <w:numFmt w:val="lowerLetter"/>
      <w:start w:val="2"/>
    </w:lvl>
  </w:abstractNum>
  <w:abstractNum w:abstractNumId="39">
    <w:nsid w:val="5092CA79"/>
    <w:multiLevelType w:val="hybridMultilevel"/>
    <w:lvl w:ilvl="0">
      <w:lvlJc w:val="left"/>
      <w:lvlText w:val="(%1)"/>
      <w:numFmt w:val="lowerLetter"/>
      <w:start w:val="61"/>
    </w:lvl>
  </w:abstractNum>
  <w:abstractNum w:abstractNumId="40">
    <w:nsid w:val="1D545C4D"/>
    <w:multiLevelType w:val="hybridMultilevel"/>
    <w:lvl w:ilvl="0">
      <w:lvlJc w:val="left"/>
      <w:lvlText w:val="(%1)"/>
      <w:numFmt w:val="lowerLetter"/>
      <w:start w:val="24"/>
    </w:lvl>
  </w:abstractNum>
  <w:abstractNum w:abstractNumId="41">
    <w:nsid w:val="59ADEA3D"/>
    <w:multiLevelType w:val="hybridMultilevel"/>
    <w:lvl w:ilvl="0">
      <w:lvlJc w:val="left"/>
      <w:lvlText w:val="(%1)"/>
      <w:numFmt w:val="lowerLetter"/>
      <w:start w:val="10"/>
    </w:lvl>
  </w:abstractNum>
  <w:abstractNum w:abstractNumId="42">
    <w:nsid w:val="288F1A34"/>
    <w:multiLevelType w:val="hybridMultilevel"/>
    <w:lvl w:ilvl="0">
      <w:lvlJc w:val="left"/>
      <w:lvlText w:val="(%1)"/>
      <w:numFmt w:val="lowerLetter"/>
      <w:start w:val="1"/>
    </w:lvl>
  </w:abstractNum>
  <w:abstractNum w:abstractNumId="43">
    <w:nsid w:val="2A155DBC"/>
    <w:multiLevelType w:val="hybridMultilevel"/>
    <w:lvl w:ilvl="0">
      <w:lvlJc w:val="left"/>
      <w:lvlText w:val="(%1)"/>
      <w:numFmt w:val="lowerLetter"/>
      <w:start w:val="8"/>
    </w:lvl>
  </w:abstractNum>
  <w:abstractNum w:abstractNumId="44">
    <w:nsid w:val="1D9F6E5F"/>
    <w:multiLevelType w:val="hybridMultilevel"/>
    <w:lvl w:ilvl="0">
      <w:lvlJc w:val="left"/>
      <w:lvlText w:val="(%1)"/>
      <w:numFmt w:val="lowerRoman"/>
      <w:start w:val="3"/>
    </w:lvl>
  </w:abstractNum>
  <w:abstractNum w:abstractNumId="45">
    <w:nsid w:val="97E1B4E"/>
    <w:multiLevelType w:val="hybridMultilevel"/>
    <w:lvl w:ilvl="0">
      <w:lvlJc w:val="left"/>
      <w:lvlText w:val="(%1)"/>
      <w:numFmt w:val="lowerRoman"/>
      <w:start w:val="1"/>
    </w:lvl>
  </w:abstractNum>
  <w:abstractNum w:abstractNumId="46">
    <w:nsid w:val="51088277"/>
    <w:multiLevelType w:val="hybridMultilevel"/>
    <w:lvl w:ilvl="0">
      <w:lvlJc w:val="left"/>
      <w:lvlText w:val="(%1)"/>
      <w:numFmt w:val="lowerLetter"/>
      <w:start w:val="3"/>
    </w:lvl>
  </w:abstractNum>
  <w:abstractNum w:abstractNumId="47">
    <w:nsid w:val="1CA0C5FA"/>
    <w:multiLevelType w:val="hybridMultilevel"/>
    <w:lvl w:ilvl="0">
      <w:lvlJc w:val="left"/>
      <w:lvlText w:val="%1"/>
      <w:numFmt w:val="upperLetter"/>
      <w:start w:val="1"/>
    </w:lvl>
    <w:lvl w:ilvl="1">
      <w:lvlJc w:val="left"/>
      <w:lvlText w:val="(%2)"/>
      <w:numFmt w:val="lowerRoman"/>
      <w:start w:val="1"/>
    </w:lvl>
  </w:abstractNum>
  <w:abstractNum w:abstractNumId="48">
    <w:nsid w:val="53584BCB"/>
    <w:multiLevelType w:val="hybridMultilevel"/>
    <w:lvl w:ilvl="0">
      <w:lvlJc w:val="left"/>
      <w:lvlText w:val="(%1)"/>
      <w:numFmt w:val="upperLetter"/>
      <w:start w:val="5"/>
    </w:lvl>
    <w:lvl w:ilvl="1">
      <w:lvlJc w:val="left"/>
      <w:lvlText w:val="(%2)"/>
      <w:numFmt w:val="lowerRoman"/>
      <w:start w:val="2"/>
    </w:lvl>
  </w:abstractNum>
  <w:abstractNum w:abstractNumId="49">
    <w:nsid w:val="415E286C"/>
    <w:multiLevelType w:val="hybridMultilevel"/>
    <w:lvl w:ilvl="0">
      <w:lvlJc w:val="left"/>
      <w:lvlText w:val="(%1)"/>
      <w:numFmt w:val="lowerRoman"/>
      <w:start w:val="3"/>
    </w:lvl>
  </w:abstractNum>
  <w:abstractNum w:abstractNumId="50">
    <w:nsid w:val="7C58FD05"/>
    <w:multiLevelType w:val="hybridMultilevel"/>
    <w:lvl w:ilvl="0">
      <w:lvlJc w:val="left"/>
      <w:lvlText w:val="(%1)"/>
      <w:numFmt w:val="lowerLetter"/>
      <w:start w:val="2"/>
    </w:lvl>
  </w:abstractNum>
  <w:abstractNum w:abstractNumId="51">
    <w:nsid w:val="23D86AAC"/>
    <w:multiLevelType w:val="hybridMultilevel"/>
    <w:lvl w:ilvl="0">
      <w:lvlJc w:val="left"/>
      <w:lvlText w:val="(%1)"/>
      <w:numFmt w:val="lowerLetter"/>
      <w:start w:val="2"/>
    </w:lvl>
  </w:abstractNum>
  <w:abstractNum w:abstractNumId="52">
    <w:nsid w:val="45E6D486"/>
    <w:multiLevelType w:val="hybridMultilevel"/>
    <w:lvl w:ilvl="0">
      <w:lvlJc w:val="left"/>
      <w:lvlText w:val="(%1)"/>
      <w:numFmt w:val="decimal"/>
      <w:start w:val="2"/>
    </w:lvl>
  </w:abstractNum>
  <w:abstractNum w:abstractNumId="53">
    <w:nsid w:val="5C10FE21"/>
    <w:multiLevelType w:val="hybridMultilevel"/>
    <w:lvl w:ilvl="0">
      <w:lvlJc w:val="left"/>
      <w:lvlText w:val="(%1)"/>
      <w:numFmt w:val="lowerRoman"/>
      <w:start w:val="4"/>
    </w:lvl>
  </w:abstractNum>
  <w:abstractNum w:abstractNumId="54">
    <w:nsid w:val="E7FFA2B"/>
    <w:multiLevelType w:val="hybridMultilevel"/>
    <w:lvl w:ilvl="0">
      <w:lvlJc w:val="left"/>
      <w:lvlText w:val="(%1)"/>
      <w:numFmt w:val="lowerLetter"/>
      <w:start w:val="3"/>
    </w:lvl>
  </w:abstractNum>
  <w:abstractNum w:abstractNumId="55">
    <w:nsid w:val="3C5991AA"/>
    <w:multiLevelType w:val="hybridMultilevel"/>
    <w:lvl w:ilvl="0">
      <w:lvlJc w:val="left"/>
      <w:lvlText w:val="(%1)"/>
      <w:numFmt w:val="lowerLetter"/>
      <w:start w:val="2"/>
    </w:lvl>
  </w:abstractNum>
  <w:abstractNum w:abstractNumId="56">
    <w:nsid w:val="4BD8591A"/>
    <w:multiLevelType w:val="hybridMultilevel"/>
    <w:lvl w:ilvl="0">
      <w:lvlJc w:val="left"/>
      <w:lvlText w:val="(%1)"/>
      <w:numFmt w:val="lowerLetter"/>
      <w:start w:val="1"/>
    </w:lvl>
  </w:abstractNum>
  <w:abstractNum w:abstractNumId="57">
    <w:nsid w:val="78DF6A55"/>
    <w:multiLevelType w:val="hybridMultilevel"/>
    <w:lvl w:ilvl="0">
      <w:lvlJc w:val="left"/>
      <w:lvlText w:val="%1"/>
      <w:numFmt w:val="lowerRoman"/>
      <w:start w:val="1"/>
    </w:lvl>
    <w:lvl w:ilvl="1">
      <w:lvlJc w:val="left"/>
      <w:lvlText w:val="(%2)"/>
      <w:numFmt w:val="lowerLetter"/>
      <w:start w:val="2"/>
    </w:lvl>
  </w:abstractNum>
  <w:abstractNum w:abstractNumId="58">
    <w:nsid w:val="39B7AAA2"/>
    <w:multiLevelType w:val="hybridMultilevel"/>
    <w:lvl w:ilvl="0">
      <w:lvlJc w:val="left"/>
      <w:lvlText w:val="(%1)"/>
      <w:numFmt w:val="lowerRoman"/>
      <w:start w:val="1"/>
    </w:lvl>
    <w:lvl w:ilvl="1">
      <w:lvlJc w:val="left"/>
      <w:lvlText w:val="%2"/>
      <w:numFmt w:val="lowerLetter"/>
      <w:start w:val="1"/>
    </w:lvl>
  </w:abstractNum>
  <w:abstractNum w:abstractNumId="59">
    <w:nsid w:val="2B0D8DBE"/>
    <w:multiLevelType w:val="hybridMultilevel"/>
    <w:lvl w:ilvl="0">
      <w:lvlJc w:val="left"/>
      <w:lvlText w:val="(%1)"/>
      <w:numFmt w:val="lowerRoman"/>
      <w:start w:val="6"/>
    </w:lvl>
    <w:lvl w:ilvl="1">
      <w:lvlJc w:val="left"/>
      <w:lvlText w:val="(%2)"/>
      <w:numFmt w:val="lowerLetter"/>
      <w:start w:val="3"/>
    </w:lvl>
  </w:abstractNum>
  <w:abstractNum w:abstractNumId="60">
    <w:nsid w:val="6C80EC70"/>
    <w:multiLevelType w:val="hybridMultilevel"/>
    <w:lvl w:ilvl="0">
      <w:lvlJc w:val="left"/>
      <w:lvlText w:val="%1"/>
      <w:numFmt w:val="lowerLetter"/>
      <w:start w:val="1"/>
    </w:lvl>
    <w:lvl w:ilvl="1">
      <w:lvlJc w:val="left"/>
      <w:lvlText w:val="(%2)"/>
      <w:numFmt w:val="lowerLetter"/>
      <w:start w:val="1"/>
    </w:lvl>
  </w:abstractNum>
  <w:abstractNum w:abstractNumId="61">
    <w:nsid w:val="379E21B5"/>
    <w:multiLevelType w:val="hybridMultilevel"/>
    <w:lvl w:ilvl="0">
      <w:lvlJc w:val="left"/>
      <w:lvlText w:val="(%1)"/>
      <w:numFmt w:val="lowerLetter"/>
      <w:start w:val="35"/>
    </w:lvl>
    <w:lvl w:ilvl="1">
      <w:lvlJc w:val="left"/>
      <w:lvlText w:val="%2"/>
      <w:numFmt w:val="lowerLetter"/>
      <w:start w:val="1"/>
    </w:lvl>
  </w:abstractNum>
  <w:abstractNum w:abstractNumId="62">
    <w:nsid w:val="69E373"/>
    <w:multiLevelType w:val="hybridMultilevel"/>
    <w:lvl w:ilvl="0">
      <w:lvlJc w:val="left"/>
      <w:lvlText w:val="(%1)"/>
      <w:numFmt w:val="lowerLetter"/>
      <w:start w:val="1"/>
    </w:lvl>
  </w:abstractNum>
  <w:abstractNum w:abstractNumId="63">
    <w:nsid w:val="2C27173B"/>
    <w:multiLevelType w:val="hybridMultilevel"/>
    <w:lvl w:ilvl="0">
      <w:lvlJc w:val="left"/>
      <w:lvlText w:val="(%1)"/>
      <w:numFmt w:val="lowerLetter"/>
      <w:start w:val="4"/>
    </w:lvl>
  </w:abstractNum>
  <w:abstractNum w:abstractNumId="64">
    <w:nsid w:val="4C9B0904"/>
    <w:multiLevelType w:val="hybridMultilevel"/>
    <w:lvl w:ilvl="0">
      <w:lvlJc w:val="left"/>
      <w:lvlText w:val="(%1)"/>
      <w:numFmt w:val="lowerLetter"/>
      <w:start w:val="1"/>
    </w:lvl>
  </w:abstractNum>
  <w:abstractNum w:abstractNumId="65">
    <w:nsid w:val="6AA7B75C"/>
    <w:multiLevelType w:val="hybridMultilevel"/>
    <w:lvl w:ilvl="0">
      <w:lvlJc w:val="left"/>
      <w:lvlText w:val="%1"/>
      <w:numFmt w:val="lowerLetter"/>
      <w:start w:val="1"/>
    </w:lvl>
    <w:lvl w:ilvl="1">
      <w:lvlJc w:val="left"/>
      <w:lvlText w:val="(%2)"/>
      <w:numFmt w:val="lowerLetter"/>
      <w:start w:val="1"/>
    </w:lvl>
  </w:abstractNum>
  <w:abstractNum w:abstractNumId="66">
    <w:nsid w:val="1DF029D3"/>
    <w:multiLevelType w:val="hybridMultilevel"/>
    <w:lvl w:ilvl="0">
      <w:lvlJc w:val="left"/>
      <w:lvlText w:val="(%1)"/>
      <w:numFmt w:val="lowerLetter"/>
      <w:start w:val="24"/>
    </w:lvl>
    <w:lvl w:ilvl="1">
      <w:lvlJc w:val="left"/>
      <w:lvlText w:val="(%2)"/>
      <w:numFmt w:val="lowerLetter"/>
      <w:start w:val="2"/>
    </w:lvl>
  </w:abstractNum>
  <w:abstractNum w:abstractNumId="67">
    <w:nsid w:val="5675FF36"/>
    <w:multiLevelType w:val="hybridMultilevel"/>
    <w:lvl w:ilvl="0">
      <w:lvlJc w:val="left"/>
      <w:lvlText w:val="(%1)"/>
      <w:numFmt w:val="lowerLetter"/>
      <w:start w:val="3"/>
    </w:lvl>
  </w:abstractNum>
  <w:abstractNum w:abstractNumId="68">
    <w:nsid w:val="3DD15094"/>
    <w:multiLevelType w:val="hybridMultilevel"/>
    <w:lvl w:ilvl="0">
      <w:lvlJc w:val="left"/>
      <w:lvlText w:val="(%1)"/>
      <w:numFmt w:val="lowerLetter"/>
      <w:start w:val="1"/>
    </w:lvl>
  </w:abstractNum>
  <w:abstractNum w:abstractNumId="69">
    <w:nsid w:val="3DB012B3"/>
    <w:multiLevelType w:val="hybridMultilevel"/>
    <w:lvl w:ilvl="0">
      <w:lvlJc w:val="left"/>
      <w:lvlText w:val="(%1)"/>
      <w:numFmt w:val="lowerLetter"/>
      <w:start w:val="1"/>
    </w:lvl>
  </w:abstractNum>
  <w:abstractNum w:abstractNumId="70">
    <w:nsid w:val="2708C9AF"/>
    <w:multiLevelType w:val="hybridMultilevel"/>
    <w:lvl w:ilvl="0">
      <w:lvlJc w:val="left"/>
      <w:lvlText w:val="(%1)"/>
      <w:numFmt w:val="lowerLetter"/>
      <w:start w:val="1"/>
    </w:lvl>
    <w:lvl w:ilvl="1">
      <w:lvlJc w:val="left"/>
      <w:lvlText w:val="(%2)"/>
      <w:numFmt w:val="lowerLetter"/>
      <w:start w:val="9"/>
    </w:lvl>
  </w:abstractNum>
  <w:abstractNum w:abstractNumId="71">
    <w:nsid w:val="5B25ACE2"/>
    <w:multiLevelType w:val="hybridMultilevel"/>
    <w:lvl w:ilvl="0">
      <w:lvlJc w:val="left"/>
      <w:lvlText w:val="(%1)"/>
      <w:numFmt w:val="lowerRoman"/>
      <w:start w:val="2"/>
    </w:lvl>
  </w:abstractNum>
  <w:abstractNum w:abstractNumId="72">
    <w:nsid w:val="175DFCF0"/>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73">
    <w:nsid w:val="4F97E3E4"/>
    <w:multiLevelType w:val="hybridMultilevel"/>
    <w:lvl w:ilvl="0">
      <w:lvlJc w:val="left"/>
      <w:lvlText w:val="(%1)"/>
      <w:numFmt w:val="lowerRoman"/>
      <w:start w:val="2"/>
    </w:lvl>
    <w:lvl w:ilvl="1">
      <w:lvlJc w:val="left"/>
      <w:lvlText w:val="(%2)"/>
      <w:numFmt w:val="lowerLetter"/>
      <w:start w:val="24"/>
    </w:lvl>
  </w:abstractNum>
  <w:abstractNum w:abstractNumId="74">
    <w:nsid w:val="53B0A9E"/>
    <w:multiLevelType w:val="hybridMultilevel"/>
    <w:lvl w:ilvl="0">
      <w:lvlJc w:val="left"/>
      <w:lvlText w:val="%1"/>
      <w:numFmt w:val="lowerLetter"/>
      <w:start w:val="1"/>
    </w:lvl>
    <w:lvl w:ilvl="1">
      <w:lvlJc w:val="left"/>
      <w:lvlText w:val="(%2)"/>
      <w:numFmt w:val="lowerRoman"/>
      <w:start w:val="4"/>
    </w:lvl>
  </w:abstractNum>
  <w:abstractNum w:abstractNumId="75">
    <w:nsid w:val="34FD6B4F"/>
    <w:multiLevelType w:val="hybridMultilevel"/>
    <w:lvl w:ilvl="0">
      <w:lvlJc w:val="left"/>
      <w:lvlText w:val="(%1)"/>
      <w:numFmt w:val="lowerLetter"/>
      <w:start w:val="2"/>
    </w:lvl>
    <w:lvl w:ilvl="1">
      <w:lvlJc w:val="left"/>
      <w:lvlText w:val="(%2)"/>
      <w:numFmt w:val="lowerRoman"/>
      <w:start w:val="1"/>
    </w:lvl>
  </w:abstractNum>
  <w:abstractNum w:abstractNumId="76">
    <w:nsid w:val="5915FF32"/>
    <w:multiLevelType w:val="hybridMultilevel"/>
    <w:lvl w:ilvl="0">
      <w:lvlJc w:val="left"/>
      <w:lvlText w:val="%1"/>
      <w:numFmt w:val="lowerLetter"/>
      <w:start w:val="1"/>
    </w:lvl>
    <w:lvl w:ilvl="1">
      <w:lvlJc w:val="left"/>
      <w:lvlText w:val="(%2)"/>
      <w:numFmt w:val="lowerLetter"/>
      <w:start w:val="1"/>
    </w:lvl>
  </w:abstractNum>
  <w:abstractNum w:abstractNumId="77">
    <w:nsid w:val="56438D15"/>
    <w:multiLevelType w:val="hybridMultilevel"/>
    <w:lvl w:ilvl="0">
      <w:lvlJc w:val="left"/>
      <w:lvlText w:val="(%1)"/>
      <w:numFmt w:val="lowerLetter"/>
      <w:start w:val="9"/>
    </w:lvl>
    <w:lvl w:ilvl="1">
      <w:lvlJc w:val="left"/>
      <w:lvlText w:val="(%2)"/>
      <w:numFmt w:val="lowerLetter"/>
      <w:start w:val="2"/>
    </w:lvl>
  </w:abstractNum>
  <w:abstractNum w:abstractNumId="78">
    <w:nsid w:val="519E3149"/>
    <w:multiLevelType w:val="hybridMultilevel"/>
    <w:lvl w:ilvl="0">
      <w:lvlJc w:val="left"/>
      <w:lvlText w:val="(%1)"/>
      <w:numFmt w:val="lowerLetter"/>
      <w:start w:val="1"/>
    </w:lvl>
    <w:lvl w:ilvl="1">
      <w:lvlJc w:val="left"/>
      <w:lvlText w:val="(%2)"/>
      <w:numFmt w:val="lowerLetter"/>
      <w:start w:val="9"/>
    </w:lvl>
  </w:abstractNum>
  <w:abstractNum w:abstractNumId="79">
    <w:nsid w:val="2C6E4AFD"/>
    <w:multiLevelType w:val="hybridMultilevel"/>
    <w:lvl w:ilvl="0">
      <w:lvlJc w:val="left"/>
      <w:lvlText w:val="(%1)"/>
      <w:numFmt w:val="lowerRoman"/>
      <w:start w:val="2"/>
    </w:lvl>
  </w:abstractNum>
  <w:abstractNum w:abstractNumId="80">
    <w:nsid w:val="17A1B582"/>
    <w:multiLevelType w:val="hybridMultilevel"/>
    <w:lvl w:ilvl="0">
      <w:lvlJc w:val="left"/>
      <w:lvlText w:val="(%1)"/>
      <w:numFmt w:val="lowerLetter"/>
      <w:start w:val="3"/>
    </w:lvl>
  </w:abstractNum>
  <w:abstractNum w:abstractNumId="81">
    <w:nsid w:val="4DF72E4E"/>
    <w:multiLevelType w:val="hybridMultilevel"/>
    <w:lvl w:ilvl="0">
      <w:lvlJc w:val="left"/>
      <w:lvlText w:val="(%1)"/>
      <w:numFmt w:val="lowerLetter"/>
      <w:start w:val="1"/>
    </w:lvl>
  </w:abstractNum>
  <w:abstractNum w:abstractNumId="82">
    <w:nsid w:val="5046B5A9"/>
    <w:multiLevelType w:val="hybridMultilevel"/>
    <w:lvl w:ilvl="0">
      <w:lvlJc w:val="left"/>
      <w:lvlText w:val="(%1)"/>
      <w:numFmt w:val="lowerLetter"/>
      <w:start w:val="1"/>
    </w:lvl>
    <w:lvl w:ilvl="1">
      <w:lvlJc w:val="left"/>
      <w:lvlText w:val="(%2)"/>
      <w:numFmt w:val="lowerRoman"/>
      <w:start w:val="1"/>
    </w:lvl>
  </w:abstractNum>
  <w:abstractNum w:abstractNumId="83">
    <w:nsid w:val="5D888A08"/>
    <w:multiLevelType w:val="hybridMultilevel"/>
    <w:lvl w:ilvl="0">
      <w:lvlJc w:val="left"/>
      <w:lvlText w:val="(%1)"/>
      <w:numFmt w:val="lowerLetter"/>
      <w:start w:val="1"/>
    </w:lvl>
  </w:abstractNum>
  <w:abstractNum w:abstractNumId="84">
    <w:nsid w:val="2A082C70"/>
    <w:multiLevelType w:val="hybridMultilevel"/>
    <w:lvl w:ilvl="0">
      <w:lvlJc w:val="left"/>
      <w:lvlText w:val="(%1)"/>
      <w:numFmt w:val="lowerLetter"/>
      <w:start w:val="5"/>
    </w:lvl>
  </w:abstractNum>
  <w:abstractNum w:abstractNumId="85">
    <w:nsid w:val="5EC6AFD4"/>
    <w:multiLevelType w:val="hybridMultilevel"/>
    <w:lvl w:ilvl="0">
      <w:lvlJc w:val="left"/>
      <w:lvlText w:val="(%1)"/>
      <w:numFmt w:val="lowerLetter"/>
      <w:start w:val="1"/>
    </w:lvl>
  </w:abstractNum>
  <w:abstractNum w:abstractNumId="86">
    <w:nsid w:val="19E21BB2"/>
    <w:multiLevelType w:val="hybridMultilevel"/>
    <w:lvl w:ilvl="0">
      <w:lvlJc w:val="left"/>
      <w:lvlText w:val="(%1)"/>
      <w:numFmt w:val="lowerLetter"/>
      <w:start w:val="2"/>
    </w:lvl>
  </w:abstractNum>
  <w:abstractNum w:abstractNumId="87">
    <w:nsid w:val="75E0858A"/>
    <w:multiLevelType w:val="hybridMultilevel"/>
    <w:lvl w:ilvl="0">
      <w:lvlJc w:val="left"/>
      <w:lvlText w:val="(%1)"/>
      <w:numFmt w:val="lowerLetter"/>
      <w:start w:val="1"/>
    </w:lvl>
    <w:lvl w:ilvl="1">
      <w:lvlJc w:val="left"/>
      <w:lvlText w:val="(%2)"/>
      <w:numFmt w:val="lowerRoman"/>
      <w:start w:val="1"/>
    </w:lvl>
  </w:abstractNum>
  <w:abstractNum w:abstractNumId="88">
    <w:nsid w:val="57A61A29"/>
    <w:multiLevelType w:val="hybridMultilevel"/>
    <w:lvl w:ilvl="0">
      <w:lvlJc w:val="left"/>
      <w:lvlText w:val="(%1)"/>
      <w:numFmt w:val="lowerLetter"/>
      <w:start w:val="1"/>
    </w:lvl>
  </w:abstractNum>
  <w:abstractNum w:abstractNumId="89">
    <w:nsid w:val="5399C654"/>
    <w:multiLevelType w:val="hybridMultilevel"/>
    <w:lvl w:ilvl="0">
      <w:lvlJc w:val="left"/>
      <w:lvlText w:val="(%1)"/>
      <w:numFmt w:val="lowerLetter"/>
      <w:start w:val="1"/>
    </w:lvl>
  </w:abstractNum>
  <w:abstractNum w:abstractNumId="90">
    <w:nsid w:val="20EE1348"/>
    <w:multiLevelType w:val="hybridMultilevel"/>
    <w:lvl w:ilvl="0">
      <w:lvlJc w:val="left"/>
      <w:lvlText w:val="(%1)"/>
      <w:numFmt w:val="lowerLetter"/>
      <w:start w:val="2"/>
    </w:lvl>
  </w:abstractNum>
  <w:abstractNum w:abstractNumId="91">
    <w:nsid w:val="4427069A"/>
    <w:multiLevelType w:val="hybridMultilevel"/>
    <w:lvl w:ilvl="0">
      <w:lvlJc w:val="left"/>
      <w:lvlText w:val="%1"/>
      <w:numFmt w:val="lowerLetter"/>
      <w:start w:val="1"/>
    </w:lvl>
    <w:lvl w:ilvl="1">
      <w:lvlJc w:val="left"/>
      <w:lvlText w:val="(%2)"/>
      <w:numFmt w:val="lowerLetter"/>
      <w:start w:val="1"/>
    </w:lvl>
  </w:abstractNum>
  <w:abstractNum w:abstractNumId="92">
    <w:nsid w:val="B37E80A"/>
    <w:multiLevelType w:val="hybridMultilevel"/>
    <w:lvl w:ilvl="0">
      <w:lvlJc w:val="left"/>
      <w:lvlText w:val="(%1)"/>
      <w:numFmt w:val="lowerLetter"/>
      <w:start w:val="9"/>
    </w:lvl>
    <w:lvl w:ilvl="1">
      <w:lvlJc w:val="left"/>
      <w:lvlText w:val="%2"/>
      <w:numFmt w:val="lowerLetter"/>
      <w:start w:val="1"/>
    </w:lvl>
  </w:abstractNum>
  <w:abstractNum w:abstractNumId="93">
    <w:nsid w:val="2157F6BC"/>
    <w:multiLevelType w:val="hybridMultilevel"/>
    <w:lvl w:ilvl="0">
      <w:lvlJc w:val="left"/>
      <w:lvlText w:val="(%1)"/>
      <w:numFmt w:val="lowerLetter"/>
      <w:start w:val="1"/>
    </w:lvl>
    <w:lvl w:ilvl="1">
      <w:lvlJc w:val="left"/>
      <w:lvlText w:val="(%2)"/>
      <w:numFmt w:val="lowerRoman"/>
      <w:start w:val="1"/>
    </w:lvl>
  </w:abstractNum>
  <w:abstractNum w:abstractNumId="94">
    <w:nsid w:val="704E1DD5"/>
    <w:multiLevelType w:val="hybridMultilevel"/>
    <w:lvl w:ilvl="0">
      <w:lvlJc w:val="left"/>
      <w:lvlText w:val="(%1)"/>
      <w:numFmt w:val="lowerLetter"/>
      <w:start w:val="2"/>
    </w:lvl>
  </w:abstractNum>
  <w:abstractNum w:abstractNumId="95">
    <w:nsid w:val="57D2F10E"/>
    <w:multiLevelType w:val="hybridMultilevel"/>
    <w:lvl w:ilvl="0">
      <w:lvlJc w:val="left"/>
      <w:lvlText w:val="(%1)"/>
      <w:numFmt w:val="lowerLetter"/>
      <w:start w:val="4"/>
    </w:lvl>
  </w:abstractNum>
  <w:abstractNum w:abstractNumId="96">
    <w:nsid w:val="BFFAE18"/>
    <w:multiLevelType w:val="hybridMultilevel"/>
    <w:lvl w:ilvl="0">
      <w:lvlJc w:val="left"/>
      <w:lvlText w:val="(%1)"/>
      <w:numFmt w:val="lowerLetter"/>
      <w:start w:val="1"/>
    </w:lvl>
  </w:abstractNum>
  <w:abstractNum w:abstractNumId="97">
    <w:nsid w:val="E3E47A8"/>
    <w:multiLevelType w:val="hybridMultilevel"/>
    <w:lvl w:ilvl="0">
      <w:lvlJc w:val="left"/>
      <w:lvlText w:val="(%1)"/>
      <w:numFmt w:val="lowerRoman"/>
      <w:start w:val="1"/>
    </w:lvl>
  </w:abstractNum>
  <w:abstractNum w:abstractNumId="98">
    <w:nsid w:val="2E48F044"/>
    <w:multiLevelType w:val="hybridMultilevel"/>
    <w:lvl w:ilvl="0">
      <w:lvlJc w:val="left"/>
      <w:lvlText w:val="(%1)"/>
      <w:numFmt w:val="lowerRoman"/>
      <w:start w:val="2"/>
    </w:lvl>
  </w:abstractNum>
  <w:abstractNum w:abstractNumId="99">
    <w:nsid w:val="49D0FEAC"/>
    <w:multiLevelType w:val="hybridMultilevel"/>
    <w:lvl w:ilvl="0">
      <w:lvlJc w:val="left"/>
      <w:lvlText w:val="(%1)"/>
      <w:numFmt w:val="lowerLetter"/>
      <w:start w:val="1"/>
    </w:lvl>
  </w:abstractNum>
  <w:abstractNum w:abstractNumId="100">
    <w:nsid w:val="4BEE5A5B"/>
    <w:multiLevelType w:val="hybridMultilevel"/>
    <w:lvl w:ilvl="0">
      <w:lvlJc w:val="left"/>
      <w:lvlText w:val="(%1)"/>
      <w:numFmt w:val="lowerLetter"/>
      <w:start w:val="1"/>
    </w:lvl>
    <w:lvl w:ilvl="1">
      <w:lvlJc w:val="left"/>
      <w:lvlText w:val="(%2)"/>
      <w:numFmt w:val="lowerLetter"/>
      <w:start w:val="9"/>
    </w:lvl>
  </w:abstractNum>
  <w:abstractNum w:abstractNumId="101">
    <w:nsid w:val="5551B9F3"/>
    <w:multiLevelType w:val="hybridMultilevel"/>
    <w:lvl w:ilvl="0">
      <w:lvlJc w:val="left"/>
      <w:lvlText w:val="(%1)"/>
      <w:numFmt w:val="lowerLetter"/>
      <w:start w:val="3"/>
    </w:lvl>
  </w:abstractNum>
  <w:abstractNum w:abstractNumId="102">
    <w:nsid w:val="24F6AB8E"/>
    <w:multiLevelType w:val="hybridMultilevel"/>
    <w:lvl w:ilvl="0">
      <w:lvlJc w:val="left"/>
      <w:lvlText w:val="(%1)"/>
      <w:numFmt w:val="lowerRoman"/>
      <w:start w:val="1"/>
    </w:lvl>
  </w:abstractNum>
  <w:abstractNum w:abstractNumId="103">
    <w:nsid w:val="634C574C"/>
    <w:multiLevelType w:val="hybridMultilevel"/>
    <w:lvl w:ilvl="0">
      <w:lvlJc w:val="left"/>
      <w:lvlText w:val="(%1)"/>
      <w:numFmt w:val="lowerRoman"/>
      <w:start w:val="2"/>
    </w:lvl>
  </w:abstractNum>
  <w:abstractNum w:abstractNumId="104">
    <w:nsid w:val="24E99DD7"/>
    <w:multiLevelType w:val="hybridMultilevel"/>
    <w:lvl w:ilvl="0">
      <w:lvlJc w:val="left"/>
      <w:lvlText w:val="(%1)"/>
      <w:numFmt w:val="lowerRoman"/>
      <w:start w:val="1"/>
    </w:lvl>
  </w:abstractNum>
  <w:abstractNum w:abstractNumId="105">
    <w:nsid w:val="2A31B62D"/>
    <w:multiLevelType w:val="hybridMultilevel"/>
    <w:lvl w:ilvl="0">
      <w:lvlJc w:val="left"/>
      <w:lvlText w:val="(%1)"/>
      <w:numFmt w:val="lowerLetter"/>
      <w:start w:val="1"/>
    </w:lvl>
  </w:abstractNum>
  <w:abstractNum w:abstractNumId="106">
    <w:nsid w:val="1849C29B"/>
    <w:multiLevelType w:val="hybridMultilevel"/>
    <w:lvl w:ilvl="0">
      <w:lvlJc w:val="left"/>
      <w:lvlText w:val="(%1)"/>
      <w:numFmt w:val="lowerLetter"/>
      <w:start w:val="2"/>
    </w:lvl>
    <w:lvl w:ilvl="1">
      <w:lvlJc w:val="left"/>
      <w:lvlText w:val="(%2)"/>
      <w:numFmt w:val="lowerRoman"/>
      <w:start w:val="1"/>
    </w:lvl>
  </w:abstractNum>
  <w:abstractNum w:abstractNumId="107">
    <w:nsid w:val="7DFF9D09"/>
    <w:multiLevelType w:val="hybridMultilevel"/>
    <w:lvl w:ilvl="0">
      <w:lvlJc w:val="left"/>
      <w:lvlText w:val="(%1)"/>
      <w:numFmt w:val="lowerLetter"/>
      <w:start w:val="16"/>
    </w:lvl>
  </w:abstractNum>
  <w:abstractNum w:abstractNumId="108">
    <w:nsid w:val="754342"/>
    <w:multiLevelType w:val="hybridMultilevel"/>
    <w:lvl w:ilvl="0">
      <w:lvlJc w:val="left"/>
      <w:lvlText w:val="(%1)"/>
      <w:numFmt w:val="lowerLetter"/>
      <w:start w:val="1"/>
    </w:lvl>
  </w:abstractNum>
  <w:abstractNum w:abstractNumId="109">
    <w:nsid w:val="69E7F3E5"/>
    <w:multiLevelType w:val="hybridMultilevel"/>
    <w:lvl w:ilvl="0">
      <w:lvlJc w:val="left"/>
      <w:lvlText w:val="(%1)"/>
      <w:numFmt w:val="lowerLetter"/>
      <w:start w:val="1"/>
    </w:lvl>
  </w:abstractNum>
  <w:abstractNum w:abstractNumId="110">
    <w:nsid w:val="2A6DE806"/>
    <w:multiLevelType w:val="hybridMultilevel"/>
    <w:lvl w:ilvl="0">
      <w:lvlJc w:val="left"/>
      <w:lvlText w:val="(%1)"/>
      <w:numFmt w:val="lowerLetter"/>
      <w:start w:val="1"/>
    </w:lvl>
  </w:abstractNum>
  <w:abstractNum w:abstractNumId="111">
    <w:nsid w:val="1816F8C4"/>
    <w:multiLevelType w:val="hybridMultilevel"/>
    <w:lvl w:ilvl="0">
      <w:lvlJc w:val="left"/>
      <w:lvlText w:val="(%1)"/>
      <w:numFmt w:val="lowerRoman"/>
      <w:start w:val="1"/>
    </w:lvl>
  </w:abstractNum>
  <w:abstractNum w:abstractNumId="112">
    <w:nsid w:val="37DF2233"/>
    <w:multiLevelType w:val="hybridMultilevel"/>
    <w:lvl w:ilvl="0">
      <w:lvlJc w:val="left"/>
      <w:lvlText w:val="(%1)"/>
      <w:numFmt w:val="lowerLetter"/>
      <w:start w:val="2"/>
    </w:lvl>
  </w:abstractNum>
  <w:abstractNum w:abstractNumId="113">
    <w:nsid w:val="7AB49DAF"/>
    <w:multiLevelType w:val="hybridMultilevel"/>
    <w:lvl w:ilvl="0">
      <w:lvlJc w:val="left"/>
      <w:lvlText w:val="(%1)"/>
      <w:numFmt w:val="lowerLetter"/>
      <w:start w:val="1"/>
    </w:lvl>
    <w:lvl w:ilvl="1">
      <w:lvlJc w:val="left"/>
      <w:lvlText w:val="(%2)"/>
      <w:numFmt w:val="lowerRoman"/>
      <w:start w:val="1"/>
    </w:lvl>
  </w:abstractNum>
  <w:abstractNum w:abstractNumId="114">
    <w:nsid w:val="759F82CD"/>
    <w:multiLevelType w:val="hybridMultilevel"/>
    <w:lvl w:ilvl="0">
      <w:lvlJc w:val="left"/>
      <w:lvlText w:val="(%1)"/>
      <w:numFmt w:val="lowerLetter"/>
      <w:start w:val="1"/>
    </w:lvl>
  </w:abstractNum>
  <w:abstractNum w:abstractNumId="115">
    <w:nsid w:val="61E74EA3"/>
    <w:multiLevelType w:val="hybridMultilevel"/>
    <w:lvl w:ilvl="0">
      <w:lvlJc w:val="left"/>
      <w:lvlText w:val="(%1)"/>
      <w:numFmt w:val="lowerLetter"/>
      <w:start w:val="1"/>
    </w:lvl>
  </w:abstractNum>
  <w:abstractNum w:abstractNumId="116">
    <w:nsid w:val="597B4D84"/>
    <w:multiLevelType w:val="hybridMultilevel"/>
    <w:lvl w:ilvl="0">
      <w:lvlJc w:val="left"/>
      <w:lvlText w:val="(%1)"/>
      <w:numFmt w:val="lowerLetter"/>
      <w:start w:val="2"/>
    </w:lvl>
  </w:abstractNum>
  <w:abstractNum w:abstractNumId="117">
    <w:nsid w:val="F819E7F"/>
    <w:multiLevelType w:val="hybridMultilevel"/>
    <w:lvl w:ilvl="0">
      <w:lvlJc w:val="left"/>
      <w:lvlText w:val="(%1)"/>
      <w:numFmt w:val="lowerLetter"/>
      <w:start w:val="1"/>
    </w:lvl>
  </w:abstractNum>
  <w:abstractNum w:abstractNumId="118">
    <w:nsid w:val="57C7D42D"/>
    <w:multiLevelType w:val="hybridMultilevel"/>
    <w:lvl w:ilvl="0">
      <w:lvlJc w:val="left"/>
      <w:lvlText w:val="(%1)"/>
      <w:numFmt w:val="lowerLetter"/>
      <w:start w:val="8"/>
    </w:lvl>
  </w:abstractNum>
  <w:abstractNum w:abstractNumId="119">
    <w:nsid w:val="312167AD"/>
    <w:multiLevelType w:val="hybridMultilevel"/>
    <w:lvl w:ilvl="0">
      <w:lvlJc w:val="left"/>
      <w:lvlText w:val="(%1)"/>
      <w:numFmt w:val="lowerRoman"/>
      <w:start w:val="2"/>
    </w:lvl>
  </w:abstractNum>
  <w:abstractNum w:abstractNumId="120">
    <w:nsid w:val="631B64D4"/>
    <w:multiLevelType w:val="hybridMultilevel"/>
    <w:lvl w:ilvl="0">
      <w:lvlJc w:val="left"/>
      <w:lvlText w:val="(%1)"/>
      <w:numFmt w:val="lowerLetter"/>
      <w:start w:val="1"/>
    </w:lvl>
  </w:abstractNum>
  <w:abstractNum w:abstractNumId="121">
    <w:nsid w:val="78B5E776"/>
    <w:multiLevelType w:val="hybridMultilevel"/>
    <w:lvl w:ilvl="0">
      <w:lvlJc w:val="left"/>
      <w:lvlText w:val="%1"/>
      <w:numFmt w:val="lowerLetter"/>
      <w:start w:val="1"/>
    </w:lvl>
    <w:lvl w:ilvl="1">
      <w:lvlJc w:val="left"/>
      <w:lvlText w:val="(%2)"/>
      <w:numFmt w:val="lowerLetter"/>
      <w:start w:val="3"/>
    </w:lvl>
  </w:abstractNum>
  <w:abstractNum w:abstractNumId="122">
    <w:nsid w:val="75486E47"/>
    <w:multiLevelType w:val="hybridMultilevel"/>
    <w:lvl w:ilvl="0">
      <w:lvlJc w:val="left"/>
      <w:lvlText w:val="(%1)"/>
      <w:numFmt w:val="lowerLetter"/>
      <w:start w:val="35"/>
    </w:lvl>
    <w:lvl w:ilvl="1">
      <w:lvlJc w:val="left"/>
      <w:lvlText w:val="(%2)"/>
      <w:numFmt w:val="lowerLetter"/>
      <w:start w:val="15"/>
    </w:lvl>
  </w:abstractNum>
  <w:abstractNum w:abstractNumId="123">
    <w:nsid w:val="6E534CDE"/>
    <w:multiLevelType w:val="hybridMultilevel"/>
    <w:lvl w:ilvl="0">
      <w:lvlJc w:val="left"/>
      <w:lvlText w:val="%1"/>
      <w:numFmt w:val="lowerLetter"/>
      <w:start w:val="1"/>
    </w:lvl>
    <w:lvl w:ilvl="1">
      <w:lvlJc w:val="left"/>
      <w:lvlText w:val="(%2)"/>
      <w:numFmt w:val="lowerLetter"/>
      <w:start w:val="1"/>
    </w:lvl>
  </w:abstractNum>
  <w:abstractNum w:abstractNumId="124">
    <w:nsid w:val="1A0DDE32"/>
    <w:multiLevelType w:val="hybridMultilevel"/>
    <w:lvl w:ilvl="0">
      <w:lvlJc w:val="left"/>
      <w:lvlText w:val="(%1)"/>
      <w:numFmt w:val="lowerLetter"/>
      <w:start w:val="9"/>
    </w:lvl>
    <w:lvl w:ilvl="1">
      <w:lvlJc w:val="left"/>
      <w:lvlText w:val="(%2)"/>
      <w:numFmt w:val="lowerLetter"/>
      <w:start w:val="5"/>
    </w:lvl>
  </w:abstractNum>
  <w:abstractNum w:abstractNumId="125">
    <w:nsid w:val="65968C1C"/>
    <w:multiLevelType w:val="hybridMultilevel"/>
    <w:lvl w:ilvl="0">
      <w:lvlJc w:val="left"/>
      <w:lvlText w:val="(%1)"/>
      <w:numFmt w:val="lowerLetter"/>
      <w:start w:val="11"/>
    </w:lvl>
  </w:abstractNum>
  <w:abstractNum w:abstractNumId="126">
    <w:nsid w:val="46263DEC"/>
    <w:multiLevelType w:val="hybridMultilevel"/>
    <w:lvl w:ilvl="0">
      <w:lvlJc w:val="left"/>
      <w:lvlText w:val="(%1)"/>
      <w:numFmt w:val="lowerLetter"/>
      <w:start w:val="27"/>
    </w:lvl>
  </w:abstractNum>
  <w:abstractNum w:abstractNumId="127">
    <w:nsid w:val="260D8C4A"/>
    <w:multiLevelType w:val="hybridMultilevel"/>
    <w:lvl w:ilvl="0">
      <w:lvlJc w:val="left"/>
      <w:lvlText w:val="%1"/>
      <w:numFmt w:val="lowerLetter"/>
      <w:start w:val="1"/>
    </w:lvl>
    <w:lvl w:ilvl="1">
      <w:lvlJc w:val="left"/>
      <w:lvlText w:val="(%2)"/>
      <w:numFmt w:val="lowerLetter"/>
      <w:start w:val="1"/>
    </w:lvl>
  </w:abstractNum>
  <w:abstractNum w:abstractNumId="128">
    <w:nsid w:val="73D4D3C4"/>
    <w:multiLevelType w:val="hybridMultilevel"/>
    <w:lvl w:ilvl="0">
      <w:lvlJc w:val="left"/>
      <w:lvlText w:val="(%1)"/>
      <w:numFmt w:val="lowerLetter"/>
      <w:start w:val="25"/>
    </w:lvl>
    <w:lvl w:ilvl="1">
      <w:lvlJc w:val="left"/>
      <w:lvlText w:val="(%2)"/>
      <w:numFmt w:val="lowerLetter"/>
      <w:start w:val="13"/>
    </w:lvl>
  </w:abstractNum>
  <w:abstractNum w:abstractNumId="129">
    <w:nsid w:val="746F2E30"/>
    <w:multiLevelType w:val="hybridMultilevel"/>
    <w:lvl w:ilvl="0">
      <w:lvlJc w:val="left"/>
      <w:lvlText w:val="(%1)"/>
      <w:numFmt w:val="lowerRoman"/>
      <w:start w:val="10"/>
    </w:lvl>
  </w:abstractNum>
  <w:abstractNum w:abstractNumId="130">
    <w:nsid w:val="6FDE8AF6"/>
    <w:multiLevelType w:val="hybridMultilevel"/>
    <w:lvl w:ilvl="0">
      <w:lvlJc w:val="left"/>
      <w:lvlText w:val="%1"/>
      <w:numFmt w:val="lowerLetter"/>
      <w:start w:val="1"/>
    </w:lvl>
    <w:lvl w:ilvl="1">
      <w:lvlJc w:val="left"/>
      <w:lvlText w:val="(%2)"/>
      <w:numFmt w:val="lowerLetter"/>
      <w:start w:val="1"/>
    </w:lvl>
  </w:abstractNum>
  <w:abstractNum w:abstractNumId="131">
    <w:nsid w:val="3FC32E20"/>
    <w:multiLevelType w:val="hybridMultilevel"/>
    <w:lvl w:ilvl="0">
      <w:lvlJc w:val="left"/>
      <w:lvlText w:val="(%1)"/>
      <w:numFmt w:val="lowerLetter"/>
      <w:start w:val="35"/>
    </w:lvl>
    <w:lvl w:ilvl="1">
      <w:lvlJc w:val="left"/>
      <w:lvlText w:val="(%2)"/>
      <w:numFmt w:val="lowerLetter"/>
      <w:start w:val="4"/>
    </w:lvl>
  </w:abstractNum>
  <w:abstractNum w:abstractNumId="132">
    <w:nsid w:val="49C0E823"/>
    <w:multiLevelType w:val="hybridMultilevel"/>
    <w:lvl w:ilvl="0">
      <w:lvlJc w:val="left"/>
      <w:lvlText w:val="(%1)"/>
      <w:numFmt w:val="lowerLetter"/>
      <w:start w:val="14"/>
    </w:lvl>
  </w:abstractNum>
  <w:abstractNum w:abstractNumId="133">
    <w:nsid w:val="14D53685"/>
    <w:multiLevelType w:val="hybridMultilevel"/>
    <w:lvl w:ilvl="0">
      <w:lvlJc w:val="left"/>
      <w:lvlText w:val="(%1)"/>
      <w:numFmt w:val="lowerRoman"/>
      <w:start w:val="1"/>
    </w:lvl>
  </w:abstractNum>
  <w:abstractNum w:abstractNumId="134">
    <w:nsid w:val="230F856C"/>
    <w:multiLevelType w:val="hybridMultilevel"/>
    <w:lvl w:ilvl="0">
      <w:lvlJc w:val="left"/>
      <w:lvlText w:val="(%1)"/>
      <w:numFmt w:val="lowerRoman"/>
      <w:start w:val="5"/>
    </w:lvl>
  </w:abstractNum>
  <w:abstractNum w:abstractNumId="135">
    <w:nsid w:val="6EAA85FB"/>
    <w:multiLevelType w:val="hybridMultilevel"/>
    <w:lvl w:ilvl="0">
      <w:lvlJc w:val="left"/>
      <w:lvlText w:val="(%1)"/>
      <w:numFmt w:val="lowerRoman"/>
      <w:start w:val="2"/>
    </w:lvl>
  </w:abstractNum>
  <w:abstractNum w:abstractNumId="136">
    <w:nsid w:val="3F06ECB2"/>
    <w:multiLevelType w:val="hybridMultilevel"/>
    <w:lvl w:ilvl="0">
      <w:lvlJc w:val="left"/>
      <w:lvlText w:val="%1"/>
      <w:numFmt w:val="lowerRoman"/>
      <w:start w:val="1"/>
    </w:lvl>
    <w:lvl w:ilvl="1">
      <w:lvlJc w:val="left"/>
      <w:lvlText w:val="(%2)"/>
      <w:numFmt w:val="lowerLetter"/>
      <w:start w:val="1"/>
    </w:lvl>
  </w:abstractNum>
  <w:abstractNum w:abstractNumId="137">
    <w:nsid w:val="3B594807"/>
    <w:multiLevelType w:val="hybridMultilevel"/>
    <w:lvl w:ilvl="0">
      <w:lvlJc w:val="left"/>
      <w:lvlText w:val="(%1)"/>
      <w:numFmt w:val="lowerRoman"/>
      <w:start w:val="8"/>
    </w:lvl>
    <w:lvl w:ilvl="1">
      <w:lvlJc w:val="left"/>
      <w:lvlText w:val="(%2)"/>
      <w:numFmt w:val="lowerLetter"/>
      <w:start w:val="9"/>
    </w:lvl>
  </w:abstractNum>
  <w:abstractNum w:abstractNumId="138">
    <w:nsid w:val="6CAA2304"/>
    <w:multiLevelType w:val="hybridMultilevel"/>
    <w:lvl w:ilvl="0">
      <w:lvlJc w:val="left"/>
      <w:lvlText w:val="(%1)"/>
      <w:numFmt w:val="lowerLetter"/>
      <w:start w:val="14"/>
    </w:lvl>
  </w:abstractNum>
  <w:abstractNum w:abstractNumId="139">
    <w:nsid w:val="3F7C2FF4"/>
    <w:multiLevelType w:val="hybridMultilevel"/>
    <w:lvl w:ilvl="0">
      <w:lvlJc w:val="left"/>
      <w:lvlText w:val="(%1)"/>
      <w:numFmt w:val="lowerLetter"/>
      <w:start w:val="1"/>
    </w:lvl>
  </w:abstractNum>
  <w:abstractNum w:abstractNumId="140">
    <w:nsid w:val="25413BEC"/>
    <w:multiLevelType w:val="hybridMultilevel"/>
    <w:lvl w:ilvl="0">
      <w:lvlJc w:val="left"/>
      <w:lvlText w:val="(%1)"/>
      <w:numFmt w:val="lowerLetter"/>
      <w:start w:val="1"/>
    </w:lvl>
  </w:abstractNum>
  <w:abstractNum w:abstractNumId="141">
    <w:nsid w:val="17180B0B"/>
    <w:multiLevelType w:val="hybridMultilevel"/>
    <w:lvl w:ilvl="0">
      <w:lvlJc w:val="left"/>
      <w:lvlText w:val="(%1)"/>
      <w:numFmt w:val="lowerLetter"/>
      <w:start w:val="1"/>
    </w:lvl>
  </w:abstractNum>
  <w:abstractNum w:abstractNumId="142">
    <w:nsid w:val="579328B9"/>
    <w:multiLevelType w:val="hybridMultilevel"/>
    <w:lvl w:ilvl="0">
      <w:lvlJc w:val="left"/>
      <w:lvlText w:val="(%1)"/>
      <w:numFmt w:val="lowerLetter"/>
      <w:start w:val="2"/>
    </w:lvl>
  </w:abstractNum>
  <w:abstractNum w:abstractNumId="143">
    <w:nsid w:val="5D205E20"/>
    <w:multiLevelType w:val="hybridMultilevel"/>
    <w:lvl w:ilvl="0">
      <w:lvlJc w:val="left"/>
      <w:lvlText w:val="(%1)"/>
      <w:numFmt w:val="lowerLetter"/>
      <w:start w:val="1"/>
    </w:lvl>
  </w:abstractNum>
  <w:abstractNum w:abstractNumId="144">
    <w:nsid w:val="11CCA8BA"/>
    <w:multiLevelType w:val="hybridMultilevel"/>
    <w:lvl w:ilvl="0">
      <w:lvlJc w:val="left"/>
      <w:lvlText w:val="(%1)"/>
      <w:numFmt w:val="lowerLetter"/>
      <w:start w:val="1"/>
    </w:lvl>
  </w:abstractNum>
  <w:abstractNum w:abstractNumId="145">
    <w:nsid w:val="4D32AB86"/>
    <w:multiLevelType w:val="hybridMultilevel"/>
    <w:lvl w:ilvl="0">
      <w:lvlJc w:val="left"/>
      <w:lvlText w:val="(%1)"/>
      <w:numFmt w:val="lowerLetter"/>
      <w:start w:val="1"/>
    </w:lvl>
  </w:abstractNum>
  <w:abstractNum w:abstractNumId="146">
    <w:nsid w:val="3F07ACC3"/>
    <w:multiLevelType w:val="hybridMultilevel"/>
    <w:lvl w:ilvl="0">
      <w:lvlJc w:val="left"/>
      <w:lvlText w:val="(%1)"/>
      <w:numFmt w:val="lowerLetter"/>
      <w:start w:val="1"/>
    </w:lvl>
    <w:lvl w:ilvl="1">
      <w:lvlJc w:val="left"/>
      <w:lvlText w:val="(%2)"/>
      <w:numFmt w:val="lowerRoman"/>
      <w:start w:val="1"/>
    </w:lvl>
  </w:abstractNum>
  <w:abstractNum w:abstractNumId="147">
    <w:nsid w:val="6B47F63E"/>
    <w:multiLevelType w:val="hybridMultilevel"/>
    <w:lvl w:ilvl="0">
      <w:lvlJc w:val="left"/>
      <w:lvlText w:val="(%1)"/>
      <w:numFmt w:val="lowerLetter"/>
      <w:start w:val="2"/>
    </w:lvl>
  </w:abstractNum>
  <w:abstractNum w:abstractNumId="148">
    <w:nsid w:val="5CB44A05"/>
    <w:multiLevelType w:val="hybridMultilevel"/>
    <w:lvl w:ilvl="0">
      <w:lvlJc w:val="left"/>
      <w:lvlText w:val="(%1)"/>
      <w:numFmt w:val="lowerLetter"/>
      <w:start w:val="3"/>
    </w:lvl>
  </w:abstractNum>
  <w:abstractNum w:abstractNumId="149">
    <w:nsid w:val="16CF80F1"/>
    <w:multiLevelType w:val="hybridMultilevel"/>
    <w:lvl w:ilvl="0">
      <w:lvlJc w:val="left"/>
      <w:lvlText w:val="(%1)"/>
      <w:numFmt w:val="lowerLetter"/>
      <w:start w:val="1"/>
    </w:lvl>
    <w:lvl w:ilvl="1">
      <w:lvlJc w:val="left"/>
      <w:lvlText w:val="(%2)"/>
      <w:numFmt w:val="lowerRoman"/>
      <w:start w:val="1"/>
    </w:lvl>
  </w:abstractNum>
  <w:abstractNum w:abstractNumId="150">
    <w:nsid w:val="1C695DEC"/>
    <w:multiLevelType w:val="hybridMultilevel"/>
    <w:lvl w:ilvl="0">
      <w:lvlJc w:val="left"/>
      <w:lvlText w:val="(%1)"/>
      <w:numFmt w:val="lowerRoman"/>
      <w:start w:val="3"/>
    </w:lvl>
  </w:abstractNum>
  <w:abstractNum w:abstractNumId="151">
    <w:nsid w:val="3FCFAED9"/>
    <w:multiLevelType w:val="hybridMultilevel"/>
    <w:lvl w:ilvl="0">
      <w:lvlJc w:val="left"/>
      <w:lvlText w:val="(%1)"/>
      <w:numFmt w:val="lowerLetter"/>
      <w:start w:val="2"/>
    </w:lvl>
  </w:abstractNum>
  <w:abstractNum w:abstractNumId="152">
    <w:nsid w:val="F856867"/>
    <w:multiLevelType w:val="hybridMultilevel"/>
    <w:lvl w:ilvl="0">
      <w:lvlJc w:val="left"/>
      <w:lvlText w:val="(%1)"/>
      <w:numFmt w:val="lowerLetter"/>
      <w:start w:val="1"/>
    </w:lvl>
  </w:abstractNum>
  <w:abstractNum w:abstractNumId="153">
    <w:nsid w:val="11B1CC33"/>
    <w:multiLevelType w:val="hybridMultilevel"/>
    <w:lvl w:ilvl="0">
      <w:lvlJc w:val="left"/>
      <w:lvlText w:val="%1"/>
      <w:numFmt w:val="lowerLetter"/>
      <w:start w:val="1"/>
    </w:lvl>
    <w:lvl w:ilvl="1">
      <w:lvlJc w:val="left"/>
      <w:lvlText w:val="(%2)"/>
      <w:numFmt w:val="lowerRoman"/>
      <w:start w:val="1"/>
    </w:lvl>
  </w:abstractNum>
  <w:abstractNum w:abstractNumId="154">
    <w:nsid w:val="2E22FBB7"/>
    <w:multiLevelType w:val="hybridMultilevel"/>
    <w:lvl w:ilvl="0">
      <w:lvlJc w:val="left"/>
      <w:lvlText w:val="(%1)"/>
      <w:numFmt w:val="lowerLetter"/>
      <w:start w:val="25"/>
    </w:lvl>
    <w:lvl w:ilvl="1">
      <w:lvlJc w:val="left"/>
      <w:lvlText w:val="(%2)"/>
      <w:numFmt w:val="lowerRoman"/>
      <w:start w:val="4"/>
    </w:lvl>
  </w:abstractNum>
  <w:abstractNum w:abstractNumId="155">
    <w:nsid w:val="29934699"/>
    <w:multiLevelType w:val="hybridMultilevel"/>
    <w:lvl w:ilvl="0">
      <w:lvlJc w:val="left"/>
      <w:lvlText w:val="(%1)"/>
      <w:numFmt w:val="lowerLetter"/>
      <w:start w:val="2"/>
    </w:lvl>
    <w:lvl w:ilvl="1">
      <w:lvlJc w:val="left"/>
      <w:lvlText w:val="(%2)"/>
      <w:numFmt w:val="lowerLetter"/>
      <w:start w:val="9"/>
    </w:lvl>
  </w:abstractNum>
  <w:abstractNum w:abstractNumId="156">
    <w:nsid w:val="77485850"/>
    <w:multiLevelType w:val="hybridMultilevel"/>
    <w:lvl w:ilvl="0">
      <w:lvlJc w:val="left"/>
      <w:lvlText w:val="(%1)"/>
      <w:numFmt w:val="lowerRoman"/>
      <w:start w:val="2"/>
    </w:lvl>
  </w:abstractNum>
  <w:abstractNum w:abstractNumId="157">
    <w:nsid w:val="744939A3"/>
    <w:multiLevelType w:val="hybridMultilevel"/>
    <w:lvl w:ilvl="0">
      <w:lvlJc w:val="left"/>
      <w:lvlText w:val="(%1)"/>
      <w:numFmt w:val="lowerLetter"/>
      <w:start w:val="3"/>
    </w:lvl>
  </w:abstractNum>
  <w:abstractNum w:abstractNumId="158">
    <w:nsid w:val="4FA0D2E3"/>
    <w:multiLevelType w:val="hybridMultilevel"/>
    <w:lvl w:ilvl="0">
      <w:lvlJc w:val="left"/>
      <w:lvlText w:val="(%1)"/>
      <w:numFmt w:val="lowerLetter"/>
      <w:start w:val="6"/>
    </w:lvl>
  </w:abstractNum>
  <w:abstractNum w:abstractNumId="159">
    <w:nsid w:val="6B1D2C14"/>
    <w:multiLevelType w:val="hybridMultilevel"/>
    <w:lvl w:ilvl="0">
      <w:lvlJc w:val="left"/>
      <w:lvlText w:val="(%1)"/>
      <w:numFmt w:val="lowerLetter"/>
      <w:start w:val="1"/>
    </w:lvl>
  </w:abstractNum>
  <w:abstractNum w:abstractNumId="160">
    <w:nsid w:val="68B867D3"/>
    <w:multiLevelType w:val="hybridMultilevel"/>
    <w:lvl w:ilvl="0">
      <w:lvlJc w:val="left"/>
      <w:lvlText w:val="(%1)"/>
      <w:numFmt w:val="lowerLetter"/>
      <w:start w:val="3"/>
    </w:lvl>
    <w:lvl w:ilvl="1">
      <w:lvlJc w:val="left"/>
      <w:lvlText w:val="(%2)"/>
      <w:numFmt w:val="lowerRoman"/>
      <w:start w:val="1"/>
    </w:lvl>
  </w:abstractNum>
  <w:abstractNum w:abstractNumId="161">
    <w:nsid w:val="3F7F5DD9"/>
    <w:multiLevelType w:val="hybridMultilevel"/>
    <w:lvl w:ilvl="0">
      <w:lvlJc w:val="left"/>
      <w:lvlText w:val="%1"/>
      <w:numFmt w:val="lowerLetter"/>
      <w:start w:val="1"/>
    </w:lvl>
    <w:lvl w:ilvl="1">
      <w:lvlJc w:val="left"/>
      <w:lvlText w:val="(%2)"/>
      <w:numFmt w:val="lowerLetter"/>
      <w:start w:val="5"/>
    </w:lvl>
  </w:abstractNum>
  <w:abstractNum w:abstractNumId="162">
    <w:nsid w:val="2AE05A34"/>
    <w:multiLevelType w:val="hybridMultilevel"/>
    <w:lvl w:ilvl="0">
      <w:lvlJc w:val="left"/>
      <w:lvlText w:val="(%1)"/>
      <w:numFmt w:val="lowerLetter"/>
      <w:start w:val="35"/>
    </w:lvl>
    <w:lvl w:ilvl="1">
      <w:lvlJc w:val="left"/>
      <w:lvlText w:val="%2"/>
      <w:numFmt w:val="lowerLetter"/>
      <w:start w:val="1"/>
    </w:lvl>
  </w:abstractNum>
  <w:abstractNum w:abstractNumId="163">
    <w:nsid w:val="32794FF7"/>
    <w:multiLevelType w:val="hybridMultilevel"/>
    <w:lvl w:ilvl="0">
      <w:lvlJc w:val="left"/>
      <w:lvlText w:val="(%1)"/>
      <w:numFmt w:val="lowerLetter"/>
      <w:start w:val="1"/>
    </w:lvl>
  </w:abstractNum>
  <w:abstractNum w:abstractNumId="164">
    <w:nsid w:val="5454945E"/>
    <w:multiLevelType w:val="hybridMultilevel"/>
    <w:lvl w:ilvl="0">
      <w:lvlJc w:val="left"/>
      <w:lvlText w:val="(%1)"/>
      <w:numFmt w:val="lowerLetter"/>
      <w:start w:val="4"/>
    </w:lvl>
  </w:abstractNum>
  <w:abstractNum w:abstractNumId="165">
    <w:nsid w:val="4DEFDFA0"/>
    <w:multiLevelType w:val="hybridMultilevel"/>
    <w:lvl w:ilvl="0">
      <w:lvlJc w:val="left"/>
      <w:lvlText w:val="(%1)"/>
      <w:numFmt w:val="lowerLetter"/>
      <w:start w:val="1"/>
    </w:lvl>
  </w:abstractNum>
  <w:abstractNum w:abstractNumId="166">
    <w:nsid w:val="2123D5F2"/>
    <w:multiLevelType w:val="hybridMultilevel"/>
    <w:lvl w:ilvl="0">
      <w:lvlJc w:val="left"/>
      <w:lvlText w:val="(%1)"/>
      <w:numFmt w:val="lowerLetter"/>
      <w:start w:val="1"/>
    </w:lvl>
    <w:lvl w:ilvl="1">
      <w:lvlJc w:val="left"/>
      <w:lvlText w:val="(%2)"/>
      <w:numFmt w:val="lowerRoman"/>
      <w:start w:val="1"/>
    </w:lvl>
  </w:abstractNum>
  <w:abstractNum w:abstractNumId="167">
    <w:nsid w:val="135B8110"/>
    <w:multiLevelType w:val="hybridMultilevel"/>
    <w:lvl w:ilvl="0">
      <w:lvlJc w:val="left"/>
      <w:lvlText w:val="(%1)"/>
      <w:numFmt w:val="lowerRoman"/>
      <w:start w:val="1"/>
    </w:lvl>
  </w:abstractNum>
  <w:abstractNum w:abstractNumId="168">
    <w:nsid w:val="94927A8"/>
    <w:multiLevelType w:val="hybridMultilevel"/>
    <w:lvl w:ilvl="0">
      <w:lvlJc w:val="left"/>
      <w:lvlText w:val="(%1)"/>
      <w:numFmt w:val="lowerRoman"/>
      <w:start w:val="2"/>
    </w:lvl>
  </w:abstractNum>
  <w:abstractNum w:abstractNumId="169">
    <w:nsid w:val="DCDF8F6"/>
    <w:multiLevelType w:val="hybridMultilevel"/>
    <w:lvl w:ilvl="0">
      <w:lvlJc w:val="left"/>
      <w:lvlText w:val="(%1)"/>
      <w:numFmt w:val="lowerLetter"/>
      <w:start w:val="2"/>
    </w:lvl>
  </w:abstractNum>
  <w:abstractNum w:abstractNumId="170">
    <w:nsid w:val="52D7B105"/>
    <w:multiLevelType w:val="hybridMultilevel"/>
    <w:lvl w:ilvl="0">
      <w:lvlJc w:val="left"/>
      <w:lvlText w:val="%1."/>
      <w:numFmt w:val="decimal"/>
      <w:start w:val="1"/>
    </w:lvl>
    <w:lvl w:ilvl="1">
      <w:lvlJc w:val="left"/>
      <w:lvlText w:val="%2."/>
      <w:numFmt w:val="lowerLetter"/>
      <w:start w:val="1"/>
    </w:lvl>
  </w:abstractNum>
  <w:abstractNum w:abstractNumId="171">
    <w:nsid w:val="2E8A6394"/>
    <w:multiLevelType w:val="hybridMultilevel"/>
    <w:lvl w:ilvl="0">
      <w:lvlJc w:val="left"/>
      <w:lvlText w:val="%1."/>
      <w:numFmt w:val="decimal"/>
      <w:start w:val="1"/>
    </w:lvl>
    <w:lvl w:ilvl="1">
      <w:lvlJc w:val="left"/>
      <w:lvlText w:val="%2."/>
      <w:numFmt w:val="lowerLetter"/>
      <w:start w:val="1"/>
    </w:lvl>
  </w:abstractNum>
  <w:abstractNum w:abstractNumId="172">
    <w:nsid w:val="24E604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50" Type="http://schemas.openxmlformats.org/officeDocument/2006/relationships/hyperlink" Target="http://www.sec.gov/Archives/edgar/data/1174922/000117492215000044/ex-31.htm" TargetMode="External"/><Relationship Id="rId51" Type="http://schemas.openxmlformats.org/officeDocument/2006/relationships/hyperlink" Target="http://www.sec.gov/Archives/edgar/data/1174922/000117492215000106/ex-32.htm" TargetMode="External"/><Relationship Id="rId52" Type="http://schemas.openxmlformats.org/officeDocument/2006/relationships/hyperlink" Target="http://www.sec.gov/Archives/edgar/data/1174922/000117492218000133/ex101x072518x8k.htm" TargetMode="External"/><Relationship Id="rId53" Type="http://schemas.openxmlformats.org/officeDocument/2006/relationships/hyperlink" Target="http://www.sec.gov/Archives/edgar/data/1174922/000117492218000160/ex10x6-20180630.htm" TargetMode="External"/><Relationship Id="rId54" Type="http://schemas.openxmlformats.org/officeDocument/2006/relationships/hyperlink" Target="http://www.sec.gov/Archives/edgar/data/1174922/000117492218000160/ex10x7-20180630.htm" TargetMode="External"/><Relationship Id="rId55" Type="http://schemas.openxmlformats.org/officeDocument/2006/relationships/hyperlink" Target="http://www.sec.gov/Archives/edgar/data/1174922/000119312518239080/d5341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2019-12-28T18:14:06Z</dcterms:created>
  <dcterms:modified xsi:type="dcterms:W3CDTF">2019-12-28T18:14:06Z</dcterms:modified>
</cp:coreProperties>
</file>