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FORM 4</w:t>
      </w:r>
    </w:p>
    <w:p>
      <w:pPr>
        <w:spacing w:after="0" w:line="207" w:lineRule="exact"/>
        <w:rPr>
          <w:sz w:val="24"/>
          <w:szCs w:val="24"/>
          <w:color w:val="auto"/>
        </w:rPr>
      </w:pPr>
    </w:p>
    <w:p>
      <w:pPr>
        <w:ind w:left="860" w:right="6199" w:hanging="747"/>
        <w:spacing w:after="0" w:line="235" w:lineRule="auto"/>
        <w:tabs>
          <w:tab w:leader="none" w:pos="43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this box if no longer subject to Section 16. Form 4</w:t>
      </w:r>
    </w:p>
    <w:p>
      <w:pPr>
        <w:spacing w:after="0" w:line="5" w:lineRule="exact"/>
        <w:rPr>
          <w:rFonts w:ascii="Courier New" w:cs="Courier New" w:eastAsia="Courier New" w:hAnsi="Courier New"/>
          <w:sz w:val="18"/>
          <w:szCs w:val="18"/>
          <w:color w:val="auto"/>
        </w:rPr>
      </w:pPr>
    </w:p>
    <w:p>
      <w:pPr>
        <w:ind w:left="860" w:right="5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Form 5 obligations may continue. See Instruction 1(b).</w:t>
      </w:r>
    </w:p>
    <w:p>
      <w:pPr>
        <w:spacing w:after="0" w:line="203"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4780" w:type="dxa"/>
            <w:vAlign w:val="bottom"/>
          </w:tcPr>
          <w:p>
            <w:pPr>
              <w:ind w:left="1460"/>
              <w:spacing w:after="0"/>
              <w:rPr>
                <w:sz w:val="20"/>
                <w:szCs w:val="20"/>
                <w:color w:val="auto"/>
              </w:rPr>
            </w:pPr>
            <w:r>
              <w:rPr>
                <w:rFonts w:ascii="Courier New" w:cs="Courier New" w:eastAsia="Courier New" w:hAnsi="Courier New"/>
                <w:sz w:val="18"/>
                <w:szCs w:val="18"/>
                <w:color w:val="auto"/>
              </w:rPr>
              <w:t>UNITED STATES</w:t>
            </w:r>
          </w:p>
        </w:tc>
        <w:tc>
          <w:tcPr>
            <w:tcW w:w="2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SECURITIES AND EXCHANGE COMMISSION</w:t>
            </w:r>
          </w:p>
        </w:tc>
        <w:tc>
          <w:tcPr>
            <w:tcW w:w="280" w:type="dxa"/>
            <w:vAlign w:val="bottom"/>
          </w:tcPr>
          <w:p>
            <w:pPr>
              <w:spacing w:after="0"/>
              <w:rPr>
                <w:sz w:val="17"/>
                <w:szCs w:val="17"/>
                <w:color w:val="auto"/>
              </w:rPr>
            </w:pP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_____________________</w:t>
            </w:r>
          </w:p>
        </w:tc>
        <w:tc>
          <w:tcPr>
            <w:tcW w:w="100" w:type="dxa"/>
            <w:vAlign w:val="bottom"/>
          </w:tcPr>
          <w:p>
            <w:pPr>
              <w:spacing w:after="0"/>
              <w:rPr>
                <w:sz w:val="17"/>
                <w:szCs w:val="17"/>
                <w:color w:val="auto"/>
              </w:rPr>
            </w:pPr>
          </w:p>
        </w:tc>
      </w:tr>
      <w:tr>
        <w:trPr>
          <w:trHeight w:val="203"/>
        </w:trPr>
        <w:tc>
          <w:tcPr>
            <w:tcW w:w="478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WASHINGTON, D.C.  20549</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2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OMB APPROVAL</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4780" w:type="dxa"/>
            <w:vAlign w:val="bottom"/>
          </w:tcPr>
          <w:p>
            <w:pPr>
              <w:spacing w:after="0"/>
              <w:rPr>
                <w:sz w:val="17"/>
                <w:szCs w:val="17"/>
                <w:color w:val="auto"/>
              </w:rPr>
            </w:pPr>
          </w:p>
        </w:tc>
        <w:tc>
          <w:tcPr>
            <w:tcW w:w="2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w:t>
            </w:r>
          </w:p>
        </w:tc>
      </w:tr>
      <w:tr>
        <w:trPr>
          <w:trHeight w:val="203"/>
        </w:trPr>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 OF CHANGES IN BENEFICIAL OWNERSHIP</w:t>
            </w:r>
          </w:p>
        </w:tc>
        <w:tc>
          <w:tcPr>
            <w:tcW w:w="258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6"/>
              </w:rPr>
              <w:t>|OMB NUMBER: 3235-0287|</w:t>
            </w:r>
          </w:p>
        </w:tc>
      </w:tr>
      <w:tr>
        <w:trPr>
          <w:trHeight w:val="203"/>
        </w:trPr>
        <w:tc>
          <w:tcPr>
            <w:tcW w:w="4780" w:type="dxa"/>
            <w:vAlign w:val="bottom"/>
          </w:tcPr>
          <w:p>
            <w:pPr>
              <w:spacing w:after="0"/>
              <w:rPr>
                <w:sz w:val="17"/>
                <w:szCs w:val="17"/>
                <w:color w:val="auto"/>
              </w:rPr>
            </w:pPr>
          </w:p>
        </w:tc>
        <w:tc>
          <w:tcPr>
            <w:tcW w:w="2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|EXPIRES: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4780" w:type="dxa"/>
            <w:vAlign w:val="bottom"/>
          </w:tcPr>
          <w:p>
            <w:pPr>
              <w:spacing w:after="0"/>
              <w:rPr>
                <w:sz w:val="17"/>
                <w:szCs w:val="17"/>
                <w:color w:val="auto"/>
              </w:rPr>
            </w:pP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2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JANUARY 31, 2005</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Filed pursuant to Section 16(a) of the</w:t>
            </w:r>
          </w:p>
        </w:tc>
        <w:tc>
          <w:tcPr>
            <w:tcW w:w="2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|ESTIMATED AVERAGE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4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Securities Exchange Act of 1934,</w:t>
            </w:r>
          </w:p>
        </w:tc>
        <w:tc>
          <w:tcPr>
            <w:tcW w:w="2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|BURDEN HOURS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4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17(a) of the Public Utility</w:t>
            </w:r>
          </w:p>
        </w:tc>
        <w:tc>
          <w:tcPr>
            <w:tcW w:w="258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6"/>
              </w:rPr>
              <w:t>|PER RESPONSE ... 0.5 |</w:t>
            </w:r>
          </w:p>
        </w:tc>
      </w:tr>
      <w:tr>
        <w:trPr>
          <w:trHeight w:val="203"/>
        </w:trPr>
        <w:tc>
          <w:tcPr>
            <w:tcW w:w="4780" w:type="dxa"/>
            <w:vAlign w:val="bottom"/>
          </w:tcPr>
          <w:p>
            <w:pPr>
              <w:jc w:val="center"/>
              <w:ind w:right="1212"/>
              <w:spacing w:after="0" w:line="203" w:lineRule="exact"/>
              <w:rPr>
                <w:sz w:val="20"/>
                <w:szCs w:val="20"/>
                <w:color w:val="auto"/>
              </w:rPr>
            </w:pPr>
            <w:r>
              <w:rPr>
                <w:rFonts w:ascii="Courier New" w:cs="Courier New" w:eastAsia="Courier New" w:hAnsi="Courier New"/>
                <w:sz w:val="18"/>
                <w:szCs w:val="18"/>
                <w:color w:val="auto"/>
                <w:w w:val="97"/>
              </w:rPr>
              <w:t>Holding Company Act of 1935</w:t>
            </w:r>
          </w:p>
        </w:tc>
        <w:tc>
          <w:tcPr>
            <w:tcW w:w="2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w:t>
            </w:r>
          </w:p>
        </w:tc>
      </w:tr>
      <w:tr>
        <w:trPr>
          <w:trHeight w:val="203"/>
        </w:trPr>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or Section 30(h) of the Investment</w:t>
            </w:r>
          </w:p>
        </w:tc>
        <w:tc>
          <w:tcPr>
            <w:tcW w:w="2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80" w:type="dxa"/>
            <w:vAlign w:val="bottom"/>
          </w:tcPr>
          <w:p>
            <w:pPr>
              <w:jc w:val="center"/>
              <w:ind w:right="1212"/>
              <w:spacing w:after="0" w:line="203" w:lineRule="exact"/>
              <w:rPr>
                <w:sz w:val="20"/>
                <w:szCs w:val="20"/>
                <w:color w:val="auto"/>
              </w:rPr>
            </w:pPr>
            <w:r>
              <w:rPr>
                <w:rFonts w:ascii="Courier New" w:cs="Courier New" w:eastAsia="Courier New" w:hAnsi="Courier New"/>
                <w:sz w:val="18"/>
                <w:szCs w:val="18"/>
                <w:color w:val="auto"/>
                <w:w w:val="97"/>
              </w:rPr>
              <w:t>Company Act of 1940</w:t>
            </w:r>
          </w:p>
        </w:tc>
        <w:tc>
          <w:tcPr>
            <w:tcW w:w="2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Name and Address of Reporting Person*</w:t>
      </w:r>
    </w:p>
    <w:p>
      <w:pPr>
        <w:spacing w:after="0" w:line="201" w:lineRule="exact"/>
        <w:rPr>
          <w:sz w:val="24"/>
          <w:szCs w:val="24"/>
          <w:color w:val="auto"/>
        </w:rPr>
      </w:pPr>
    </w:p>
    <w:p>
      <w:pPr>
        <w:ind w:left="540"/>
        <w:spacing w:after="0"/>
        <w:tabs>
          <w:tab w:leader="none" w:pos="3880" w:val="left"/>
          <w:tab w:leader="none" w:pos="6840" w:val="left"/>
        </w:tabs>
        <w:rPr>
          <w:sz w:val="20"/>
          <w:szCs w:val="20"/>
          <w:color w:val="auto"/>
        </w:rPr>
      </w:pPr>
      <w:r>
        <w:rPr>
          <w:rFonts w:ascii="Courier New" w:cs="Courier New" w:eastAsia="Courier New" w:hAnsi="Courier New"/>
          <w:sz w:val="18"/>
          <w:szCs w:val="18"/>
          <w:color w:val="auto"/>
        </w:rPr>
        <w:t>Rubinstein</w:t>
      </w:r>
      <w:r>
        <w:rPr>
          <w:sz w:val="20"/>
          <w:szCs w:val="20"/>
          <w:color w:val="auto"/>
        </w:rPr>
        <w:tab/>
      </w:r>
      <w:r>
        <w:rPr>
          <w:rFonts w:ascii="Courier New" w:cs="Courier New" w:eastAsia="Courier New" w:hAnsi="Courier New"/>
          <w:sz w:val="18"/>
          <w:szCs w:val="18"/>
          <w:color w:val="auto"/>
        </w:rPr>
        <w:t>Marc</w:t>
      </w:r>
      <w:r>
        <w:rPr>
          <w:sz w:val="20"/>
          <w:szCs w:val="20"/>
          <w:color w:val="auto"/>
        </w:rPr>
        <w:tab/>
      </w:r>
      <w:r>
        <w:rPr>
          <w:rFonts w:ascii="Courier New" w:cs="Courier New" w:eastAsia="Courier New" w:hAnsi="Courier New"/>
          <w:sz w:val="16"/>
          <w:szCs w:val="16"/>
          <w:color w:val="auto"/>
        </w:rPr>
        <w:t>H.</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tabs>
          <w:tab w:leader="none" w:pos="3680" w:val="left"/>
          <w:tab w:leader="none" w:pos="6520" w:val="left"/>
        </w:tabs>
        <w:rPr>
          <w:sz w:val="20"/>
          <w:szCs w:val="20"/>
          <w:color w:val="auto"/>
        </w:rPr>
      </w:pPr>
      <w:r>
        <w:rPr>
          <w:rFonts w:ascii="Courier New" w:cs="Courier New" w:eastAsia="Courier New" w:hAnsi="Courier New"/>
          <w:sz w:val="18"/>
          <w:szCs w:val="18"/>
          <w:color w:val="auto"/>
        </w:rPr>
        <w:t>(Last)</w:t>
      </w:r>
      <w:r>
        <w:rPr>
          <w:sz w:val="20"/>
          <w:szCs w:val="20"/>
          <w:color w:val="auto"/>
        </w:rPr>
        <w:tab/>
      </w:r>
      <w:r>
        <w:rPr>
          <w:rFonts w:ascii="Courier New" w:cs="Courier New" w:eastAsia="Courier New" w:hAnsi="Courier New"/>
          <w:sz w:val="18"/>
          <w:szCs w:val="18"/>
          <w:color w:val="auto"/>
        </w:rPr>
        <w:t>(First)</w:t>
      </w:r>
      <w:r>
        <w:rPr>
          <w:sz w:val="20"/>
          <w:szCs w:val="20"/>
          <w:color w:val="auto"/>
        </w:rPr>
        <w:tab/>
      </w:r>
      <w:r>
        <w:rPr>
          <w:rFonts w:ascii="Courier New" w:cs="Courier New" w:eastAsia="Courier New" w:hAnsi="Courier New"/>
          <w:sz w:val="16"/>
          <w:szCs w:val="16"/>
          <w:color w:val="auto"/>
        </w:rPr>
        <w:t>(Middle)</w:t>
      </w:r>
    </w:p>
    <w:p>
      <w:pPr>
        <w:spacing w:after="0" w:line="200"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c/o Wynn Resorts, Limited</w:t>
      </w:r>
    </w:p>
    <w:p>
      <w:pPr>
        <w:ind w:left="2440"/>
        <w:spacing w:after="0" w:line="238" w:lineRule="auto"/>
        <w:rPr>
          <w:sz w:val="20"/>
          <w:szCs w:val="20"/>
          <w:color w:val="auto"/>
        </w:rPr>
      </w:pPr>
      <w:r>
        <w:rPr>
          <w:rFonts w:ascii="Courier New" w:cs="Courier New" w:eastAsia="Courier New" w:hAnsi="Courier New"/>
          <w:sz w:val="18"/>
          <w:szCs w:val="18"/>
          <w:color w:val="auto"/>
        </w:rPr>
        <w:t>3145 Las Vegas Boulevard South</w:t>
      </w:r>
    </w:p>
    <w:p>
      <w:pPr>
        <w:ind w:left="220"/>
        <w:spacing w:after="0"/>
        <w:rPr>
          <w:sz w:val="20"/>
          <w:szCs w:val="20"/>
          <w:color w:val="auto"/>
        </w:rPr>
      </w:pPr>
      <w:r>
        <w:rPr>
          <w:rFonts w:ascii="Courier New" w:cs="Courier New" w:eastAsia="Courier New" w:hAnsi="Courier New"/>
          <w:sz w:val="18"/>
          <w:szCs w:val="18"/>
          <w:color w:val="auto"/>
        </w:rPr>
        <w:t>-------------------------------------------------------------------------</w:t>
      </w:r>
    </w:p>
    <w:p>
      <w:pPr>
        <w:jc w:val="center"/>
        <w:ind w:right="2199"/>
        <w:spacing w:after="0" w:line="237" w:lineRule="auto"/>
        <w:rPr>
          <w:sz w:val="20"/>
          <w:szCs w:val="20"/>
          <w:color w:val="auto"/>
        </w:rPr>
      </w:pPr>
      <w:r>
        <w:rPr>
          <w:rFonts w:ascii="Courier New" w:cs="Courier New" w:eastAsia="Courier New" w:hAnsi="Courier New"/>
          <w:sz w:val="18"/>
          <w:szCs w:val="18"/>
          <w:color w:val="auto"/>
        </w:rPr>
        <w:t>(Street)</w:t>
      </w:r>
    </w:p>
    <w:p>
      <w:pPr>
        <w:spacing w:after="0" w:line="207" w:lineRule="exact"/>
        <w:rPr>
          <w:sz w:val="24"/>
          <w:szCs w:val="24"/>
          <w:color w:val="auto"/>
        </w:rPr>
      </w:pPr>
    </w:p>
    <w:p>
      <w:pPr>
        <w:ind w:left="220" w:right="2319" w:firstLine="527"/>
        <w:spacing w:after="0"/>
        <w:rPr>
          <w:sz w:val="20"/>
          <w:szCs w:val="20"/>
          <w:color w:val="auto"/>
        </w:rPr>
      </w:pPr>
      <w:r>
        <w:rPr>
          <w:rFonts w:ascii="Courier New" w:cs="Courier New" w:eastAsia="Courier New" w:hAnsi="Courier New"/>
          <w:sz w:val="18"/>
          <w:szCs w:val="18"/>
          <w:color w:val="auto"/>
        </w:rPr>
        <w:t>Las Vegas Nevada 89109 ------------------------------------------------------------------------- (City) (State) (Zip)</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Issuer Name and Ticker or Trading Symbol</w:t>
      </w:r>
    </w:p>
    <w:p>
      <w:pPr>
        <w:ind w:left="420"/>
        <w:spacing w:after="0" w:line="238" w:lineRule="auto"/>
        <w:rPr>
          <w:sz w:val="20"/>
          <w:szCs w:val="20"/>
          <w:color w:val="auto"/>
        </w:rPr>
      </w:pPr>
      <w:r>
        <w:rPr>
          <w:rFonts w:ascii="Courier New" w:cs="Courier New" w:eastAsia="Courier New" w:hAnsi="Courier New"/>
          <w:sz w:val="18"/>
          <w:szCs w:val="18"/>
          <w:color w:val="auto"/>
        </w:rPr>
        <w:t>Wynn Resorts, Limited (WYNN)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420" w:right="325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Number of Reporting Person, if an entity (Voluntary)</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740" w:right="6839" w:hanging="732"/>
        <w:spacing w:after="0" w:line="268" w:lineRule="auto"/>
        <w:tabs>
          <w:tab w:leader="none" w:pos="42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for Month/Day/Year January 30, 2003</w:t>
      </w: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Amendment, Date of Original (Month/Day/Year)</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420" w:right="2619" w:hanging="412"/>
        <w:spacing w:after="0" w:line="235"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Relationship of Reporting Person(s) to Issuer (Check all applicable) [ ] Director</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10% Owner</w:t>
      </w:r>
    </w:p>
    <w:p>
      <w:pPr>
        <w:ind w:left="640" w:hanging="211"/>
        <w:spacing w:after="0"/>
        <w:tabs>
          <w:tab w:leader="none" w:pos="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Officer (give title below)</w:t>
      </w:r>
    </w:p>
    <w:p>
      <w:pPr>
        <w:ind w:left="860" w:hanging="431"/>
        <w:spacing w:after="0" w:line="238" w:lineRule="auto"/>
        <w:tabs>
          <w:tab w:leader="none" w:pos="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Other (specify title below)</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Senior Vice President - General Counsel and Secretary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420" w:right="3779" w:hanging="412"/>
        <w:spacing w:after="0" w:line="235"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Individual, or Joint/Group Filing (Check Applicable Line) [ X ] Form filed by One Reporting Person</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Form filed by More than One Reporting Person</w:t>
      </w:r>
    </w:p>
    <w:p>
      <w:pPr>
        <w:spacing w:after="0" w:line="207"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1060" w:right="4099" w:hanging="105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TABLE I - NON-DERIVATIVE SECURITIES ACQUIRED, DISPOSED OF, OR BENEFICIALLY OWNED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540" w:right="6739" w:hanging="532"/>
        <w:spacing w:after="0" w:line="268" w:lineRule="auto"/>
        <w:tabs>
          <w:tab w:leader="none" w:pos="43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Security (Instr. 3) Common Stock, par value $.01</w:t>
      </w: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540" w:right="6319" w:hanging="532"/>
        <w:spacing w:after="0" w:line="268" w:lineRule="auto"/>
        <w:tabs>
          <w:tab w:leader="none" w:pos="43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 Date (Month/Day/Year) January 30, 2003</w:t>
      </w: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2A. Deemed Execution Date, if any (Month/Day/Year)</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 Code (Instr. 8)</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Securities Acquired (A) or Disposed of (D) (Instr. 3, 4, and 5)</w:t>
      </w:r>
    </w:p>
    <w:p>
      <w:pPr>
        <w:sectPr>
          <w:pgSz w:w="11900" w:h="16855" w:orient="portrait"/>
          <w:cols w:equalWidth="0" w:num="1">
            <w:col w:w="10219"/>
          </w:cols>
          <w:pgMar w:left="240" w:top="244" w:right="1440" w:bottom="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Price:</w:t>
      </w:r>
    </w:p>
    <w:p>
      <w:pPr>
        <w:ind w:left="1280" w:hanging="324"/>
        <w:spacing w:after="0" w:line="238" w:lineRule="auto"/>
        <w:tabs>
          <w:tab w:leader="none" w:pos="12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20" w:right="3679" w:hanging="412"/>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of Securities Beneficially Owned Following Reported Transaction(s)</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(Instr. 3 and 4)</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(1)</w:t>
      </w: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7"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Form: Direct(D) or Indirect(I) (Instr. 4)</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w:t>
      </w:r>
    </w:p>
    <w:p>
      <w:pPr>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ind w:left="960" w:right="451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Nature of Indirect Beneficial Ownership (Instr. 4) By son</w:t>
      </w: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160" w:right="2739" w:hanging="1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TABLE II - DERIVATIVE SECURITIES ACQUIRED, DISPOSED OF, OR BENEFICIALLY OWNED</w:t>
      </w:r>
    </w:p>
    <w:p>
      <w:pPr>
        <w:spacing w:after="0" w:line="1"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(E.G., PUTS, CALLS, WARRANTS, OPTIONS, CONVERTIBLE SECURITIES)</w:t>
      </w: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Derivative Security (Instr. 3)</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or Exercise Price of Derivative Security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 Date (Month/Day/Year)</w:t>
      </w:r>
    </w:p>
    <w:p>
      <w:pPr>
        <w:spacing w:after="0" w:line="202"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3A. Deemed Execution Date, if any (Month/Day/Year)</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 Code (Instr. 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308903.01-Los Angeles S2A</w:t>
      </w:r>
    </w:p>
    <w:p>
      <w:pPr>
        <w:spacing w:after="0" w:line="4" w:lineRule="exact"/>
        <w:rPr>
          <w:sz w:val="20"/>
          <w:szCs w:val="20"/>
          <w:color w:val="auto"/>
        </w:rPr>
      </w:pPr>
    </w:p>
    <w:p>
      <w:pPr>
        <w:ind w:left="420" w:right="3159" w:hanging="412"/>
        <w:spacing w:after="0" w:line="235"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Derivative Securities Acquired (A) or Disposed of (D) (Instr. 3, 4, and 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Exercisable and Expiration Date (Month/Day/Year)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and Amount of Underlying Securities (Instr. 3 and 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of Derivative Securities (Instr. 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519" w:hanging="412"/>
        <w:spacing w:after="0" w:line="235"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Derivative Securities Beneficially Owned Following Reported Transaction(s)</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(Instr. 4)</w:t>
      </w:r>
    </w:p>
    <w:p>
      <w:pPr>
        <w:spacing w:after="0" w:line="202"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420" w:right="293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Ownership Form of Derivative Securities Beneficially Owned at End Of Month</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(Instr. 4)</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Nature of Indirect Beneficial Ownership (Instr. 4)</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EXPLANATION OF RESPONSES:</w:t>
      </w:r>
    </w:p>
    <w:p>
      <w:pPr>
        <w:spacing w:after="0" w:line="207" w:lineRule="exact"/>
        <w:rPr>
          <w:sz w:val="20"/>
          <w:szCs w:val="20"/>
          <w:color w:val="auto"/>
        </w:rPr>
      </w:pPr>
    </w:p>
    <w:p>
      <w:pPr>
        <w:ind w:right="1879" w:firstLine="8"/>
        <w:spacing w:after="0" w:line="237" w:lineRule="auto"/>
        <w:tabs>
          <w:tab w:leader="none" w:pos="4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were purchased by Mr. Rubinstein's father, as a gift for Mr. Rubinstein's son. Mr. Rubinstein disclaims beneficial ownership of these securities and this report shall not be deemed an admission that Mr. Rubinstein is the beneficial owner of such securities for purposes of Section 16 or any other purpose.</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 Marc H. Rubinstein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February 3,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ectPr>
          <w:pgSz w:w="11900" w:h="16838" w:orient="portrait"/>
          <w:cols w:equalWidth="0" w:num="2">
            <w:col w:w="4560" w:space="720"/>
            <w:col w:w="4939"/>
          </w:cols>
          <w:pgMar w:left="240" w:top="136" w:right="1440" w:bottom="0" w:gutter="0" w:footer="0" w:header="0"/>
          <w:type w:val="continuous"/>
        </w:sectPr>
      </w:pP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Marc H. Rubinstein</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_____________________</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Reminder: Report on a separate line for each class of securities beneficially owned directly or indirectly.</w:t>
      </w:r>
    </w:p>
    <w:p>
      <w:pPr>
        <w:spacing w:after="0" w:line="208" w:lineRule="exact"/>
        <w:rPr>
          <w:sz w:val="20"/>
          <w:szCs w:val="20"/>
          <w:color w:val="auto"/>
        </w:rPr>
      </w:pPr>
    </w:p>
    <w:p>
      <w:pPr>
        <w:ind w:left="740" w:right="1879" w:hanging="311"/>
        <w:spacing w:after="0" w:line="235"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Form is filed by more than one reporting person, see, Instruction 4(b)(v).</w:t>
      </w:r>
    </w:p>
    <w:p>
      <w:pPr>
        <w:spacing w:after="0" w:line="208" w:lineRule="exact"/>
        <w:rPr>
          <w:sz w:val="20"/>
          <w:szCs w:val="20"/>
          <w:color w:val="auto"/>
        </w:rPr>
      </w:pPr>
    </w:p>
    <w:p>
      <w:pPr>
        <w:ind w:left="740" w:right="2519" w:hanging="416"/>
        <w:spacing w:after="0" w:line="290" w:lineRule="auto"/>
        <w:tabs>
          <w:tab w:leader="none" w:pos="7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INTENTIONAL MISSTATEMENTS OR OMISSIONS OF FACTS CONSTITUTE FEDERAL CRIMINAL VIOLATIONS. SEE 18 U.S.C. 1001 AND 15 U.S.C. 78ff(a).</w:t>
      </w:r>
    </w:p>
    <w:p>
      <w:pPr>
        <w:spacing w:after="0" w:line="170" w:lineRule="exact"/>
        <w:rPr>
          <w:sz w:val="20"/>
          <w:szCs w:val="20"/>
          <w:color w:val="auto"/>
        </w:rPr>
      </w:pPr>
    </w:p>
    <w:p>
      <w:pPr>
        <w:ind w:left="960" w:right="2319" w:hanging="739"/>
        <w:spacing w:after="0" w:line="290" w:lineRule="auto"/>
        <w:tabs>
          <w:tab w:leader="none" w:pos="940" w:val="left"/>
        </w:tabs>
        <w:rPr>
          <w:sz w:val="20"/>
          <w:szCs w:val="20"/>
          <w:color w:val="auto"/>
        </w:rPr>
      </w:pPr>
      <w:r>
        <w:rPr>
          <w:rFonts w:ascii="Courier New" w:cs="Courier New" w:eastAsia="Courier New" w:hAnsi="Courier New"/>
          <w:sz w:val="16"/>
          <w:szCs w:val="16"/>
          <w:color w:val="auto"/>
        </w:rPr>
        <w:t>NOTE:</w:t>
        <w:tab/>
        <w:t>FILE THREE COPIES OF THIS FORM, ONE OF WHICH MUST BE MANUALLY SIGNED. IF SPACE IS INSUFFICIENT, SEE INSTRUCTION 6 FOR PROCEDURE.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2"/>
    </w:lvl>
  </w:abstractNum>
  <w:abstractNum w:abstractNumId="2">
    <w:nsid w:val="519B500D"/>
    <w:multiLevelType w:val="hybridMultilevel"/>
    <w:lvl w:ilvl="0">
      <w:lvlJc w:val="left"/>
      <w:lvlText w:val="%1."/>
      <w:numFmt w:val="decimal"/>
      <w:start w:val="3"/>
    </w:lvl>
  </w:abstractNum>
  <w:abstractNum w:abstractNumId="3">
    <w:nsid w:val="431BD7B7"/>
    <w:multiLevelType w:val="hybridMultilevel"/>
    <w:lvl w:ilvl="0">
      <w:lvlJc w:val="left"/>
      <w:lvlText w:val="%1."/>
      <w:numFmt w:val="decimal"/>
      <w:start w:val="4"/>
    </w:lvl>
  </w:abstractNum>
  <w:abstractNum w:abstractNumId="4">
    <w:nsid w:val="3F2DBA31"/>
    <w:multiLevelType w:val="hybridMultilevel"/>
    <w:lvl w:ilvl="0">
      <w:lvlJc w:val="left"/>
      <w:lvlText w:val="%1."/>
      <w:numFmt w:val="decimal"/>
      <w:start w:val="5"/>
    </w:lvl>
  </w:abstractNum>
  <w:abstractNum w:abstractNumId="5">
    <w:nsid w:val="7C83E458"/>
    <w:multiLevelType w:val="hybridMultilevel"/>
    <w:lvl w:ilvl="0">
      <w:lvlJc w:val="left"/>
      <w:lvlText w:val="%1."/>
      <w:numFmt w:val="decimal"/>
      <w:start w:val="6"/>
    </w:lvl>
  </w:abstractNum>
  <w:abstractNum w:abstractNumId="6">
    <w:nsid w:val="257130A3"/>
    <w:multiLevelType w:val="hybridMultilevel"/>
    <w:lvl w:ilvl="0">
      <w:lvlJc w:val="left"/>
      <w:lvlText w:val="-"/>
      <w:numFmt w:val="bullet"/>
      <w:start w:val="1"/>
    </w:lvl>
    <w:lvl w:ilvl="1">
      <w:lvlJc w:val="left"/>
      <w:lvlText w:val="["/>
      <w:numFmt w:val="bullet"/>
      <w:start w:val="1"/>
    </w:lvl>
  </w:abstractNum>
  <w:abstractNum w:abstractNumId="7">
    <w:nsid w:val="62BBD95A"/>
    <w:multiLevelType w:val="hybridMultilevel"/>
    <w:lvl w:ilvl="0">
      <w:lvlJc w:val="left"/>
      <w:lvlText w:val="%1."/>
      <w:numFmt w:val="decimal"/>
      <w:start w:val="7"/>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2"/>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3"/>
    </w:lvl>
  </w:abstractNum>
  <w:abstractNum w:abstractNumId="13">
    <w:nsid w:val="2D1D5AE9"/>
    <w:multiLevelType w:val="hybridMultilevel"/>
    <w:lvl w:ilvl="0">
      <w:lvlJc w:val="left"/>
      <w:lvlText w:val="-"/>
      <w:numFmt w:val="bullet"/>
      <w:start w:val="1"/>
    </w:lvl>
    <w:lvl w:ilvl="1">
      <w:lvlJc w:val="left"/>
      <w:lvlText w:val="%2"/>
      <w:numFmt w:val="decimal"/>
      <w:start w:val="10"/>
    </w:lvl>
  </w:abstractNum>
  <w:abstractNum w:abstractNumId="14">
    <w:nsid w:val="6763845E"/>
    <w:multiLevelType w:val="hybridMultilevel"/>
    <w:lvl w:ilvl="0">
      <w:lvlJc w:val="left"/>
      <w:lvlText w:val="%1."/>
      <w:numFmt w:val="decimal"/>
      <w:start w:val="5"/>
    </w:lvl>
  </w:abstractNum>
  <w:abstractNum w:abstractNumId="15">
    <w:nsid w:val="75A2A8D4"/>
    <w:multiLevelType w:val="hybridMultilevel"/>
    <w:lvl w:ilvl="0">
      <w:lvlJc w:val="left"/>
      <w:lvlText w:val="%1."/>
      <w:numFmt w:val="decimal"/>
      <w:start w:val="6"/>
    </w:lvl>
  </w:abstractNum>
  <w:abstractNum w:abstractNumId="16">
    <w:nsid w:val="8EDBDAB"/>
    <w:multiLevelType w:val="hybridMultilevel"/>
    <w:lvl w:ilvl="0">
      <w:lvlJc w:val="left"/>
      <w:lvlText w:val="%1."/>
      <w:numFmt w:val="decimal"/>
      <w:start w:val="7"/>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2"/>
    </w:lvl>
  </w:abstractNum>
  <w:abstractNum w:abstractNumId="20">
    <w:nsid w:val="189A769B"/>
    <w:multiLevelType w:val="hybridMultilevel"/>
    <w:lvl w:ilvl="0">
      <w:lvlJc w:val="left"/>
      <w:lvlText w:val="%1."/>
      <w:numFmt w:val="decimal"/>
      <w:start w:val="3"/>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4"/>
    </w:lvl>
  </w:abstractNum>
  <w:abstractNum w:abstractNumId="23">
    <w:nsid w:val="2CA88611"/>
    <w:multiLevelType w:val="hybridMultilevel"/>
    <w:lvl w:ilvl="0">
      <w:lvlJc w:val="left"/>
      <w:lvlText w:val="%1."/>
      <w:numFmt w:val="decimal"/>
      <w:start w:val="5"/>
    </w:lvl>
  </w:abstractNum>
  <w:abstractNum w:abstractNumId="24">
    <w:nsid w:val="836C40E"/>
    <w:multiLevelType w:val="hybridMultilevel"/>
    <w:lvl w:ilvl="0">
      <w:lvlJc w:val="left"/>
      <w:lvlText w:val="%1."/>
      <w:numFmt w:val="decimal"/>
      <w:start w:val="6"/>
    </w:lvl>
  </w:abstractNum>
  <w:abstractNum w:abstractNumId="25">
    <w:nsid w:val="2901D82"/>
    <w:multiLevelType w:val="hybridMultilevel"/>
    <w:lvl w:ilvl="0">
      <w:lvlJc w:val="left"/>
      <w:lvlText w:val="%1."/>
      <w:numFmt w:val="decimal"/>
      <w:start w:val="7"/>
    </w:lvl>
  </w:abstractNum>
  <w:abstractNum w:abstractNumId="26">
    <w:nsid w:val="3A95F874"/>
    <w:multiLevelType w:val="hybridMultilevel"/>
    <w:lvl w:ilvl="0">
      <w:lvlJc w:val="left"/>
      <w:lvlText w:val="%1."/>
      <w:numFmt w:val="decimal"/>
      <w:start w:val="8"/>
    </w:lvl>
  </w:abstractNum>
  <w:abstractNum w:abstractNumId="27">
    <w:nsid w:val="8138641"/>
    <w:multiLevelType w:val="hybridMultilevel"/>
    <w:lvl w:ilvl="0">
      <w:lvlJc w:val="left"/>
      <w:lvlText w:val="%1."/>
      <w:numFmt w:val="decimal"/>
      <w:start w:val="9"/>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2019-12-16T15:51:26Z</dcterms:created>
  <dcterms:modified xsi:type="dcterms:W3CDTF">2019-12-16T15:51:26Z</dcterms:modified>
</cp:coreProperties>
</file>