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15, 2004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333-118741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64770</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64770</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RESORTS, LIMITED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ind w:left="252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46-0484987</w:t>
      </w:r>
    </w:p>
    <w:p>
      <w:pPr>
        <w:spacing w:after="0" w:line="28" w:lineRule="exact"/>
        <w:rPr>
          <w:sz w:val="24"/>
          <w:szCs w:val="24"/>
          <w:color w:val="auto"/>
        </w:rPr>
      </w:pPr>
    </w:p>
    <w:p>
      <w:pPr>
        <w:sectPr>
          <w:pgSz w:w="11900" w:h="16838" w:orient="portrait"/>
          <w:cols w:equalWidth="0" w:num="2">
            <w:col w:w="7540" w:space="720"/>
            <w:col w:w="3160"/>
          </w:cols>
          <w:pgMar w:left="240" w:top="233" w:right="239" w:bottom="1440" w:gutter="0" w:footer="0" w:header="0"/>
          <w:type w:val="continuous"/>
        </w:sectPr>
      </w:pPr>
    </w:p>
    <w:p>
      <w:pPr>
        <w:ind w:left="102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0" w:lineRule="exact"/>
        <w:rPr>
          <w:sz w:val="24"/>
          <w:szCs w:val="24"/>
          <w:color w:val="auto"/>
        </w:rPr>
      </w:pPr>
    </w:p>
    <w:p>
      <w:pPr>
        <w:sectPr>
          <w:pgSz w:w="11900" w:h="16838" w:orient="portrait"/>
          <w:cols w:equalWidth="0" w:num="2">
            <w:col w:w="6980" w:space="720"/>
            <w:col w:w="3720"/>
          </w:cols>
          <w:pgMar w:left="240" w:top="233"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3131 Las Vegas Boulevard South, Las Vegas, Nevada 89109, (702) 770-7555</w:t>
      </w:r>
    </w:p>
    <w:p>
      <w:pPr>
        <w:jc w:val="center"/>
        <w:spacing w:after="0" w:line="232" w:lineRule="auto"/>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Ronald J. Kramer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 Las Vegas, Nevada 89109, (702) 770-7555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62230</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91" w:lineRule="exact"/>
        <w:rPr>
          <w:sz w:val="24"/>
          <w:szCs w:val="24"/>
          <w:color w:val="auto"/>
        </w:rPr>
      </w:pPr>
    </w:p>
    <w:tbl>
      <w:tblPr>
        <w:tblLayout w:type="fixed"/>
        <w:tblInd w:w="158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5780" w:type="dxa"/>
            <w:vAlign w:val="bottom"/>
          </w:tcPr>
          <w:p>
            <w:pPr>
              <w:ind w:left="56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216"/>
        </w:trPr>
        <w:tc>
          <w:tcPr>
            <w:tcW w:w="3000" w:type="dxa"/>
            <w:vAlign w:val="bottom"/>
          </w:tcPr>
          <w:p>
            <w:pPr>
              <w:jc w:val="center"/>
              <w:ind w:right="452"/>
              <w:spacing w:after="0"/>
              <w:rPr>
                <w:sz w:val="20"/>
                <w:szCs w:val="20"/>
                <w:color w:val="auto"/>
              </w:rPr>
            </w:pPr>
            <w:r>
              <w:rPr>
                <w:rFonts w:ascii="Arial" w:cs="Arial" w:eastAsia="Arial" w:hAnsi="Arial"/>
                <w:sz w:val="18"/>
                <w:szCs w:val="18"/>
                <w:b w:val="1"/>
                <w:bCs w:val="1"/>
                <w:color w:val="auto"/>
                <w:w w:val="91"/>
              </w:rPr>
              <w:t>Marc H. Rubinstein</w:t>
            </w:r>
          </w:p>
        </w:tc>
        <w:tc>
          <w:tcPr>
            <w:tcW w:w="5780" w:type="dxa"/>
            <w:vAlign w:val="bottom"/>
          </w:tcPr>
          <w:p>
            <w:pPr>
              <w:jc w:val="center"/>
              <w:ind w:left="2332"/>
              <w:spacing w:after="0"/>
              <w:rPr>
                <w:sz w:val="20"/>
                <w:szCs w:val="20"/>
                <w:color w:val="auto"/>
              </w:rPr>
            </w:pPr>
            <w:r>
              <w:rPr>
                <w:rFonts w:ascii="Arial" w:cs="Arial" w:eastAsia="Arial" w:hAnsi="Arial"/>
                <w:sz w:val="18"/>
                <w:szCs w:val="18"/>
                <w:b w:val="1"/>
                <w:bCs w:val="1"/>
                <w:color w:val="auto"/>
                <w:w w:val="87"/>
              </w:rPr>
              <w:t>Jerome L. Coben</w:t>
            </w:r>
          </w:p>
        </w:tc>
      </w:tr>
      <w:tr>
        <w:trPr>
          <w:trHeight w:val="216"/>
        </w:trPr>
        <w:tc>
          <w:tcPr>
            <w:tcW w:w="3000" w:type="dxa"/>
            <w:vAlign w:val="bottom"/>
          </w:tcPr>
          <w:p>
            <w:pPr>
              <w:jc w:val="center"/>
              <w:ind w:right="452"/>
              <w:spacing w:after="0"/>
              <w:rPr>
                <w:sz w:val="20"/>
                <w:szCs w:val="20"/>
                <w:color w:val="auto"/>
              </w:rPr>
            </w:pPr>
            <w:r>
              <w:rPr>
                <w:rFonts w:ascii="Arial" w:cs="Arial" w:eastAsia="Arial" w:hAnsi="Arial"/>
                <w:sz w:val="18"/>
                <w:szCs w:val="18"/>
                <w:b w:val="1"/>
                <w:bCs w:val="1"/>
                <w:color w:val="auto"/>
                <w:w w:val="89"/>
              </w:rPr>
              <w:t>Wynn Resorts, Limited</w:t>
            </w:r>
          </w:p>
        </w:tc>
        <w:tc>
          <w:tcPr>
            <w:tcW w:w="5780" w:type="dxa"/>
            <w:vAlign w:val="bottom"/>
          </w:tcPr>
          <w:p>
            <w:pPr>
              <w:jc w:val="center"/>
              <w:ind w:left="2352"/>
              <w:spacing w:after="0"/>
              <w:rPr>
                <w:sz w:val="20"/>
                <w:szCs w:val="20"/>
                <w:color w:val="auto"/>
              </w:rPr>
            </w:pPr>
            <w:r>
              <w:rPr>
                <w:rFonts w:ascii="Arial" w:cs="Arial" w:eastAsia="Arial" w:hAnsi="Arial"/>
                <w:sz w:val="18"/>
                <w:szCs w:val="18"/>
                <w:b w:val="1"/>
                <w:bCs w:val="1"/>
                <w:color w:val="auto"/>
                <w:w w:val="90"/>
              </w:rPr>
              <w:t>Skadden, Arps, Slate, Meagher &amp; Flom LLP</w:t>
            </w:r>
          </w:p>
        </w:tc>
      </w:tr>
      <w:tr>
        <w:trPr>
          <w:trHeight w:val="216"/>
        </w:trPr>
        <w:tc>
          <w:tcPr>
            <w:tcW w:w="3000" w:type="dxa"/>
            <w:vAlign w:val="bottom"/>
          </w:tcPr>
          <w:p>
            <w:pPr>
              <w:jc w:val="center"/>
              <w:ind w:right="452"/>
              <w:spacing w:after="0"/>
              <w:rPr>
                <w:sz w:val="20"/>
                <w:szCs w:val="20"/>
                <w:color w:val="auto"/>
              </w:rPr>
            </w:pPr>
            <w:r>
              <w:rPr>
                <w:rFonts w:ascii="Arial" w:cs="Arial" w:eastAsia="Arial" w:hAnsi="Arial"/>
                <w:sz w:val="18"/>
                <w:szCs w:val="18"/>
                <w:b w:val="1"/>
                <w:bCs w:val="1"/>
                <w:color w:val="auto"/>
                <w:w w:val="86"/>
              </w:rPr>
              <w:t>3131 Las Vegas Boulevard South</w:t>
            </w:r>
          </w:p>
        </w:tc>
        <w:tc>
          <w:tcPr>
            <w:tcW w:w="5780" w:type="dxa"/>
            <w:vAlign w:val="bottom"/>
          </w:tcPr>
          <w:p>
            <w:pPr>
              <w:jc w:val="center"/>
              <w:ind w:left="2352"/>
              <w:spacing w:after="0"/>
              <w:rPr>
                <w:sz w:val="20"/>
                <w:szCs w:val="20"/>
                <w:color w:val="auto"/>
              </w:rPr>
            </w:pPr>
            <w:r>
              <w:rPr>
                <w:rFonts w:ascii="Arial" w:cs="Arial" w:eastAsia="Arial" w:hAnsi="Arial"/>
                <w:sz w:val="18"/>
                <w:szCs w:val="18"/>
                <w:b w:val="1"/>
                <w:bCs w:val="1"/>
                <w:color w:val="auto"/>
                <w:w w:val="87"/>
              </w:rPr>
              <w:t>300 South Grand Avenue, Suite 3400</w:t>
            </w:r>
          </w:p>
        </w:tc>
      </w:tr>
      <w:tr>
        <w:trPr>
          <w:trHeight w:val="216"/>
        </w:trPr>
        <w:tc>
          <w:tcPr>
            <w:tcW w:w="3000" w:type="dxa"/>
            <w:vAlign w:val="bottom"/>
          </w:tcPr>
          <w:p>
            <w:pPr>
              <w:jc w:val="center"/>
              <w:ind w:right="452"/>
              <w:spacing w:after="0"/>
              <w:rPr>
                <w:sz w:val="20"/>
                <w:szCs w:val="20"/>
                <w:color w:val="auto"/>
              </w:rPr>
            </w:pPr>
            <w:r>
              <w:rPr>
                <w:rFonts w:ascii="Arial" w:cs="Arial" w:eastAsia="Arial" w:hAnsi="Arial"/>
                <w:sz w:val="18"/>
                <w:szCs w:val="18"/>
                <w:b w:val="1"/>
                <w:bCs w:val="1"/>
                <w:color w:val="auto"/>
                <w:w w:val="87"/>
              </w:rPr>
              <w:t>Las Vegas, Nevada 89109</w:t>
            </w:r>
          </w:p>
        </w:tc>
        <w:tc>
          <w:tcPr>
            <w:tcW w:w="5780" w:type="dxa"/>
            <w:vAlign w:val="bottom"/>
          </w:tcPr>
          <w:p>
            <w:pPr>
              <w:jc w:val="center"/>
              <w:ind w:left="2332"/>
              <w:spacing w:after="0"/>
              <w:rPr>
                <w:sz w:val="20"/>
                <w:szCs w:val="20"/>
                <w:color w:val="auto"/>
              </w:rPr>
            </w:pPr>
            <w:r>
              <w:rPr>
                <w:rFonts w:ascii="Arial" w:cs="Arial" w:eastAsia="Arial" w:hAnsi="Arial"/>
                <w:sz w:val="18"/>
                <w:szCs w:val="18"/>
                <w:b w:val="1"/>
                <w:bCs w:val="1"/>
                <w:color w:val="auto"/>
                <w:w w:val="87"/>
              </w:rPr>
              <w:t>Los Angeles, California 90071</w:t>
            </w:r>
          </w:p>
        </w:tc>
      </w:tr>
      <w:tr>
        <w:trPr>
          <w:trHeight w:val="228"/>
        </w:trPr>
        <w:tc>
          <w:tcPr>
            <w:tcW w:w="3000" w:type="dxa"/>
            <w:vAlign w:val="bottom"/>
          </w:tcPr>
          <w:p>
            <w:pPr>
              <w:jc w:val="center"/>
              <w:ind w:right="452"/>
              <w:spacing w:after="0"/>
              <w:rPr>
                <w:sz w:val="20"/>
                <w:szCs w:val="20"/>
                <w:color w:val="auto"/>
              </w:rPr>
            </w:pPr>
            <w:r>
              <w:rPr>
                <w:rFonts w:ascii="Arial" w:cs="Arial" w:eastAsia="Arial" w:hAnsi="Arial"/>
                <w:sz w:val="18"/>
                <w:szCs w:val="18"/>
                <w:b w:val="1"/>
                <w:bCs w:val="1"/>
                <w:color w:val="auto"/>
                <w:w w:val="89"/>
              </w:rPr>
              <w:t>(702) 770-7555</w:t>
            </w:r>
          </w:p>
        </w:tc>
        <w:tc>
          <w:tcPr>
            <w:tcW w:w="5780" w:type="dxa"/>
            <w:vAlign w:val="bottom"/>
          </w:tcPr>
          <w:p>
            <w:pPr>
              <w:jc w:val="center"/>
              <w:ind w:left="2352"/>
              <w:spacing w:after="0"/>
              <w:rPr>
                <w:sz w:val="20"/>
                <w:szCs w:val="20"/>
                <w:color w:val="auto"/>
              </w:rPr>
            </w:pPr>
            <w:r>
              <w:rPr>
                <w:rFonts w:ascii="Arial" w:cs="Arial" w:eastAsia="Arial" w:hAnsi="Arial"/>
                <w:sz w:val="18"/>
                <w:szCs w:val="18"/>
                <w:b w:val="1"/>
                <w:bCs w:val="1"/>
                <w:color w:val="auto"/>
                <w:w w:val="89"/>
              </w:rPr>
              <w:t>(213) 687-5000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78740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11" w:lineRule="exact"/>
        <w:rPr>
          <w:sz w:val="24"/>
          <w:szCs w:val="24"/>
          <w:color w:val="auto"/>
        </w:rPr>
      </w:pPr>
    </w:p>
    <w:p>
      <w:pPr>
        <w:ind w:left="460" w:right="600"/>
        <w:spacing w:after="0" w:line="289"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this Registration Statement becomes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only securities being registered on this Form are being offered pursuant to dividend or interest reinvestment plans, please check the following</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box. </w:t>
      </w:r>
      <w:r>
        <w:rPr>
          <w:rFonts w:ascii="MS PGothic" w:cs="MS PGothic" w:eastAsia="MS PGothic" w:hAnsi="MS PGothic"/>
          <w:sz w:val="18"/>
          <w:szCs w:val="18"/>
          <w:color w:val="auto"/>
        </w:rPr>
        <w:t>☐</w:t>
      </w:r>
    </w:p>
    <w:p>
      <w:pPr>
        <w:spacing w:after="0" w:line="17" w:lineRule="exact"/>
        <w:rPr>
          <w:sz w:val="24"/>
          <w:szCs w:val="24"/>
          <w:color w:val="auto"/>
        </w:rPr>
      </w:pPr>
    </w:p>
    <w:p>
      <w:pPr>
        <w:ind w:right="300" w:firstLine="456"/>
        <w:spacing w:after="0" w:line="216"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ind w:right="80" w:firstLine="456"/>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5310505</wp:posOffset>
            </wp:positionH>
            <wp:positionV relativeFrom="paragraph">
              <wp:posOffset>-27940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right="560" w:firstLine="456"/>
        <w:spacing w:after="0" w:line="194"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MS PGothic" w:cs="MS PGothic" w:eastAsia="MS PGothic" w:hAnsi="MS PGothic"/>
          <w:sz w:val="18"/>
          <w:szCs w:val="18"/>
          <w:color w:val="auto"/>
        </w:rPr>
        <w:t>☐</w:t>
      </w:r>
    </w:p>
    <w:p>
      <w:pPr>
        <w:spacing w:after="0" w:line="16"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Proposed Maximum</w:t>
            </w: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Proposed Maximum</w:t>
            </w: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240" w:type="dxa"/>
            <w:vAlign w:val="bottom"/>
          </w:tcPr>
          <w:p>
            <w:pPr>
              <w:jc w:val="center"/>
              <w:ind w:left="452"/>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520" w:type="dxa"/>
            <w:vAlign w:val="bottom"/>
          </w:tcPr>
          <w:p>
            <w:pPr>
              <w:spacing w:after="0"/>
              <w:rPr>
                <w:sz w:val="12"/>
                <w:szCs w:val="12"/>
                <w:color w:val="auto"/>
              </w:rPr>
            </w:pPr>
          </w:p>
        </w:tc>
        <w:tc>
          <w:tcPr>
            <w:tcW w:w="1420" w:type="dxa"/>
            <w:vAlign w:val="bottom"/>
          </w:tcPr>
          <w:p>
            <w:pPr>
              <w:jc w:val="center"/>
              <w:ind w:right="412"/>
              <w:spacing w:after="0" w:line="149" w:lineRule="exact"/>
              <w:rPr>
                <w:sz w:val="20"/>
                <w:szCs w:val="20"/>
                <w:color w:val="auto"/>
              </w:rPr>
            </w:pPr>
            <w:r>
              <w:rPr>
                <w:rFonts w:ascii="Arial" w:cs="Arial" w:eastAsia="Arial" w:hAnsi="Arial"/>
                <w:sz w:val="14"/>
                <w:szCs w:val="14"/>
                <w:b w:val="1"/>
                <w:bCs w:val="1"/>
                <w:color w:val="auto"/>
                <w:w w:val="88"/>
              </w:rPr>
              <w:t>Offering Price</w:t>
            </w:r>
          </w:p>
        </w:tc>
        <w:tc>
          <w:tcPr>
            <w:tcW w:w="440" w:type="dxa"/>
            <w:vAlign w:val="bottom"/>
          </w:tcPr>
          <w:p>
            <w:pPr>
              <w:spacing w:after="0"/>
              <w:rPr>
                <w:sz w:val="12"/>
                <w:szCs w:val="12"/>
                <w:color w:val="auto"/>
              </w:rPr>
            </w:pPr>
          </w:p>
        </w:tc>
        <w:tc>
          <w:tcPr>
            <w:tcW w:w="144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86"/>
              </w:rPr>
              <w:t>Aggregate</w:t>
            </w:r>
          </w:p>
        </w:tc>
        <w:tc>
          <w:tcPr>
            <w:tcW w:w="460" w:type="dxa"/>
            <w:vAlign w:val="bottom"/>
          </w:tcPr>
          <w:p>
            <w:pPr>
              <w:spacing w:after="0"/>
              <w:rPr>
                <w:sz w:val="12"/>
                <w:szCs w:val="12"/>
                <w:color w:val="auto"/>
              </w:rPr>
            </w:pP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w w:val="94"/>
              </w:rPr>
              <w:t>Amount of</w:t>
            </w:r>
          </w:p>
        </w:tc>
      </w:tr>
      <w:tr>
        <w:trPr>
          <w:trHeight w:val="175"/>
        </w:trPr>
        <w:tc>
          <w:tcPr>
            <w:tcW w:w="20" w:type="dxa"/>
            <w:vAlign w:val="bottom"/>
          </w:tcPr>
          <w:p>
            <w:pPr>
              <w:spacing w:after="0"/>
              <w:rPr>
                <w:sz w:val="15"/>
                <w:szCs w:val="15"/>
                <w:color w:val="auto"/>
              </w:rPr>
            </w:pPr>
          </w:p>
        </w:tc>
        <w:tc>
          <w:tcPr>
            <w:tcW w:w="388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Title of Securities to be registered</w:t>
            </w:r>
          </w:p>
        </w:tc>
        <w:tc>
          <w:tcPr>
            <w:tcW w:w="2240" w:type="dxa"/>
            <w:vAlign w:val="bottom"/>
            <w:tcBorders>
              <w:bottom w:val="single" w:sz="8" w:color="auto"/>
            </w:tcBorders>
          </w:tcPr>
          <w:p>
            <w:pPr>
              <w:jc w:val="center"/>
              <w:ind w:left="452"/>
              <w:spacing w:after="0"/>
              <w:rPr>
                <w:sz w:val="20"/>
                <w:szCs w:val="20"/>
                <w:color w:val="auto"/>
              </w:rPr>
            </w:pPr>
            <w:r>
              <w:rPr>
                <w:rFonts w:ascii="Arial" w:cs="Arial" w:eastAsia="Arial" w:hAnsi="Arial"/>
                <w:sz w:val="14"/>
                <w:szCs w:val="14"/>
                <w:b w:val="1"/>
                <w:bCs w:val="1"/>
                <w:color w:val="auto"/>
                <w:w w:val="84"/>
              </w:rPr>
              <w:t>Registered(1)</w:t>
            </w:r>
          </w:p>
        </w:tc>
        <w:tc>
          <w:tcPr>
            <w:tcW w:w="5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392"/>
              <w:spacing w:after="0"/>
              <w:rPr>
                <w:sz w:val="20"/>
                <w:szCs w:val="20"/>
                <w:color w:val="auto"/>
              </w:rPr>
            </w:pPr>
            <w:r>
              <w:rPr>
                <w:rFonts w:ascii="Arial" w:cs="Arial" w:eastAsia="Arial" w:hAnsi="Arial"/>
                <w:sz w:val="14"/>
                <w:szCs w:val="14"/>
                <w:b w:val="1"/>
                <w:bCs w:val="1"/>
                <w:color w:val="auto"/>
                <w:w w:val="88"/>
              </w:rPr>
              <w:t>per Share(2)</w:t>
            </w: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392"/>
              <w:spacing w:after="0"/>
              <w:rPr>
                <w:sz w:val="20"/>
                <w:szCs w:val="20"/>
                <w:color w:val="auto"/>
              </w:rPr>
            </w:pPr>
            <w:r>
              <w:rPr>
                <w:rFonts w:ascii="Arial" w:cs="Arial" w:eastAsia="Arial" w:hAnsi="Arial"/>
                <w:sz w:val="14"/>
                <w:szCs w:val="14"/>
                <w:b w:val="1"/>
                <w:bCs w:val="1"/>
                <w:color w:val="auto"/>
                <w:w w:val="89"/>
              </w:rPr>
              <w:t>Offering Price(2)</w:t>
            </w:r>
          </w:p>
        </w:tc>
        <w:tc>
          <w:tcPr>
            <w:tcW w:w="14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8"/>
              </w:rPr>
              <w:t>Registration Fee</w:t>
            </w:r>
          </w:p>
        </w:tc>
      </w:tr>
      <w:tr>
        <w:trPr>
          <w:trHeight w:val="166"/>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Common Stock, par value $.01 per share</w:t>
            </w:r>
          </w:p>
        </w:tc>
        <w:tc>
          <w:tcPr>
            <w:tcW w:w="2240" w:type="dxa"/>
            <w:vAlign w:val="bottom"/>
          </w:tcPr>
          <w:p>
            <w:pPr>
              <w:jc w:val="center"/>
              <w:ind w:left="452"/>
              <w:spacing w:after="0"/>
              <w:rPr>
                <w:sz w:val="20"/>
                <w:szCs w:val="20"/>
                <w:color w:val="auto"/>
              </w:rPr>
            </w:pPr>
            <w:r>
              <w:rPr>
                <w:rFonts w:ascii="Arial" w:cs="Arial" w:eastAsia="Arial" w:hAnsi="Arial"/>
                <w:sz w:val="14"/>
                <w:szCs w:val="14"/>
                <w:color w:val="auto"/>
                <w:w w:val="85"/>
              </w:rPr>
              <w:t>1,333,333 shares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92"/>
              <w:spacing w:after="0"/>
              <w:rPr>
                <w:sz w:val="20"/>
                <w:szCs w:val="20"/>
                <w:color w:val="auto"/>
              </w:rPr>
            </w:pPr>
            <w:r>
              <w:rPr>
                <w:rFonts w:ascii="Arial" w:cs="Arial" w:eastAsia="Arial" w:hAnsi="Arial"/>
                <w:sz w:val="14"/>
                <w:szCs w:val="14"/>
                <w:color w:val="auto"/>
              </w:rPr>
              <w:t>38.51</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92"/>
              <w:spacing w:after="0"/>
              <w:rPr>
                <w:sz w:val="20"/>
                <w:szCs w:val="20"/>
                <w:color w:val="auto"/>
              </w:rPr>
            </w:pPr>
            <w:r>
              <w:rPr>
                <w:rFonts w:ascii="Arial" w:cs="Arial" w:eastAsia="Arial" w:hAnsi="Arial"/>
                <w:sz w:val="14"/>
                <w:szCs w:val="14"/>
                <w:color w:val="auto"/>
              </w:rPr>
              <w:t>51,346,654</w:t>
            </w:r>
          </w:p>
        </w:tc>
        <w:tc>
          <w:tcPr>
            <w:tcW w:w="460" w:type="dxa"/>
            <w:vAlign w:val="bottom"/>
          </w:tcPr>
          <w:p>
            <w:pPr>
              <w:ind w:left="3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6,505.63(3)</w:t>
            </w:r>
          </w:p>
        </w:tc>
      </w:tr>
      <w:tr>
        <w:trPr>
          <w:trHeight w:val="108"/>
        </w:trPr>
        <w:tc>
          <w:tcPr>
            <w:tcW w:w="20" w:type="dxa"/>
            <w:vAlign w:val="bottom"/>
            <w:tcBorders>
              <w:bottom w:val="single" w:sz="8" w:color="auto"/>
            </w:tcBorders>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74" w:lineRule="exact"/>
        <w:rPr>
          <w:sz w:val="24"/>
          <w:szCs w:val="24"/>
          <w:color w:val="auto"/>
        </w:rPr>
      </w:pPr>
    </w:p>
    <w:p>
      <w:pPr>
        <w:ind w:left="340" w:right="300" w:hanging="332"/>
        <w:spacing w:after="0" w:line="268"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shares of common stock set forth in the calculation of registration fee table, and which may be offered pursuant to this registration statement, include, pursuant to Rule 416 of the Securities Act of 1933, as amended, such additional number of shares of the registrant’s common stock as may become issuable as a result of any stock splits, stock dividends or similar event.</w:t>
      </w:r>
    </w:p>
    <w:p>
      <w:pPr>
        <w:ind w:left="340" w:right="32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based on the average of the high and low prices for the registrant’s common stock as reported on the Nasdaq National Market on August 30, 2004, in accordance with Rule 457 under the Securities Act of 1933, as amended.</w:t>
      </w:r>
    </w:p>
    <w:p>
      <w:pPr>
        <w:ind w:left="340" w:hanging="332"/>
        <w:spacing w:after="0" w:line="228"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ind w:right="100" w:firstLine="456"/>
        <w:spacing w:after="0" w:line="25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ind w:right="60"/>
        <w:spacing w:after="0" w:line="249" w:lineRule="auto"/>
        <w:rPr>
          <w:sz w:val="20"/>
          <w:szCs w:val="20"/>
          <w:color w:val="auto"/>
        </w:rPr>
      </w:pPr>
      <w:r>
        <w:rPr>
          <w:rFonts w:ascii="Arial" w:cs="Arial" w:eastAsia="Arial" w:hAnsi="Arial"/>
          <w:sz w:val="18"/>
          <w:szCs w:val="18"/>
          <w:b w:val="1"/>
          <w:bCs w:val="1"/>
          <w:color w:val="DE1A1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it is not soliciting offers to buy these securities in any state where the offer or sale is not permitted.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 Dated September 15, 2004</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Wynn Resorts, Limited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1,333,333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117475</wp:posOffset>
            </wp:positionV>
            <wp:extent cx="2992755" cy="128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This prospectus relates to the offer and sale for cash from time to time by the selling stockholders named in this prospectus of up to 1,333,333 shares of our common stock. We will not receive any of the proceeds from the sale of the shares of common stock by the selling stockholders.</w:t>
      </w:r>
    </w:p>
    <w:p>
      <w:pPr>
        <w:spacing w:after="0" w:line="7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registration of the shares covered by this prospectus does not necessarily mean that any of the shares will be offered or sold by the selling stockholders. The timing and amount of any sale are within the sole discretion of the selling stockholders. The shares of common stock offered hereby may be sold by the selling stockholders in negotiated transactions or otherwise, at market prices prevailing at the time of sale or at negotiated prices. In addition, the shares of common stock may be offered from time to time through ordinary brokerage transactions on the Nasdaq National Market. See “Plan of Distribution.”</w:t>
      </w:r>
    </w:p>
    <w:p>
      <w:pPr>
        <w:spacing w:after="0" w:line="9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common stock is quoted on The Nasdaq National Market under the symbol “WYNN.” Our principal executive offices are located at 3131 Las Vegas Boulevard South, Las Vegas, Nevada 89109, telephone (702) 770-7555. The last reported sale price of our common stock on September 14, 2004 was $41.50 per share.</w:t>
      </w:r>
    </w:p>
    <w:p>
      <w:pPr>
        <w:spacing w:after="0" w:line="108" w:lineRule="exact"/>
        <w:rPr>
          <w:sz w:val="20"/>
          <w:szCs w:val="20"/>
          <w:color w:val="auto"/>
        </w:rPr>
      </w:pPr>
    </w:p>
    <w:p>
      <w:pPr>
        <w:ind w:right="60" w:firstLine="571"/>
        <w:spacing w:after="0" w:line="256" w:lineRule="auto"/>
        <w:rPr>
          <w:sz w:val="20"/>
          <w:szCs w:val="20"/>
          <w:color w:val="auto"/>
        </w:rPr>
      </w:pPr>
      <w:r>
        <w:rPr>
          <w:rFonts w:ascii="Arial" w:cs="Arial" w:eastAsia="Arial" w:hAnsi="Arial"/>
          <w:sz w:val="22"/>
          <w:szCs w:val="22"/>
          <w:b w:val="1"/>
          <w:bCs w:val="1"/>
          <w:color w:val="auto"/>
        </w:rPr>
        <w:t>Investing in our common stock involves risks that are described beginning on page 1 and in our periodic reports filed with the Securities and Exchange Commission.</w:t>
      </w:r>
    </w:p>
    <w:p>
      <w:pPr>
        <w:spacing w:after="0" w:line="108" w:lineRule="exact"/>
        <w:rPr>
          <w:sz w:val="20"/>
          <w:szCs w:val="20"/>
          <w:color w:val="auto"/>
        </w:rPr>
      </w:pPr>
    </w:p>
    <w:p>
      <w:pPr>
        <w:ind w:right="40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1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common stock offered hereby. Any representation to the contrary is unlawful.</w:t>
      </w:r>
    </w:p>
    <w:p>
      <w:pPr>
        <w:spacing w:after="0" w:line="121" w:lineRule="exact"/>
        <w:rPr>
          <w:sz w:val="20"/>
          <w:szCs w:val="20"/>
          <w:color w:val="auto"/>
        </w:rPr>
      </w:pPr>
    </w:p>
    <w:tbl>
      <w:tblPr>
        <w:tblLayout w:type="fixed"/>
        <w:tblInd w:w="3820" w:type="dxa"/>
        <w:tblCellMar>
          <w:top w:w="0" w:type="dxa"/>
          <w:left w:w="0" w:type="dxa"/>
          <w:bottom w:w="0" w:type="dxa"/>
          <w:right w:w="0" w:type="dxa"/>
        </w:tblCellMar>
      </w:tblPr>
      <w:tr>
        <w:trPr>
          <w:trHeight w:val="228"/>
        </w:trPr>
        <w:tc>
          <w:tcPr>
            <w:tcW w:w="274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 2004.</w:t>
            </w:r>
          </w:p>
        </w:tc>
      </w:tr>
    </w:tbl>
    <w:p>
      <w:pPr>
        <w:sectPr>
          <w:pgSz w:w="11900" w:h="16838" w:orient="portrait"/>
          <w:cols w:equalWidth="0" w:num="1">
            <w:col w:w="11400"/>
          </w:cols>
          <w:pgMar w:left="240" w:top="269" w:right="25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20" w:type="dxa"/>
            <w:vAlign w:val="bottom"/>
            <w:gridSpan w:val="2"/>
          </w:tcPr>
          <w:p>
            <w:pPr>
              <w:ind w:left="280"/>
              <w:spacing w:after="0"/>
              <w:rPr>
                <w:sz w:val="20"/>
                <w:szCs w:val="20"/>
                <w:color w:val="auto"/>
              </w:rPr>
            </w:pPr>
            <w:r>
              <w:rPr>
                <w:rFonts w:ascii="Arial" w:cs="Arial" w:eastAsia="Arial" w:hAnsi="Arial"/>
                <w:sz w:val="18"/>
                <w:szCs w:val="18"/>
                <w:b w:val="1"/>
                <w:bCs w:val="1"/>
                <w:color w:val="auto"/>
              </w:rPr>
              <w:t>TABLE OF CONTENTS</w:t>
            </w:r>
          </w:p>
        </w:tc>
        <w:tc>
          <w:tcPr>
            <w:tcW w:w="4500" w:type="dxa"/>
            <w:vAlign w:val="bottom"/>
          </w:tcPr>
          <w:p>
            <w:pPr>
              <w:spacing w:after="0"/>
              <w:rPr>
                <w:sz w:val="19"/>
                <w:szCs w:val="19"/>
                <w:color w:val="auto"/>
              </w:rPr>
            </w:pPr>
          </w:p>
        </w:tc>
      </w:tr>
      <w:tr>
        <w:trPr>
          <w:trHeight w:val="326"/>
        </w:trPr>
        <w:tc>
          <w:tcPr>
            <w:tcW w:w="692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WHERE YOU CAN FIND MORE INFORMATION</w:t>
              </w:r>
            </w:hyperlink>
          </w:p>
        </w:tc>
        <w:tc>
          <w:tcPr>
            <w:tcW w:w="45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196"/>
        </w:trPr>
        <w:tc>
          <w:tcPr>
            <w:tcW w:w="2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INCORPORATION BY REFERENCE</w:t>
              </w:r>
            </w:hyperlink>
          </w:p>
        </w:tc>
        <w:tc>
          <w:tcPr>
            <w:tcW w:w="960" w:type="dxa"/>
            <w:vAlign w:val="bottom"/>
            <w:tcBorders>
              <w:top w:val="single" w:sz="8" w:color="0000EE"/>
            </w:tcBorders>
          </w:tcPr>
          <w:p>
            <w:pPr>
              <w:spacing w:after="0"/>
              <w:rPr>
                <w:sz w:val="17"/>
                <w:szCs w:val="17"/>
                <w:color w:val="auto"/>
              </w:rPr>
            </w:pPr>
          </w:p>
        </w:tc>
        <w:tc>
          <w:tcPr>
            <w:tcW w:w="3200" w:type="dxa"/>
            <w:vAlign w:val="bottom"/>
            <w:gridSpan w:val="3"/>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i</w:t>
            </w:r>
          </w:p>
        </w:tc>
      </w:tr>
      <w:tr>
        <w:trPr>
          <w:trHeight w:val="196"/>
        </w:trPr>
        <w:tc>
          <w:tcPr>
            <w:tcW w:w="522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SPECIAL NOTE REGARDING FORWARD-LOOKING STATEMENTS</w:t>
              </w:r>
            </w:hyperlink>
          </w:p>
        </w:tc>
        <w:tc>
          <w:tcPr>
            <w:tcW w:w="1700" w:type="dxa"/>
            <w:vAlign w:val="bottom"/>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6920" w:type="dxa"/>
            <w:vAlign w:val="bottom"/>
            <w:gridSpan w:val="1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1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1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SELLING STOCKHOLDERS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1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PLAN OF DISTRIBUTION</w:t>
              </w:r>
            </w:hyperlink>
          </w:p>
        </w:tc>
        <w:tc>
          <w:tcPr>
            <w:tcW w:w="4760" w:type="dxa"/>
            <w:vAlign w:val="bottom"/>
            <w:gridSpan w:val="5"/>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LEGAL MATTERS</w:t>
              </w:r>
            </w:hyperlink>
          </w:p>
        </w:tc>
        <w:tc>
          <w:tcPr>
            <w:tcW w:w="4920" w:type="dxa"/>
            <w:vAlign w:val="bottom"/>
            <w:gridSpan w:val="6"/>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4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EXPERTS</w:t>
              </w:r>
            </w:hyperlink>
          </w:p>
        </w:tc>
        <w:tc>
          <w:tcPr>
            <w:tcW w:w="5500" w:type="dxa"/>
            <w:vAlign w:val="bottom"/>
            <w:gridSpan w:val="8"/>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77"/>
        </w:trPr>
        <w:tc>
          <w:tcPr>
            <w:tcW w:w="7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500" w:type="dxa"/>
            <w:vAlign w:val="bottom"/>
          </w:tcPr>
          <w:p>
            <w:pPr>
              <w:spacing w:after="0"/>
              <w:rPr>
                <w:sz w:val="24"/>
                <w:szCs w:val="24"/>
                <w:color w:val="auto"/>
              </w:rPr>
            </w:pPr>
          </w:p>
        </w:tc>
      </w:tr>
    </w:tbl>
    <w:p>
      <w:pPr>
        <w:spacing w:after="0" w:line="24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Unless the context otherwise requires or unless otherwise specified, all references in this prospectus to “Wynn Resorts,” “the Company,” “we,” “us” or “our,” or similar terms, refer to Wynn Resorts, Limited and its consolidated subsidiaries, or, with respect to periods prior to September 24, 2002, to Valvino Lamore, LLC and its consolidated subsidiaries, as the predecessor company of Wynn Resorts, all references to “Wynn Las Vegas entities” refer to our wholly owned subsidiaries, Valvino Lamore, LLC, Wynn Las Vegas, LLC and Wynn Las Vegas Capital Corp. and their consolidated subsidiaries (other than Desert Inn Improvement Co. and Wynn Completion Guarantor, LLC), and all references to the “Wynn Macau Companies” refer to Wynn Resorts (Macau), S.A. and each of its direct and indirect parent companies (other than Wynn Resorts).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may be read and copied at the SEC’s Public Reference Room at 450 Fifth Street, N.W., Washington, D.C. 20549. Please call the SEC at 1-800-SEC-0330 for further information about the public reference room. Wynn Resorts’ filings with the SEC are also available to the public from the SEC’s internet site at http://www.sec.gov. The address of our internet site is http://www.wynnresorts.com, which provides a hyperlink to a third party SEC filing website that posts filings we make with the SEC as soon as reasonably practicable, where such filings can be reviewed without charge.</w:t>
      </w:r>
    </w:p>
    <w:p>
      <w:pPr>
        <w:spacing w:after="0" w:line="10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INCORPORATION BY REFERENCE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77" w:lineRule="exact"/>
        <w:rPr>
          <w:sz w:val="20"/>
          <w:szCs w:val="20"/>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2003, filed on March 15,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2004, filed on May 5,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June 30, 2004, filed on August 3,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 on Form 10-Q/A for the fiscal quarter ended June 30, 2004, filed on August 4, 2004;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3" w:name="page4"/>
    <w:bookmarkEnd w:id="3"/>
    <w:p>
      <w:pPr>
        <w:ind w:left="800" w:right="22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current reports on Form 8-K, filed on April 20, 2004; April 30, 2004; May 5, 2004; May 12, 2004; May 13, 2004; May 20, 2004; June 10, 2004; June 22, 2004; July 26, 2004; August 9, 2004; September 2, 2004; September 8, 2004 and September 14, 2004;</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Registration Statement on Form 8-A, filed on October 7, 2002 (File No. 000-50028); and</w:t>
      </w:r>
    </w:p>
    <w:p>
      <w:pPr>
        <w:spacing w:after="0" w:line="99" w:lineRule="exact"/>
        <w:rPr>
          <w:rFonts w:ascii="Arial" w:cs="Arial" w:eastAsia="Arial" w:hAnsi="Arial"/>
          <w:sz w:val="16"/>
          <w:szCs w:val="16"/>
          <w:color w:val="auto"/>
        </w:rPr>
      </w:pPr>
    </w:p>
    <w:p>
      <w:pPr>
        <w:ind w:left="800" w:right="260" w:hanging="346"/>
        <w:spacing w:after="0" w:line="332"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other documents that we file with the SEC pursuant to Section 13(a), 13(c), 14 or 15(d) of the Exchange Act after the date of this prospectus and prior to termination of the offering of the securities hereunder (other than current reports furnished under Item 9 or Item 12 of Form 8-K).</w:t>
      </w:r>
    </w:p>
    <w:p>
      <w:pPr>
        <w:spacing w:after="0" w:line="72"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0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documents incorporated by reference in this prospectus are available from us upon request. We will provide a copy of any and all of the information that is incorporated by reference in this prospectus to any person, without charge, upon written or oral request. Exhibits to SEC filings will not be sent, however, unless those exhibits have specifically been incorporated by reference in this prospectus. Requests for such copies should be directed to the following:</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(702) 770-7555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Vice President—Investor Relations</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prospectus, including the documents incorporated by reference herein, contains statements that are “forward-looking” statements within the meaning of Section 27A of the Securities Act of 1933, as amended (the “Securities Act”) and Section 21E of the Exchange Act, including, but not limited to, statements relating to our business strategy and development activities, including our opportunity in Macau, as well as other capital spending, financing sources, the effects of regulation (including gaming and tax regulations), expectations concerning future operations, margins, profitability and competition.</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21"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the casino/hotel and resorts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our Wynn Las Vegas casino resort on time and within budget;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4" w:name="page5"/>
    <w:bookmarkEnd w:id="4"/>
    <w:p>
      <w:pPr>
        <w:ind w:left="800" w:hanging="346"/>
        <w:spacing w:after="0"/>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doing business in foreign locations such as Macau (including the risks associated with Macau’s developing gaming regulatory framework);</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800" w:right="64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diseases, such as Severe Acute Respiratory Syndrome (SARS), may have on the travel and leisure industry; and</w:t>
      </w:r>
    </w:p>
    <w:p>
      <w:pPr>
        <w:spacing w:after="0" w:line="37" w:lineRule="exact"/>
        <w:rPr>
          <w:rFonts w:ascii="Arial" w:cs="Arial" w:eastAsia="Arial" w:hAnsi="Arial"/>
          <w:sz w:val="18"/>
          <w:szCs w:val="18"/>
          <w:color w:val="auto"/>
        </w:rPr>
      </w:pPr>
    </w:p>
    <w:p>
      <w:pPr>
        <w:ind w:left="800" w:right="32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consequences of the war in Iraq and other military conflicts in the Middle East and any future security alerts and/or terrorist attacks such as the attacks that occurred on September 11, 2001.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our filings with the SEC.</w:t>
      </w:r>
    </w:p>
    <w:p>
      <w:pPr>
        <w:spacing w:after="0" w:line="18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280" w:right="25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RISK FACTORS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and the risks incorporated by reference from our Annual Report on Form 10-K, filed on March 15, 2004, before making an investment decision. The risks and uncertainties described below and incorporated by reference herein are not the only ones facing our company. Additional risks and uncertainties not presently known to us or that we currently deem immaterial may also impair our business operations. If any of these risks actually occurs, our business, financial condition and results of operations could be materially adversely affected. In that case, the value of our common stock could decline substantially.</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Relating to the Offering</w:t>
      </w:r>
    </w:p>
    <w:p>
      <w:pPr>
        <w:spacing w:after="0" w:line="16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price of our common stock may fluctuate significantly, which may make it difficult for you to resell the common stock issuable when you want or at prices you find attractive.</w:t>
      </w:r>
    </w:p>
    <w:p>
      <w:pPr>
        <w:spacing w:after="0" w:line="3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price of shares of our common stock on the Nasdaq National Market constantly changes. We expect that the market price of our common stock will continue to fluctuate. Holders of our common stock will be subject to the risk of volatility and depressed prices of our common stock.</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price can fluctuate as a result of a variety of factors, many of which are beyond our control. These factors include:</w:t>
      </w:r>
    </w:p>
    <w:p>
      <w:pPr>
        <w:spacing w:after="0" w:line="77" w:lineRule="exact"/>
        <w:rPr>
          <w:sz w:val="20"/>
          <w:szCs w:val="20"/>
          <w:color w:val="auto"/>
        </w:rPr>
      </w:pPr>
    </w:p>
    <w:p>
      <w:pPr>
        <w:ind w:left="800" w:right="60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mergers, acquisitions, joint marketing relationships, joint ventures or capital commitments;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in construction of Wynn Las Vegas or Wynn Macau;</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generally affecting the casino/hotel and resorts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by third parties of significant claims or proceedings against 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regulations and governmental approval of gaming activities;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by securities analysts and investors;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sales of our equity or equity-linked securities;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domestic and international economic conditions.</w:t>
      </w:r>
    </w:p>
    <w:p>
      <w:pPr>
        <w:spacing w:after="0" w:line="15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General market fluctuations, industry factors and general economic and geopolitical conditions and events, such as economic slowdowns or recessions, consumer confidence in the economy, recent terrorist attacks and ongoing military conflicts, also could cause our stock price to decrease.</w:t>
      </w:r>
    </w:p>
    <w:p>
      <w:pPr>
        <w:spacing w:after="0" w:line="7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addition, the stock market in general has experienced extreme volatility that has often been unrelated to the operating performance of a particular company. These broad market fluctuations also may adversely affect the market price of our common stock.</w:t>
      </w:r>
    </w:p>
    <w:p>
      <w:pPr>
        <w:spacing w:after="0" w:line="11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The substantial number of shares of common stock that will be eligible for sale in the near future could cause the market price of our common stock to decline.</w:t>
      </w:r>
    </w:p>
    <w:p>
      <w:pPr>
        <w:spacing w:after="0" w:line="3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 substantial number of shares of our common stock were issued by us in private transactions not involving a public offering and are therefore treated as “restricted securities” for purposes of Rule 144 under the Securities Act. On June 20, 2003, we entered into a strategic business alliance with SBM, and in connection therewith, we sold 3,000,000 shares of our common stock to SBM for $45 million in a privately negotiated, all cash transaction. In return, SBM has agreed, subject to certain exceptions, to refrain from transferring its shares prior to April 1,</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74" w:right="319" w:bottom="1440" w:gutter="0" w:footer="0" w:header="0"/>
        </w:sectPr>
      </w:pPr>
    </w:p>
    <w:bookmarkStart w:id="6" w:name="page7"/>
    <w:bookmarkEnd w:id="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2005, and will be entitled to certain registration rights thereafter. As of June 30, 2004, we had outstanding 43,000,000 such “restricted” shares of common stock, 40,000,000 of which are held by certain of our affiliates and 3,000,000 of which are held by SBM. If these “affiliated” holders comply with the applicable holding periods, volume limits and other conditions prescribed in Rule 144 under the Securities Act, these unregistered shares of common stock may be freely tradable. In addition, as of June 30, 2004, there were 2,050,000 shares of common stock reserved and subject to issuance upon exercise of outstanding options, warrants or other convertible rights. Lastly, we have granted our Chairman and Chief Executive Officer, Stephen A. Wynn, demand and piggyback registration rights with respect to any shares of our common stock he purchases from Aruze USA.</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No predictions can be made as to the effect, if any, that the issuance and availability for future market sales of shares of our common stock will have on the market price of our common stock prevailing from time to time. Sales of substantial amounts of our common stock (including shares issued upon the conversion of convertible securities), or the perception that such sales could occur, could materially adversely affect the prevailing market price for our common stock and could impair our future ability to raise capital through an offering of equity or equity-linked securities.</w:t>
      </w:r>
    </w:p>
    <w:p>
      <w:pPr>
        <w:spacing w:after="0" w:line="9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upon resale of the common stock by the selling stockholders.</w:t>
      </w:r>
    </w:p>
    <w:p>
      <w:pPr>
        <w:spacing w:after="0" w:line="152"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SELLING STOCKHOLDERS</w:t>
      </w:r>
    </w:p>
    <w:p>
      <w:pPr>
        <w:spacing w:after="0" w:line="16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selling stockholders may from time to time offer and sell pursuant to this prospectus any or all of the shares of common stock listed below. When we refer to the “selling stockholders” in this prospectus, we mean those persons listed in the table below, as well as the pledgees, donees, assignees, transferees, successors and others who later hold any of the selling stockholders’ interests. Because the selling stockholders are not obligated to sell the shares of common stock, we cannot estimate how many shares of common stock the selling stockholders will hold upon consummation of any such sales.</w:t>
      </w:r>
    </w:p>
    <w:p>
      <w:pPr>
        <w:spacing w:after="0" w:line="9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table below sets forth the name of each selling stockholder and number of shares of common stock that each selling stockholder may offer pursuant to this prospectus. Information concerning the selling stockholders may change from time to time and any changed information will be set forth in supplements to this prospectus to the extent required.</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60" w:type="dxa"/>
            <w:vAlign w:val="bottom"/>
          </w:tcPr>
          <w:p>
            <w:pPr>
              <w:jc w:val="right"/>
              <w:ind w:right="492"/>
              <w:spacing w:after="0"/>
              <w:rPr>
                <w:sz w:val="20"/>
                <w:szCs w:val="20"/>
                <w:color w:val="auto"/>
              </w:rPr>
            </w:pPr>
            <w:r>
              <w:rPr>
                <w:rFonts w:ascii="Arial" w:cs="Arial" w:eastAsia="Arial" w:hAnsi="Arial"/>
                <w:sz w:val="14"/>
                <w:szCs w:val="14"/>
                <w:b w:val="1"/>
                <w:bCs w:val="1"/>
                <w:color w:val="auto"/>
              </w:rPr>
              <w:t>Number of Shares</w:t>
            </w:r>
          </w:p>
        </w:tc>
        <w:tc>
          <w:tcPr>
            <w:tcW w:w="600" w:type="dxa"/>
            <w:vAlign w:val="bottom"/>
          </w:tcPr>
          <w:p>
            <w:pPr>
              <w:spacing w:after="0"/>
              <w:rPr>
                <w:sz w:val="14"/>
                <w:szCs w:val="14"/>
                <w:color w:val="auto"/>
              </w:rPr>
            </w:pPr>
          </w:p>
        </w:tc>
        <w:tc>
          <w:tcPr>
            <w:tcW w:w="1760" w:type="dxa"/>
            <w:vAlign w:val="bottom"/>
          </w:tcPr>
          <w:p>
            <w:pPr>
              <w:jc w:val="right"/>
              <w:ind w:right="292"/>
              <w:spacing w:after="0"/>
              <w:rPr>
                <w:sz w:val="20"/>
                <w:szCs w:val="20"/>
                <w:color w:val="auto"/>
              </w:rPr>
            </w:pPr>
            <w:r>
              <w:rPr>
                <w:rFonts w:ascii="Arial" w:cs="Arial" w:eastAsia="Arial" w:hAnsi="Arial"/>
                <w:sz w:val="14"/>
                <w:szCs w:val="14"/>
                <w:b w:val="1"/>
                <w:bCs w:val="1"/>
                <w:color w:val="auto"/>
              </w:rPr>
              <w:t>Number of Shares</w:t>
            </w:r>
          </w:p>
        </w:tc>
        <w:tc>
          <w:tcPr>
            <w:tcW w:w="6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Name of Selling Stockholder</w:t>
            </w:r>
          </w:p>
        </w:tc>
        <w:tc>
          <w:tcPr>
            <w:tcW w:w="960" w:type="dxa"/>
            <w:vAlign w:val="bottom"/>
          </w:tcPr>
          <w:p>
            <w:pPr>
              <w:spacing w:after="0"/>
              <w:rPr>
                <w:sz w:val="15"/>
                <w:szCs w:val="15"/>
                <w:color w:val="auto"/>
              </w:rPr>
            </w:pPr>
          </w:p>
        </w:tc>
        <w:tc>
          <w:tcPr>
            <w:tcW w:w="2160" w:type="dxa"/>
            <w:vAlign w:val="bottom"/>
          </w:tcPr>
          <w:p>
            <w:pPr>
              <w:jc w:val="right"/>
              <w:ind w:right="192"/>
              <w:spacing w:after="0"/>
              <w:rPr>
                <w:sz w:val="20"/>
                <w:szCs w:val="20"/>
                <w:color w:val="auto"/>
              </w:rPr>
            </w:pPr>
            <w:r>
              <w:rPr>
                <w:rFonts w:ascii="Arial" w:cs="Arial" w:eastAsia="Arial" w:hAnsi="Arial"/>
                <w:sz w:val="14"/>
                <w:szCs w:val="14"/>
                <w:b w:val="1"/>
                <w:bCs w:val="1"/>
                <w:color w:val="auto"/>
              </w:rPr>
              <w:t>Owned Prior to the Offering</w:t>
            </w:r>
          </w:p>
        </w:tc>
        <w:tc>
          <w:tcPr>
            <w:tcW w:w="600" w:type="dxa"/>
            <w:vAlign w:val="bottom"/>
          </w:tcPr>
          <w:p>
            <w:pPr>
              <w:spacing w:after="0"/>
              <w:rPr>
                <w:sz w:val="15"/>
                <w:szCs w:val="15"/>
                <w:color w:val="auto"/>
              </w:rPr>
            </w:pPr>
          </w:p>
        </w:tc>
        <w:tc>
          <w:tcPr>
            <w:tcW w:w="1760" w:type="dxa"/>
            <w:vAlign w:val="bottom"/>
          </w:tcPr>
          <w:p>
            <w:pPr>
              <w:jc w:val="right"/>
              <w:ind w:right="152"/>
              <w:spacing w:after="0"/>
              <w:rPr>
                <w:sz w:val="20"/>
                <w:szCs w:val="20"/>
                <w:color w:val="auto"/>
              </w:rPr>
            </w:pPr>
            <w:r>
              <w:rPr>
                <w:rFonts w:ascii="Arial" w:cs="Arial" w:eastAsia="Arial" w:hAnsi="Arial"/>
                <w:sz w:val="14"/>
                <w:szCs w:val="14"/>
                <w:b w:val="1"/>
                <w:bCs w:val="1"/>
                <w:color w:val="auto"/>
              </w:rPr>
              <w:t>Offered in the Offering</w:t>
            </w:r>
          </w:p>
        </w:tc>
        <w:tc>
          <w:tcPr>
            <w:tcW w:w="60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8"/>
              </w:rPr>
              <w:t>Owned After the Offering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Classic Wave Limited</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141,666</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141,666</w:t>
            </w:r>
          </w:p>
        </w:tc>
        <w:tc>
          <w:tcPr>
            <w:tcW w:w="60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L’Arc de Triomphe Limited</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141,667</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141,667</w:t>
            </w:r>
          </w:p>
        </w:tc>
        <w:tc>
          <w:tcPr>
            <w:tcW w:w="6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S.H.W. &amp; Co. Limited</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60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SKKG Limited</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6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Classic Wave Limited and L’Arc de Triomphe Limited, companies wholly owned by Kwan Yan Ming, owned shares representing in the aggregate 7.8% of the value and 4.7% of the voting power of our subsidiary Wynn Resorts (Macau) Holdings, Ltd. On September 1, 2004, Kwan Yan Ming, Classic Wave Limited, L’Arc de Triomphe Limited and our subsidiary Wynn Resorts International, Ltd. (“WRIL”) entered into exchange agreements with us. Pursuant to the exchange agreements, WRIL acquired all of Classic Wave Limited’s and L’Arc de Triomphe Limited’s interests in Wynn Resorts (Macau) Holdings, Ltd. Classic Wave Limited and L’Arc de Triomphe Limited received 141,666 and 141,667 shares of our common stock, respectively. Incident to the exchange agreements, we entered into a registration rights agreement with Classic Wave Limited and L’Arc de Triomphe Limited obligating us to file the registration statement of which this prospectus is a part.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7" w:name="page8"/>
    <w:bookmarkEnd w:id="7"/>
    <w:p>
      <w:pPr>
        <w:ind w:right="100" w:firstLine="456"/>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Wong Chi Seng, directly or through his wholly-owned company S.H.W. &amp; Co. Limited, owned certain securities of our subsidiaries, including shares representing 19.6% of the value and 11.8% of the voting power of Wynn Resorts (Macau) Holdings, Ltd. and 10% of the capital and voting power of Wynn Resorts (Macau), S.A. On August 28, 2004, Mr. Wong, S.H.W. &amp; Co. Limited and WRIL entered into an exchange agreement with us. Pursuant to the exchange agreement, WRIL acquired all of S.H.W. &amp; Co. Limited’s and Mr. Wong’s interest in Wynn Resorts (Macau) Holdings, Ltd., and Mr. Wong’s entitlement to preferential capital distributions from Wynn Resorts (Macau), S.A. was reduced to an amount not to exceed One Macau Pataca, and S.H.W. &amp; Co. Limited received 1,000,000 shares of our common stock. Incident to the exchange agreement, we entered into a registration rights agreement with S.H.W. &amp; Co. Limited obligating us to file the registration statement of which this prospectus is a part. Mr. Wong served as a director of Wynn Resorts (Macau) Holdings, Ltd. prior to the consummation of the transactions contemplated by the exchange agreement and is the Executive Director of Wynn Resorts (Macau), S.A.</w:t>
      </w:r>
    </w:p>
    <w:p>
      <w:pPr>
        <w:spacing w:after="0" w:line="9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SKKG Limited, a company wholly owned by Wong Chi Seng owned shares representing 6.9% of the value and 4.2% of the voting power of our subsidiary Wynn Resorts (Macau) Holdings, Ltd. On September 1, 2004, Wong Chi Seng, SKKG Limited and WRIL entered into an exchange agreement with us. Pursuant to the exchange agreement, WRIL acquired all of SKKG’s interests in Wynn Resorts (Macau) Holdings, Ltd., and SKKG Limited received 50,000 shares of our common stock. Incident to the exchange agreement, we entered into a registration rights agreement with SKKG Limited obligating us to file the registration statement of which this prospectus is a part.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This prospectus relates to the offer and sale from time to time by the selling stockholders of up to 1,333,333 shares of our common stock. We will not receive any of the proceeds from the sale by the selling stockholders of the common stock. We will bear all out-of-pocket fees and expenses incurred by us in connection with the registration of the common stock offered hereby. The selling stockholders will bear any and all brokerage fees and commissions, if any.</w:t>
      </w:r>
    </w:p>
    <w:p>
      <w:pPr>
        <w:spacing w:after="0" w:line="7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selling stockholders may offer and sell the common stock from time to time in one or more transactions at fixed prices, at prevailing market prices at the time of sale, at varying prices determined at the time of sale or at negotiated prices. These prices will be determined by the selling stockholders or by agreement between such holders and brokers or dealers who may receive brokerage fees or commissions in connection with such sale. Such sales may be effected by a variety of methods, including the following:</w:t>
      </w:r>
    </w:p>
    <w:p>
      <w:pPr>
        <w:spacing w:after="0" w:line="49"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market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the writing of options;</w:t>
      </w:r>
    </w:p>
    <w:p>
      <w:pPr>
        <w:spacing w:after="0" w:line="76" w:lineRule="exact"/>
        <w:rPr>
          <w:rFonts w:ascii="Arial" w:cs="Arial" w:eastAsia="Arial" w:hAnsi="Arial"/>
          <w:sz w:val="18"/>
          <w:szCs w:val="18"/>
          <w:color w:val="auto"/>
        </w:rPr>
      </w:pPr>
    </w:p>
    <w:p>
      <w:pPr>
        <w:ind w:left="800" w:right="62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of securities as agent but may position and resell a portion of the block as principal to facilitate the transaction;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broker-dealers, which may act as agents or principals;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any combination of the above or by any other legally available means.</w:t>
      </w:r>
    </w:p>
    <w:p>
      <w:pPr>
        <w:spacing w:after="0" w:line="15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connection with the sales of the common stock or otherwise, the selling stockholders may enter into hedging transactions with broker-dealers, which may in turn engage in short sales of the offered securities, short and deliver the common stock to close out such short positions, or loan or pledge the common stock to broker-dealers that in turn may sell such securities.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8" w:name="page9"/>
    <w:bookmarkEnd w:id="8"/>
    <w:p>
      <w:pPr>
        <w:ind w:right="3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material arrangement with any broker, dealer or other agent is entered into for the sale of the common stock through a secondary distribution or a purchase by a broker or dealer, or if other material changes are made in the plan of distribution of the common stock, a prospectus supplement will be filed, if necessary, under the Securities Act disclosing the material terms and conditions of such arrangement.</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our knowledge, there are currently no plans, arrangements or understandings between the selling stockholders and any broker-dealer or agent regarding the sale of the common stock by the selling stockholders. The selling stockholders may decide not to sell all or a portion of the common stock offered pursuant to this prospectus. In addition, the selling stockholders may transfer, devise or give the common stock by other means not described in this prospectus. Any common stock covered by this prospectus that qualifies for sale pursuant to Rule 144 of the Securities Act may be sold under Rule 144 rather than pursuant to this prospectus.</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selling stockholders and any broker-dealers or agents participating in the distribution of the common stock may be deemed to be “underwriters” within the meaning of the Securities Act, and any profit on the sale of the common stock by the selling stockholders and any commissions received by any such broker-dealers or agents may be deemed to be underwriting commissions under the Securities Act. If the selling stockholders were deemed to be underwriters, the selling stockholders may be subject to statutory liabilities including, but not limited to, those of Sections 11, 12 and 17 of the Securities Act and Rule 10b-5 under the Exchange Act.</w:t>
      </w:r>
    </w:p>
    <w:p>
      <w:pPr>
        <w:spacing w:after="0" w:line="12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selling stockholders and any other person participating in the distribution will be subject to the applicable provisions of the Exchange Act and the rules and regulations under the Exchange Act, including, without limitation, Regulation M, which may limit the timing of purchases and sales of any of the common stock by the selling stockholders and any other relevant person. Furthermore, Regulation M may restrict the ability of any person engaged in the distribution of the common stock to engage in market-making activities with respect to the particular common stock being distributed. All of the above may affect the marketability of the common stock and the ability of any person or entity to engage in market-making activities with respect to the common stock.</w:t>
      </w:r>
    </w:p>
    <w:p>
      <w:pPr>
        <w:spacing w:after="0" w:line="9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legal matters regarding the common stock offered hereby will be passed upon for us by Schreck Brignone, Las Vegas, Nevada.</w:t>
      </w:r>
    </w:p>
    <w:p>
      <w:pPr>
        <w:spacing w:after="0" w:line="15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consolidated financial statements incorporated in this prospectus by reference from Wynn Resorts’ Annual Report on Form 10-K for the year ended December 31, 2003 have been audited by Deloitte &amp; Touche LLP, an independent registered public accounting firm, as stated in their report which is incorporated herein by reference and have been so incorporated in reliance upon the report of such firm given upon their authority as experts in accounting and auditing.</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the fees and expenses payable by the Registrant in connection with the registration and sale of the securities being registered hereby. All of such fees and expenses, except the SEC registration fee are estimated.</w:t>
      </w:r>
    </w:p>
    <w:p>
      <w:pPr>
        <w:spacing w:after="0" w:line="12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3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7,294.37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8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in the right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in the right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Resorts’ bylaws provide that it will indemnify its directors and officers to the maximum extent permitted by Nevada law, including in circumstances in which indemnification is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16. Exhibits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00" w:type="dxa"/>
            <w:vAlign w:val="bottom"/>
            <w:gridSpan w:val="2"/>
          </w:tcPr>
          <w:p>
            <w:pPr>
              <w:ind w:left="80"/>
              <w:spacing w:after="0"/>
              <w:rPr>
                <w:sz w:val="20"/>
                <w:szCs w:val="20"/>
                <w:color w:val="auto"/>
              </w:rPr>
            </w:pPr>
            <w:r>
              <w:rPr>
                <w:rFonts w:ascii="Arial" w:cs="Arial" w:eastAsia="Arial" w:hAnsi="Arial"/>
                <w:sz w:val="14"/>
                <w:szCs w:val="14"/>
                <w:b w:val="1"/>
                <w:bCs w:val="1"/>
                <w:color w:val="auto"/>
              </w:rPr>
              <w:t>Exhibit No.</w:t>
            </w:r>
          </w:p>
        </w:tc>
        <w:tc>
          <w:tcPr>
            <w:tcW w:w="94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2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560" w:type="dxa"/>
            <w:vAlign w:val="bottom"/>
          </w:tcPr>
          <w:p>
            <w:pPr>
              <w:spacing w:after="0"/>
              <w:rPr>
                <w:sz w:val="8"/>
                <w:szCs w:val="8"/>
                <w:color w:val="auto"/>
              </w:rPr>
            </w:pPr>
          </w:p>
        </w:tc>
      </w:tr>
      <w:tr>
        <w:trPr>
          <w:trHeight w:val="316"/>
        </w:trPr>
        <w:tc>
          <w:tcPr>
            <w:tcW w:w="1900" w:type="dxa"/>
            <w:vAlign w:val="bottom"/>
            <w:gridSpan w:val="2"/>
          </w:tcPr>
          <w:p>
            <w:pPr>
              <w:jc w:val="right"/>
              <w:ind w:right="1080"/>
              <w:spacing w:after="0"/>
              <w:rPr>
                <w:sz w:val="20"/>
                <w:szCs w:val="20"/>
                <w:color w:val="auto"/>
              </w:rPr>
            </w:pPr>
            <w:r>
              <w:rPr>
                <w:rFonts w:ascii="Arial" w:cs="Arial" w:eastAsia="Arial" w:hAnsi="Arial"/>
                <w:sz w:val="18"/>
                <w:szCs w:val="18"/>
                <w:color w:val="auto"/>
              </w:rPr>
              <w:t>4.1</w:t>
            </w:r>
          </w:p>
        </w:tc>
        <w:tc>
          <w:tcPr>
            <w:tcW w:w="9440" w:type="dxa"/>
            <w:vAlign w:val="bottom"/>
            <w:gridSpan w:val="2"/>
          </w:tcPr>
          <w:p>
            <w:pPr>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24"/>
        </w:trPr>
        <w:tc>
          <w:tcPr>
            <w:tcW w:w="1900" w:type="dxa"/>
            <w:vAlign w:val="bottom"/>
            <w:gridSpan w:val="2"/>
          </w:tcPr>
          <w:p>
            <w:pPr>
              <w:jc w:val="right"/>
              <w:ind w:right="1080"/>
              <w:spacing w:after="0"/>
              <w:rPr>
                <w:sz w:val="20"/>
                <w:szCs w:val="20"/>
                <w:color w:val="auto"/>
              </w:rPr>
            </w:pPr>
            <w:r>
              <w:rPr>
                <w:rFonts w:ascii="Arial" w:cs="Arial" w:eastAsia="Arial" w:hAnsi="Arial"/>
                <w:sz w:val="18"/>
                <w:szCs w:val="18"/>
                <w:color w:val="auto"/>
              </w:rPr>
              <w:t>4.2</w:t>
            </w:r>
          </w:p>
        </w:tc>
        <w:tc>
          <w:tcPr>
            <w:tcW w:w="9440" w:type="dxa"/>
            <w:vAlign w:val="bottom"/>
            <w:gridSpan w:val="2"/>
          </w:tcPr>
          <w:p>
            <w:pPr>
              <w:spacing w:after="0"/>
              <w:rPr>
                <w:sz w:val="20"/>
                <w:szCs w:val="20"/>
                <w:color w:val="auto"/>
              </w:rPr>
            </w:pPr>
            <w:r>
              <w:rPr>
                <w:rFonts w:ascii="Arial" w:cs="Arial" w:eastAsia="Arial" w:hAnsi="Arial"/>
                <w:sz w:val="18"/>
                <w:szCs w:val="18"/>
                <w:color w:val="auto"/>
              </w:rPr>
              <w:t>Third Amended and Restated Bylaws of the Registrant, as amended. (2)</w:t>
            </w:r>
          </w:p>
        </w:tc>
      </w:tr>
      <w:tr>
        <w:trPr>
          <w:trHeight w:val="324"/>
        </w:trPr>
        <w:tc>
          <w:tcPr>
            <w:tcW w:w="1900" w:type="dxa"/>
            <w:vAlign w:val="bottom"/>
            <w:gridSpan w:val="2"/>
          </w:tcPr>
          <w:p>
            <w:pPr>
              <w:jc w:val="right"/>
              <w:ind w:right="1080"/>
              <w:spacing w:after="0"/>
              <w:rPr>
                <w:sz w:val="20"/>
                <w:szCs w:val="20"/>
                <w:color w:val="auto"/>
              </w:rPr>
            </w:pPr>
            <w:r>
              <w:rPr>
                <w:rFonts w:ascii="Arial" w:cs="Arial" w:eastAsia="Arial" w:hAnsi="Arial"/>
                <w:sz w:val="18"/>
                <w:szCs w:val="18"/>
                <w:color w:val="auto"/>
              </w:rPr>
              <w:t>4.3</w:t>
            </w:r>
          </w:p>
        </w:tc>
        <w:tc>
          <w:tcPr>
            <w:tcW w:w="9440" w:type="dxa"/>
            <w:vAlign w:val="bottom"/>
            <w:gridSpan w:val="2"/>
          </w:tcPr>
          <w:p>
            <w:pPr>
              <w:spacing w:after="0"/>
              <w:rPr>
                <w:sz w:val="20"/>
                <w:szCs w:val="20"/>
                <w:color w:val="auto"/>
              </w:rPr>
            </w:pPr>
            <w:r>
              <w:rPr>
                <w:rFonts w:ascii="Arial" w:cs="Arial" w:eastAsia="Arial" w:hAnsi="Arial"/>
                <w:sz w:val="18"/>
                <w:szCs w:val="18"/>
                <w:color w:val="auto"/>
                <w:w w:val="90"/>
              </w:rPr>
              <w:t>Registration Rights Agreement, dated as of August 28, 2004, by and between S.H.W. &amp; Co. Limited and Wynn Resorts, Limited. (3)</w:t>
            </w:r>
          </w:p>
        </w:tc>
      </w:tr>
      <w:tr>
        <w:trPr>
          <w:trHeight w:val="324"/>
        </w:trPr>
        <w:tc>
          <w:tcPr>
            <w:tcW w:w="1900" w:type="dxa"/>
            <w:vAlign w:val="bottom"/>
            <w:gridSpan w:val="2"/>
          </w:tcPr>
          <w:p>
            <w:pPr>
              <w:jc w:val="right"/>
              <w:ind w:right="1080"/>
              <w:spacing w:after="0"/>
              <w:rPr>
                <w:sz w:val="20"/>
                <w:szCs w:val="20"/>
                <w:color w:val="auto"/>
              </w:rPr>
            </w:pPr>
            <w:r>
              <w:rPr>
                <w:rFonts w:ascii="Arial" w:cs="Arial" w:eastAsia="Arial" w:hAnsi="Arial"/>
                <w:sz w:val="18"/>
                <w:szCs w:val="18"/>
                <w:color w:val="auto"/>
              </w:rPr>
              <w:t>4.4</w:t>
            </w:r>
          </w:p>
        </w:tc>
        <w:tc>
          <w:tcPr>
            <w:tcW w:w="9440" w:type="dxa"/>
            <w:vAlign w:val="bottom"/>
            <w:gridSpan w:val="2"/>
          </w:tcPr>
          <w:p>
            <w:pPr>
              <w:spacing w:after="0"/>
              <w:rPr>
                <w:sz w:val="20"/>
                <w:szCs w:val="20"/>
                <w:color w:val="auto"/>
              </w:rPr>
            </w:pPr>
            <w:r>
              <w:rPr>
                <w:rFonts w:ascii="Arial" w:cs="Arial" w:eastAsia="Arial" w:hAnsi="Arial"/>
                <w:sz w:val="18"/>
                <w:szCs w:val="18"/>
                <w:color w:val="auto"/>
                <w:w w:val="88"/>
              </w:rPr>
              <w:t>Registration Rights Agreement, dated as of September 1, 2004, by and between Classic Wave Limited and Wynn Resorts, Limited. (3)</w:t>
            </w:r>
          </w:p>
        </w:tc>
      </w:tr>
      <w:tr>
        <w:trPr>
          <w:trHeight w:val="318"/>
        </w:trPr>
        <w:tc>
          <w:tcPr>
            <w:tcW w:w="1900" w:type="dxa"/>
            <w:vAlign w:val="bottom"/>
            <w:gridSpan w:val="2"/>
          </w:tcPr>
          <w:p>
            <w:pPr>
              <w:jc w:val="right"/>
              <w:ind w:right="1080"/>
              <w:spacing w:after="0"/>
              <w:rPr>
                <w:sz w:val="20"/>
                <w:szCs w:val="20"/>
                <w:color w:val="auto"/>
              </w:rPr>
            </w:pPr>
            <w:r>
              <w:rPr>
                <w:rFonts w:ascii="Arial" w:cs="Arial" w:eastAsia="Arial" w:hAnsi="Arial"/>
                <w:sz w:val="18"/>
                <w:szCs w:val="18"/>
                <w:color w:val="auto"/>
              </w:rPr>
              <w:t>4.5</w:t>
            </w:r>
          </w:p>
        </w:tc>
        <w:tc>
          <w:tcPr>
            <w:tcW w:w="9440" w:type="dxa"/>
            <w:vAlign w:val="bottom"/>
            <w:gridSpan w:val="2"/>
          </w:tcPr>
          <w:p>
            <w:pPr>
              <w:spacing w:after="0"/>
              <w:rPr>
                <w:sz w:val="20"/>
                <w:szCs w:val="20"/>
                <w:color w:val="auto"/>
              </w:rPr>
            </w:pPr>
            <w:r>
              <w:rPr>
                <w:rFonts w:ascii="Arial" w:cs="Arial" w:eastAsia="Arial" w:hAnsi="Arial"/>
                <w:sz w:val="18"/>
                <w:szCs w:val="18"/>
                <w:color w:val="auto"/>
                <w:w w:val="93"/>
              </w:rPr>
              <w:t>Registration Rights Agreement, dated as of September 1, 2004, by and between L’Arc de Triomphe Limited and Wynn Resorts,</w:t>
            </w:r>
          </w:p>
        </w:tc>
      </w:tr>
      <w:tr>
        <w:trPr>
          <w:trHeight w:val="222"/>
        </w:trPr>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Limited. (3)</w:t>
            </w:r>
          </w:p>
        </w:tc>
      </w:tr>
      <w:tr>
        <w:trPr>
          <w:trHeight w:val="324"/>
        </w:trPr>
        <w:tc>
          <w:tcPr>
            <w:tcW w:w="1900" w:type="dxa"/>
            <w:vAlign w:val="bottom"/>
            <w:gridSpan w:val="2"/>
          </w:tcPr>
          <w:p>
            <w:pPr>
              <w:jc w:val="right"/>
              <w:ind w:right="1080"/>
              <w:spacing w:after="0"/>
              <w:rPr>
                <w:sz w:val="20"/>
                <w:szCs w:val="20"/>
                <w:color w:val="auto"/>
              </w:rPr>
            </w:pPr>
            <w:r>
              <w:rPr>
                <w:rFonts w:ascii="Arial" w:cs="Arial" w:eastAsia="Arial" w:hAnsi="Arial"/>
                <w:sz w:val="18"/>
                <w:szCs w:val="18"/>
                <w:color w:val="auto"/>
              </w:rPr>
              <w:t>4.6</w:t>
            </w:r>
          </w:p>
        </w:tc>
        <w:tc>
          <w:tcPr>
            <w:tcW w:w="9440" w:type="dxa"/>
            <w:vAlign w:val="bottom"/>
            <w:gridSpan w:val="2"/>
          </w:tcPr>
          <w:p>
            <w:pPr>
              <w:spacing w:after="0"/>
              <w:rPr>
                <w:sz w:val="20"/>
                <w:szCs w:val="20"/>
                <w:color w:val="auto"/>
              </w:rPr>
            </w:pPr>
            <w:r>
              <w:rPr>
                <w:rFonts w:ascii="Arial" w:cs="Arial" w:eastAsia="Arial" w:hAnsi="Arial"/>
                <w:sz w:val="18"/>
                <w:szCs w:val="18"/>
                <w:color w:val="auto"/>
                <w:w w:val="93"/>
              </w:rPr>
              <w:t>Registration Rights Agreement, dated as of September 1, 2004, by and between SKKG Limited and Wynn Resorts, Limited. (3)</w:t>
            </w:r>
          </w:p>
        </w:tc>
      </w:tr>
    </w:tbl>
    <w:p>
      <w:pPr>
        <w:spacing w:after="0" w:line="102" w:lineRule="exact"/>
        <w:rPr>
          <w:sz w:val="20"/>
          <w:szCs w:val="20"/>
          <w:color w:val="auto"/>
        </w:rPr>
      </w:pPr>
    </w:p>
    <w:p>
      <w:pPr>
        <w:ind w:left="1900" w:hanging="1169"/>
        <w:spacing w:after="0"/>
        <w:tabs>
          <w:tab w:leader="none" w:pos="1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Opinion of Schreck Brignone. (3)</w:t>
      </w:r>
    </w:p>
    <w:p>
      <w:pPr>
        <w:spacing w:after="0" w:line="117"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840" w:type="dxa"/>
            <w:vAlign w:val="bottom"/>
          </w:tcPr>
          <w:p>
            <w:pPr>
              <w:jc w:val="right"/>
              <w:ind w:right="452"/>
              <w:spacing w:after="0"/>
              <w:rPr>
                <w:sz w:val="20"/>
                <w:szCs w:val="20"/>
                <w:color w:val="auto"/>
              </w:rPr>
            </w:pPr>
            <w:r>
              <w:rPr>
                <w:rFonts w:ascii="Arial" w:cs="Arial" w:eastAsia="Arial" w:hAnsi="Arial"/>
                <w:sz w:val="18"/>
                <w:szCs w:val="18"/>
                <w:color w:val="auto"/>
                <w:w w:val="79"/>
              </w:rPr>
              <w:t>10.1</w:t>
            </w:r>
          </w:p>
        </w:tc>
        <w:tc>
          <w:tcPr>
            <w:tcW w:w="10040" w:type="dxa"/>
            <w:vAlign w:val="bottom"/>
          </w:tcPr>
          <w:p>
            <w:pPr>
              <w:ind w:left="540"/>
              <w:spacing w:after="0"/>
              <w:rPr>
                <w:sz w:val="20"/>
                <w:szCs w:val="20"/>
                <w:color w:val="auto"/>
              </w:rPr>
            </w:pPr>
            <w:r>
              <w:rPr>
                <w:rFonts w:ascii="Arial" w:cs="Arial" w:eastAsia="Arial" w:hAnsi="Arial"/>
                <w:sz w:val="18"/>
                <w:szCs w:val="18"/>
                <w:color w:val="auto"/>
                <w:w w:val="88"/>
              </w:rPr>
              <w:t>Exchange Agreement, dated as of August 28, 2004, by and among Wong Chi Seng, S.H.W. &amp; Co. Limited, Wynn Resorts, Limited and</w:t>
            </w:r>
          </w:p>
        </w:tc>
      </w:tr>
      <w:tr>
        <w:trPr>
          <w:trHeight w:val="222"/>
        </w:trPr>
        <w:tc>
          <w:tcPr>
            <w:tcW w:w="840" w:type="dxa"/>
            <w:vAlign w:val="bottom"/>
          </w:tcPr>
          <w:p>
            <w:pPr>
              <w:spacing w:after="0"/>
              <w:rPr>
                <w:sz w:val="19"/>
                <w:szCs w:val="19"/>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Wynn Resorts International, Ltd. (3)</w:t>
            </w:r>
          </w:p>
        </w:tc>
      </w:tr>
      <w:tr>
        <w:trPr>
          <w:trHeight w:val="318"/>
        </w:trPr>
        <w:tc>
          <w:tcPr>
            <w:tcW w:w="840" w:type="dxa"/>
            <w:vAlign w:val="bottom"/>
          </w:tcPr>
          <w:p>
            <w:pPr>
              <w:jc w:val="right"/>
              <w:ind w:right="452"/>
              <w:spacing w:after="0"/>
              <w:rPr>
                <w:sz w:val="20"/>
                <w:szCs w:val="20"/>
                <w:color w:val="auto"/>
              </w:rPr>
            </w:pPr>
            <w:r>
              <w:rPr>
                <w:rFonts w:ascii="Arial" w:cs="Arial" w:eastAsia="Arial" w:hAnsi="Arial"/>
                <w:sz w:val="18"/>
                <w:szCs w:val="18"/>
                <w:color w:val="auto"/>
                <w:w w:val="79"/>
              </w:rPr>
              <w:t>10.2</w:t>
            </w:r>
          </w:p>
        </w:tc>
        <w:tc>
          <w:tcPr>
            <w:tcW w:w="10040" w:type="dxa"/>
            <w:vAlign w:val="bottom"/>
          </w:tcPr>
          <w:p>
            <w:pPr>
              <w:ind w:left="540"/>
              <w:spacing w:after="0"/>
              <w:rPr>
                <w:sz w:val="20"/>
                <w:szCs w:val="20"/>
                <w:color w:val="auto"/>
              </w:rPr>
            </w:pPr>
            <w:r>
              <w:rPr>
                <w:rFonts w:ascii="Arial" w:cs="Arial" w:eastAsia="Arial" w:hAnsi="Arial"/>
                <w:sz w:val="18"/>
                <w:szCs w:val="18"/>
                <w:color w:val="auto"/>
                <w:w w:val="89"/>
              </w:rPr>
              <w:t>Exchange Agreement, dated as of September 1, 2004, by and among Kwan Yan Ming, Classic Wave Limited, Wynn Resorts, Limited</w:t>
            </w:r>
          </w:p>
        </w:tc>
      </w:tr>
      <w:tr>
        <w:trPr>
          <w:trHeight w:val="222"/>
        </w:trPr>
        <w:tc>
          <w:tcPr>
            <w:tcW w:w="840" w:type="dxa"/>
            <w:vAlign w:val="bottom"/>
          </w:tcPr>
          <w:p>
            <w:pPr>
              <w:spacing w:after="0"/>
              <w:rPr>
                <w:sz w:val="19"/>
                <w:szCs w:val="19"/>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and Wynn Resorts International, Ltd. (3)</w:t>
            </w:r>
          </w:p>
        </w:tc>
      </w:tr>
      <w:tr>
        <w:trPr>
          <w:trHeight w:val="318"/>
        </w:trPr>
        <w:tc>
          <w:tcPr>
            <w:tcW w:w="840" w:type="dxa"/>
            <w:vAlign w:val="bottom"/>
          </w:tcPr>
          <w:p>
            <w:pPr>
              <w:jc w:val="right"/>
              <w:ind w:right="452"/>
              <w:spacing w:after="0"/>
              <w:rPr>
                <w:sz w:val="20"/>
                <w:szCs w:val="20"/>
                <w:color w:val="auto"/>
              </w:rPr>
            </w:pPr>
            <w:r>
              <w:rPr>
                <w:rFonts w:ascii="Arial" w:cs="Arial" w:eastAsia="Arial" w:hAnsi="Arial"/>
                <w:sz w:val="18"/>
                <w:szCs w:val="18"/>
                <w:color w:val="auto"/>
                <w:w w:val="79"/>
              </w:rPr>
              <w:t>10.3</w:t>
            </w:r>
          </w:p>
        </w:tc>
        <w:tc>
          <w:tcPr>
            <w:tcW w:w="10040" w:type="dxa"/>
            <w:vAlign w:val="bottom"/>
          </w:tcPr>
          <w:p>
            <w:pPr>
              <w:ind w:left="540"/>
              <w:spacing w:after="0"/>
              <w:rPr>
                <w:sz w:val="20"/>
                <w:szCs w:val="20"/>
                <w:color w:val="auto"/>
              </w:rPr>
            </w:pPr>
            <w:r>
              <w:rPr>
                <w:rFonts w:ascii="Arial" w:cs="Arial" w:eastAsia="Arial" w:hAnsi="Arial"/>
                <w:sz w:val="18"/>
                <w:szCs w:val="18"/>
                <w:color w:val="auto"/>
                <w:w w:val="91"/>
              </w:rPr>
              <w:t>Exchange Agreement, dated as of September 1, 2004, by and among Kwan Yan Ming, L’Arc de Triomphe Limited, Wynn Resorts,</w:t>
            </w:r>
          </w:p>
        </w:tc>
      </w:tr>
      <w:tr>
        <w:trPr>
          <w:trHeight w:val="222"/>
        </w:trPr>
        <w:tc>
          <w:tcPr>
            <w:tcW w:w="840" w:type="dxa"/>
            <w:vAlign w:val="bottom"/>
          </w:tcPr>
          <w:p>
            <w:pPr>
              <w:spacing w:after="0"/>
              <w:rPr>
                <w:sz w:val="19"/>
                <w:szCs w:val="19"/>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Limited and Wynn Resorts International, Ltd. (3)</w:t>
            </w:r>
          </w:p>
        </w:tc>
      </w:tr>
      <w:tr>
        <w:trPr>
          <w:trHeight w:val="318"/>
        </w:trPr>
        <w:tc>
          <w:tcPr>
            <w:tcW w:w="840" w:type="dxa"/>
            <w:vAlign w:val="bottom"/>
          </w:tcPr>
          <w:p>
            <w:pPr>
              <w:jc w:val="right"/>
              <w:ind w:right="452"/>
              <w:spacing w:after="0"/>
              <w:rPr>
                <w:sz w:val="20"/>
                <w:szCs w:val="20"/>
                <w:color w:val="auto"/>
              </w:rPr>
            </w:pPr>
            <w:r>
              <w:rPr>
                <w:rFonts w:ascii="Arial" w:cs="Arial" w:eastAsia="Arial" w:hAnsi="Arial"/>
                <w:sz w:val="18"/>
                <w:szCs w:val="18"/>
                <w:color w:val="auto"/>
                <w:w w:val="79"/>
              </w:rPr>
              <w:t>10.4</w:t>
            </w:r>
          </w:p>
        </w:tc>
        <w:tc>
          <w:tcPr>
            <w:tcW w:w="10040" w:type="dxa"/>
            <w:vAlign w:val="bottom"/>
          </w:tcPr>
          <w:p>
            <w:pPr>
              <w:ind w:left="540"/>
              <w:spacing w:after="0"/>
              <w:rPr>
                <w:sz w:val="20"/>
                <w:szCs w:val="20"/>
                <w:color w:val="auto"/>
              </w:rPr>
            </w:pPr>
            <w:r>
              <w:rPr>
                <w:rFonts w:ascii="Arial" w:cs="Arial" w:eastAsia="Arial" w:hAnsi="Arial"/>
                <w:sz w:val="18"/>
                <w:szCs w:val="18"/>
                <w:color w:val="auto"/>
                <w:w w:val="91"/>
              </w:rPr>
              <w:t>Exchange Agreement, dated as of September 1, 2004, by and among Wong Chi Seng, SKKG Limited, Wynn Resorts, Limited and</w:t>
            </w:r>
          </w:p>
        </w:tc>
      </w:tr>
      <w:tr>
        <w:trPr>
          <w:trHeight w:val="222"/>
        </w:trPr>
        <w:tc>
          <w:tcPr>
            <w:tcW w:w="840" w:type="dxa"/>
            <w:vAlign w:val="bottom"/>
          </w:tcPr>
          <w:p>
            <w:pPr>
              <w:spacing w:after="0"/>
              <w:rPr>
                <w:sz w:val="19"/>
                <w:szCs w:val="19"/>
                <w:color w:val="auto"/>
              </w:rPr>
            </w:pPr>
          </w:p>
        </w:tc>
        <w:tc>
          <w:tcPr>
            <w:tcW w:w="10040" w:type="dxa"/>
            <w:vAlign w:val="bottom"/>
          </w:tcPr>
          <w:p>
            <w:pPr>
              <w:ind w:left="540"/>
              <w:spacing w:after="0"/>
              <w:rPr>
                <w:sz w:val="20"/>
                <w:szCs w:val="20"/>
                <w:color w:val="auto"/>
              </w:rPr>
            </w:pPr>
            <w:r>
              <w:rPr>
                <w:rFonts w:ascii="Arial" w:cs="Arial" w:eastAsia="Arial" w:hAnsi="Arial"/>
                <w:sz w:val="18"/>
                <w:szCs w:val="18"/>
                <w:color w:val="auto"/>
              </w:rPr>
              <w:t>Wynn Resorts International, Ltd. (3)</w:t>
            </w:r>
          </w:p>
        </w:tc>
      </w:tr>
      <w:tr>
        <w:trPr>
          <w:trHeight w:val="324"/>
        </w:trPr>
        <w:tc>
          <w:tcPr>
            <w:tcW w:w="840" w:type="dxa"/>
            <w:vAlign w:val="bottom"/>
          </w:tcPr>
          <w:p>
            <w:pPr>
              <w:jc w:val="right"/>
              <w:ind w:right="452"/>
              <w:spacing w:after="0"/>
              <w:rPr>
                <w:sz w:val="20"/>
                <w:szCs w:val="20"/>
                <w:color w:val="auto"/>
              </w:rPr>
            </w:pPr>
            <w:r>
              <w:rPr>
                <w:rFonts w:ascii="Arial" w:cs="Arial" w:eastAsia="Arial" w:hAnsi="Arial"/>
                <w:sz w:val="18"/>
                <w:szCs w:val="18"/>
                <w:color w:val="auto"/>
                <w:w w:val="79"/>
              </w:rPr>
              <w:t>23.1</w:t>
            </w:r>
          </w:p>
        </w:tc>
        <w:tc>
          <w:tcPr>
            <w:tcW w:w="10040" w:type="dxa"/>
            <w:vAlign w:val="bottom"/>
          </w:tcPr>
          <w:p>
            <w:pPr>
              <w:ind w:left="540"/>
              <w:spacing w:after="0"/>
              <w:rPr>
                <w:sz w:val="20"/>
                <w:szCs w:val="20"/>
                <w:color w:val="auto"/>
              </w:rPr>
            </w:pPr>
            <w:r>
              <w:rPr>
                <w:rFonts w:ascii="Arial" w:cs="Arial" w:eastAsia="Arial" w:hAnsi="Arial"/>
                <w:sz w:val="18"/>
                <w:szCs w:val="18"/>
                <w:color w:val="auto"/>
              </w:rPr>
              <w:t>Consent of Independent Registered Accounting Firm. (3)</w:t>
            </w:r>
          </w:p>
        </w:tc>
      </w:tr>
      <w:tr>
        <w:trPr>
          <w:trHeight w:val="324"/>
        </w:trPr>
        <w:tc>
          <w:tcPr>
            <w:tcW w:w="840" w:type="dxa"/>
            <w:vAlign w:val="bottom"/>
          </w:tcPr>
          <w:p>
            <w:pPr>
              <w:jc w:val="right"/>
              <w:ind w:right="452"/>
              <w:spacing w:after="0"/>
              <w:rPr>
                <w:sz w:val="20"/>
                <w:szCs w:val="20"/>
                <w:color w:val="auto"/>
              </w:rPr>
            </w:pPr>
            <w:r>
              <w:rPr>
                <w:rFonts w:ascii="Arial" w:cs="Arial" w:eastAsia="Arial" w:hAnsi="Arial"/>
                <w:sz w:val="18"/>
                <w:szCs w:val="18"/>
                <w:color w:val="auto"/>
                <w:w w:val="79"/>
              </w:rPr>
              <w:t>23.2</w:t>
            </w:r>
          </w:p>
        </w:tc>
        <w:tc>
          <w:tcPr>
            <w:tcW w:w="10040" w:type="dxa"/>
            <w:vAlign w:val="bottom"/>
          </w:tcPr>
          <w:p>
            <w:pPr>
              <w:ind w:left="540"/>
              <w:spacing w:after="0"/>
              <w:rPr>
                <w:sz w:val="20"/>
                <w:szCs w:val="20"/>
                <w:color w:val="auto"/>
              </w:rPr>
            </w:pPr>
            <w:r>
              <w:rPr>
                <w:rFonts w:ascii="Arial" w:cs="Arial" w:eastAsia="Arial" w:hAnsi="Arial"/>
                <w:sz w:val="18"/>
                <w:szCs w:val="18"/>
                <w:color w:val="auto"/>
              </w:rPr>
              <w:t>Consent of Schreck Brignone (included in Exhibit 5). (3)</w:t>
            </w:r>
          </w:p>
        </w:tc>
      </w:tr>
    </w:tbl>
    <w:p>
      <w:pPr>
        <w:spacing w:after="0" w:line="102" w:lineRule="exact"/>
        <w:rPr>
          <w:sz w:val="20"/>
          <w:szCs w:val="20"/>
          <w:color w:val="auto"/>
        </w:rPr>
      </w:pPr>
    </w:p>
    <w:p>
      <w:pPr>
        <w:ind w:left="1900" w:hanging="1257"/>
        <w:spacing w:after="0"/>
        <w:tabs>
          <w:tab w:leader="none" w:pos="1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Powers of Attorney of officers and directors of Wynn Resorts, Limited. (3)</w:t>
      </w:r>
    </w:p>
    <w:p>
      <w:pPr>
        <w:spacing w:after="0" w:line="238"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Previously filed with Amendment No. 4 to the Registration Statement on Form S-1 filed by the Registrant on October 7, 2002 (File No. 333-90600).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December 9,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S-3 filed by the Registrant on September 1, 2004 (File No. 333-118741).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746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83" w:lineRule="exact"/>
        <w:rPr>
          <w:sz w:val="20"/>
          <w:szCs w:val="20"/>
          <w:color w:val="auto"/>
        </w:rPr>
      </w:pPr>
    </w:p>
    <w:p>
      <w:pPr>
        <w:ind w:left="760" w:hanging="296"/>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ind w:left="920" w:firstLine="421"/>
        <w:spacing w:after="0" w:line="294" w:lineRule="auto"/>
        <w:tabs>
          <w:tab w:leader="none" w:pos="1598" w:val="left"/>
        </w:tabs>
        <w:numPr>
          <w:ilvl w:val="2"/>
          <w:numId w:val="1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274" w:right="259" w:bottom="1440" w:gutter="0" w:footer="0" w:header="0"/>
        </w:sectPr>
      </w:pPr>
    </w:p>
    <w:bookmarkStart w:id="11" w:name="page12"/>
    <w:bookmarkEnd w:id="11"/>
    <w:p>
      <w:pPr>
        <w:ind w:left="90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price represent no more than 20 percent change in the maximum aggregate offering price set forth in the “Calculation of Registration Fee” table in the effective registration statement; and</w:t>
      </w:r>
    </w:p>
    <w:p>
      <w:pPr>
        <w:spacing w:after="0" w:line="37" w:lineRule="exact"/>
        <w:rPr>
          <w:sz w:val="20"/>
          <w:szCs w:val="20"/>
          <w:color w:val="auto"/>
        </w:rPr>
      </w:pPr>
    </w:p>
    <w:p>
      <w:pPr>
        <w:ind w:left="900" w:right="260" w:firstLine="421"/>
        <w:spacing w:after="0" w:line="268" w:lineRule="auto"/>
        <w:tabs>
          <w:tab w:leader="none" w:pos="1627"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7" w:lineRule="exact"/>
        <w:rPr>
          <w:rFonts w:ascii="Arial" w:cs="Arial" w:eastAsia="Arial" w:hAnsi="Arial"/>
          <w:sz w:val="18"/>
          <w:szCs w:val="18"/>
          <w:color w:val="auto"/>
        </w:rPr>
      </w:pPr>
    </w:p>
    <w:p>
      <w:pPr>
        <w:ind w:left="440" w:firstLine="443"/>
        <w:spacing w:after="0" w:line="259" w:lineRule="auto"/>
        <w:tabs>
          <w:tab w:leader="none" w:pos="1127"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45" w:lineRule="exact"/>
        <w:rPr>
          <w:rFonts w:ascii="Arial" w:cs="Arial" w:eastAsia="Arial" w:hAnsi="Arial"/>
          <w:sz w:val="18"/>
          <w:szCs w:val="18"/>
          <w:color w:val="auto"/>
        </w:rPr>
      </w:pPr>
    </w:p>
    <w:p>
      <w:pPr>
        <w:ind w:left="440" w:right="800" w:firstLine="443"/>
        <w:spacing w:after="0" w:line="268" w:lineRule="auto"/>
        <w:tabs>
          <w:tab w:leader="none" w:pos="1127"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rFonts w:ascii="Arial" w:cs="Arial" w:eastAsia="Arial" w:hAnsi="Arial"/>
          <w:sz w:val="18"/>
          <w:szCs w:val="18"/>
          <w:color w:val="auto"/>
        </w:rPr>
      </w:pPr>
    </w:p>
    <w:p>
      <w:pPr>
        <w:jc w:val="both"/>
        <w:ind w:left="-20" w:right="60" w:firstLine="464"/>
        <w:spacing w:after="0" w:line="255" w:lineRule="auto"/>
        <w:tabs>
          <w:tab w:leader="none" w:pos="7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left="-20" w:right="160" w:firstLine="464"/>
        <w:spacing w:after="0" w:line="289" w:lineRule="auto"/>
        <w:tabs>
          <w:tab w:leader="none" w:pos="714"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15—Indemnification of Directors and Officers”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60" w:top="280" w:right="2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Amendment No. 1 to Registration Statement to be signed on its behalf by the undersigned, thereunto duly authorized, in the city of Las Vegas, State of Nevada, on this 15th day of September, 2004.</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YNN</w:t>
      </w:r>
      <w:r>
        <w:rPr>
          <w:rFonts w:ascii="Arial" w:cs="Arial" w:eastAsia="Arial" w:hAnsi="Arial"/>
          <w:sz w:val="18"/>
          <w:szCs w:val="18"/>
          <w:color w:val="auto"/>
        </w:rPr>
        <w:t xml:space="preserve"> R</w:t>
      </w:r>
      <w:r>
        <w:rPr>
          <w:rFonts w:ascii="Arial" w:cs="Arial" w:eastAsia="Arial" w:hAnsi="Arial"/>
          <w:sz w:val="14"/>
          <w:szCs w:val="14"/>
          <w:color w:val="auto"/>
        </w:rPr>
        <w:t>ESORTS</w:t>
      </w:r>
      <w:r>
        <w:rPr>
          <w:rFonts w:ascii="Arial" w:cs="Arial" w:eastAsia="Arial" w:hAnsi="Arial"/>
          <w:sz w:val="18"/>
          <w:szCs w:val="18"/>
          <w:color w:val="auto"/>
        </w:rPr>
        <w:t>, L</w:t>
      </w:r>
      <w:r>
        <w:rPr>
          <w:rFonts w:ascii="Arial" w:cs="Arial" w:eastAsia="Arial" w:hAnsi="Arial"/>
          <w:sz w:val="14"/>
          <w:szCs w:val="14"/>
          <w:color w:val="auto"/>
        </w:rPr>
        <w:t>IMITED</w:t>
      </w:r>
    </w:p>
    <w:p>
      <w:pPr>
        <w:spacing w:after="0" w:line="185" w:lineRule="exact"/>
        <w:rPr>
          <w:sz w:val="20"/>
          <w:szCs w:val="20"/>
          <w:color w:val="auto"/>
        </w:rPr>
      </w:pPr>
    </w:p>
    <w:p>
      <w:pPr>
        <w:ind w:left="6860"/>
        <w:spacing w:after="0"/>
        <w:tabs>
          <w:tab w:leader="none" w:pos="9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60"/>
        <w:spacing w:after="0"/>
        <w:rPr>
          <w:sz w:val="20"/>
          <w:szCs w:val="20"/>
          <w:color w:val="auto"/>
        </w:rPr>
      </w:pPr>
      <w:r>
        <w:rPr>
          <w:rFonts w:ascii="Arial" w:cs="Arial" w:eastAsia="Arial" w:hAnsi="Arial"/>
          <w:sz w:val="14"/>
          <w:szCs w:val="14"/>
          <w:b w:val="1"/>
          <w:bCs w:val="1"/>
          <w:color w:val="auto"/>
        </w:rPr>
        <w:t>Stephen A. Wynn</w:t>
      </w:r>
    </w:p>
    <w:p>
      <w:pPr>
        <w:jc w:val="center"/>
        <w:ind w:left="7260"/>
        <w:spacing w:after="0" w:line="223" w:lineRule="auto"/>
        <w:rPr>
          <w:sz w:val="20"/>
          <w:szCs w:val="20"/>
          <w:color w:val="auto"/>
        </w:rPr>
      </w:pPr>
      <w:r>
        <w:rPr>
          <w:rFonts w:ascii="Arial" w:cs="Arial" w:eastAsia="Arial" w:hAnsi="Arial"/>
          <w:sz w:val="14"/>
          <w:szCs w:val="14"/>
          <w:b w:val="1"/>
          <w:bCs w:val="1"/>
          <w:color w:val="auto"/>
        </w:rPr>
        <w:t>Chairman of the Board and</w:t>
      </w:r>
    </w:p>
    <w:p>
      <w:pPr>
        <w:jc w:val="center"/>
        <w:ind w:left="7260"/>
        <w:spacing w:after="0"/>
        <w:rPr>
          <w:sz w:val="20"/>
          <w:szCs w:val="20"/>
          <w:color w:val="auto"/>
        </w:rPr>
      </w:pPr>
      <w:r>
        <w:rPr>
          <w:rFonts w:ascii="Arial" w:cs="Arial" w:eastAsia="Arial" w:hAnsi="Arial"/>
          <w:sz w:val="14"/>
          <w:szCs w:val="14"/>
          <w:b w:val="1"/>
          <w:bCs w:val="1"/>
          <w:color w:val="auto"/>
        </w:rPr>
        <w:t>Chief Executive Officer</w:t>
      </w:r>
    </w:p>
    <w:p>
      <w:pPr>
        <w:spacing w:after="0" w:line="14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1 to Registration Statement has been signed by the following persons in the capacities indicated, on September 15, 2004.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040" w:type="dxa"/>
            <w:vAlign w:val="bottom"/>
          </w:tcPr>
          <w:p>
            <w:pPr>
              <w:ind w:left="800"/>
              <w:spacing w:after="0"/>
              <w:rPr>
                <w:sz w:val="20"/>
                <w:szCs w:val="20"/>
                <w:color w:val="auto"/>
              </w:rPr>
            </w:pPr>
            <w:r>
              <w:rPr>
                <w:rFonts w:ascii="Arial" w:cs="Arial" w:eastAsia="Arial" w:hAnsi="Arial"/>
                <w:sz w:val="18"/>
                <w:szCs w:val="18"/>
                <w:color w:val="auto"/>
                <w:w w:val="93"/>
              </w:rPr>
              <w:t>Chairman of the Board, Chief Executive Officer and Director (Principal</w:t>
            </w:r>
          </w:p>
        </w:tc>
        <w:tc>
          <w:tcPr>
            <w:tcW w:w="0" w:type="dxa"/>
            <w:vAlign w:val="bottom"/>
          </w:tcPr>
          <w:p>
            <w:pPr>
              <w:spacing w:after="0"/>
              <w:rPr>
                <w:sz w:val="1"/>
                <w:szCs w:val="1"/>
                <w:color w:val="auto"/>
              </w:rPr>
            </w:pPr>
          </w:p>
        </w:tc>
      </w:tr>
      <w:tr>
        <w:trPr>
          <w:trHeight w:val="35"/>
        </w:trPr>
        <w:tc>
          <w:tcPr>
            <w:tcW w:w="380" w:type="dxa"/>
            <w:vAlign w:val="bottom"/>
            <w:tcBorders>
              <w:bottom w:val="single" w:sz="8" w:color="auto"/>
            </w:tcBorders>
          </w:tcPr>
          <w:p>
            <w:pPr>
              <w:spacing w:after="0"/>
              <w:rPr>
                <w:sz w:val="3"/>
                <w:szCs w:val="3"/>
                <w:color w:val="auto"/>
              </w:rPr>
            </w:pPr>
          </w:p>
        </w:tc>
        <w:tc>
          <w:tcPr>
            <w:tcW w:w="4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40" w:type="dxa"/>
            <w:vAlign w:val="bottom"/>
            <w:vMerge w:val="restart"/>
          </w:tcPr>
          <w:p>
            <w:pPr>
              <w:ind w:left="102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4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Stephen A. Wynn</w:t>
            </w:r>
          </w:p>
        </w:tc>
        <w:tc>
          <w:tcPr>
            <w:tcW w:w="6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38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6040" w:type="dxa"/>
            <w:vAlign w:val="bottom"/>
          </w:tcPr>
          <w:p>
            <w:pPr>
              <w:ind w:left="800"/>
              <w:spacing w:after="0"/>
              <w:rPr>
                <w:sz w:val="20"/>
                <w:szCs w:val="20"/>
                <w:color w:val="auto"/>
              </w:rPr>
            </w:pPr>
            <w:r>
              <w:rPr>
                <w:rFonts w:ascii="Arial" w:cs="Arial" w:eastAsia="Arial" w:hAnsi="Arial"/>
                <w:sz w:val="18"/>
                <w:szCs w:val="18"/>
                <w:color w:val="auto"/>
                <w:w w:val="89"/>
              </w:rPr>
              <w:t>Executive Vice President, Chief Financial Officer and Treasurer (Principal</w:t>
            </w:r>
          </w:p>
        </w:tc>
        <w:tc>
          <w:tcPr>
            <w:tcW w:w="0" w:type="dxa"/>
            <w:vAlign w:val="bottom"/>
          </w:tcPr>
          <w:p>
            <w:pPr>
              <w:spacing w:after="0"/>
              <w:rPr>
                <w:sz w:val="1"/>
                <w:szCs w:val="1"/>
                <w:color w:val="auto"/>
              </w:rPr>
            </w:pPr>
          </w:p>
        </w:tc>
      </w:tr>
      <w:tr>
        <w:trPr>
          <w:trHeight w:val="116"/>
        </w:trPr>
        <w:tc>
          <w:tcPr>
            <w:tcW w:w="380" w:type="dxa"/>
            <w:vAlign w:val="bottom"/>
            <w:tcBorders>
              <w:bottom w:val="single" w:sz="8" w:color="auto"/>
            </w:tcBorders>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40" w:type="dxa"/>
            <w:vAlign w:val="bottom"/>
            <w:vMerge w:val="restart"/>
          </w:tcPr>
          <w:p>
            <w:pPr>
              <w:ind w:left="1020"/>
              <w:spacing w:after="0"/>
              <w:rPr>
                <w:sz w:val="20"/>
                <w:szCs w:val="20"/>
                <w:color w:val="auto"/>
              </w:rPr>
            </w:pPr>
            <w:r>
              <w:rPr>
                <w:rFonts w:ascii="Arial" w:cs="Arial" w:eastAsia="Arial" w:hAnsi="Arial"/>
                <w:sz w:val="18"/>
                <w:szCs w:val="18"/>
                <w:color w:val="auto"/>
              </w:rPr>
              <w:t>Financial and Accounting Officer)</w:t>
            </w:r>
          </w:p>
        </w:tc>
        <w:tc>
          <w:tcPr>
            <w:tcW w:w="0" w:type="dxa"/>
            <w:vAlign w:val="bottom"/>
          </w:tcPr>
          <w:p>
            <w:pPr>
              <w:spacing w:after="0"/>
              <w:rPr>
                <w:sz w:val="1"/>
                <w:szCs w:val="1"/>
                <w:color w:val="auto"/>
              </w:rPr>
            </w:pPr>
          </w:p>
        </w:tc>
      </w:tr>
      <w:tr>
        <w:trPr>
          <w:trHeight w:val="86"/>
        </w:trPr>
        <w:tc>
          <w:tcPr>
            <w:tcW w:w="380" w:type="dxa"/>
            <w:vAlign w:val="bottom"/>
          </w:tcPr>
          <w:p>
            <w:pPr>
              <w:spacing w:after="0"/>
              <w:rPr>
                <w:sz w:val="7"/>
                <w:szCs w:val="7"/>
                <w:color w:val="auto"/>
              </w:rPr>
            </w:pPr>
          </w:p>
        </w:tc>
        <w:tc>
          <w:tcPr>
            <w:tcW w:w="4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6"/>
              </w:rPr>
              <w:t>John Strzemp</w:t>
            </w: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80" w:type="dxa"/>
            <w:vAlign w:val="bottom"/>
          </w:tcPr>
          <w:p>
            <w:pPr>
              <w:spacing w:after="0"/>
              <w:rPr>
                <w:sz w:val="15"/>
                <w:szCs w:val="15"/>
                <w:color w:val="auto"/>
              </w:rPr>
            </w:pPr>
          </w:p>
        </w:tc>
        <w:tc>
          <w:tcPr>
            <w:tcW w:w="4540" w:type="dxa"/>
            <w:vAlign w:val="bottom"/>
            <w:gridSpan w:val="2"/>
            <w:vMerge w:val="continue"/>
          </w:tcPr>
          <w:p>
            <w:pPr>
              <w:spacing w:after="0"/>
              <w:rPr>
                <w:sz w:val="15"/>
                <w:szCs w:val="15"/>
                <w:color w:val="auto"/>
              </w:rPr>
            </w:pPr>
          </w:p>
        </w:tc>
        <w:tc>
          <w:tcPr>
            <w:tcW w:w="6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3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60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4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Kazuo Okada</w:t>
            </w:r>
          </w:p>
        </w:tc>
        <w:tc>
          <w:tcPr>
            <w:tcW w:w="6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60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4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Ronald J. Kramer</w:t>
            </w:r>
          </w:p>
        </w:tc>
        <w:tc>
          <w:tcPr>
            <w:tcW w:w="6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60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4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Robert J. Miller</w:t>
            </w:r>
          </w:p>
        </w:tc>
        <w:tc>
          <w:tcPr>
            <w:tcW w:w="6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60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4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John A. Moran</w:t>
            </w:r>
          </w:p>
        </w:tc>
        <w:tc>
          <w:tcPr>
            <w:tcW w:w="6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60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4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Alvin V. Shoemaker</w:t>
            </w:r>
          </w:p>
        </w:tc>
        <w:tc>
          <w:tcPr>
            <w:tcW w:w="6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60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4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Kiril Sokoloff</w:t>
            </w:r>
          </w:p>
        </w:tc>
        <w:tc>
          <w:tcPr>
            <w:tcW w:w="6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60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4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 Boone Wayson</w:t>
            </w:r>
          </w:p>
        </w:tc>
        <w:tc>
          <w:tcPr>
            <w:tcW w:w="6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60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4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Elaine P. Wynn</w:t>
            </w:r>
          </w:p>
        </w:tc>
        <w:tc>
          <w:tcPr>
            <w:tcW w:w="6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60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4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Stanley R. Zax</w:t>
            </w:r>
          </w:p>
        </w:tc>
        <w:tc>
          <w:tcPr>
            <w:tcW w:w="6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60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4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Allan Zeman</w:t>
            </w:r>
          </w:p>
        </w:tc>
        <w:tc>
          <w:tcPr>
            <w:tcW w:w="6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gridSpan w:val="2"/>
          </w:tcPr>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ARC</w:t>
            </w:r>
            <w:r>
              <w:rPr>
                <w:rFonts w:ascii="Arial" w:cs="Arial" w:eastAsia="Arial" w:hAnsi="Arial"/>
                <w:sz w:val="18"/>
                <w:szCs w:val="18"/>
                <w:color w:val="auto"/>
              </w:rPr>
              <w:t xml:space="preserve"> H. R</w:t>
            </w:r>
            <w:r>
              <w:rPr>
                <w:rFonts w:ascii="Arial" w:cs="Arial" w:eastAsia="Arial" w:hAnsi="Arial"/>
                <w:sz w:val="14"/>
                <w:szCs w:val="14"/>
                <w:color w:val="auto"/>
              </w:rPr>
              <w:t>UBINSTEIN</w:t>
            </w:r>
          </w:p>
        </w:tc>
        <w:tc>
          <w:tcPr>
            <w:tcW w:w="6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80" w:type="dxa"/>
            <w:vAlign w:val="bottom"/>
          </w:tcPr>
          <w:p>
            <w:pPr>
              <w:spacing w:after="0"/>
              <w:rPr>
                <w:sz w:val="11"/>
                <w:szCs w:val="11"/>
                <w:color w:val="auto"/>
              </w:rPr>
            </w:pPr>
          </w:p>
        </w:tc>
        <w:tc>
          <w:tcPr>
            <w:tcW w:w="4200" w:type="dxa"/>
            <w:vAlign w:val="bottom"/>
            <w:tcBorders>
              <w:top w:val="single" w:sz="8" w:color="auto"/>
            </w:tcBorders>
          </w:tcPr>
          <w:p>
            <w:pPr>
              <w:jc w:val="center"/>
              <w:ind w:left="3"/>
              <w:spacing w:after="0" w:line="131" w:lineRule="exact"/>
              <w:rPr>
                <w:sz w:val="20"/>
                <w:szCs w:val="20"/>
                <w:color w:val="auto"/>
              </w:rPr>
            </w:pPr>
            <w:r>
              <w:rPr>
                <w:rFonts w:ascii="Arial" w:cs="Arial" w:eastAsia="Arial" w:hAnsi="Arial"/>
                <w:sz w:val="14"/>
                <w:szCs w:val="14"/>
                <w:b w:val="1"/>
                <w:bCs w:val="1"/>
                <w:color w:val="auto"/>
                <w:w w:val="91"/>
              </w:rPr>
              <w:t>Marc H. Rubinstein</w:t>
            </w:r>
          </w:p>
        </w:tc>
        <w:tc>
          <w:tcPr>
            <w:tcW w:w="34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80" w:type="dxa"/>
            <w:vAlign w:val="bottom"/>
          </w:tcPr>
          <w:p>
            <w:pPr>
              <w:spacing w:after="0"/>
              <w:rPr>
                <w:sz w:val="15"/>
                <w:szCs w:val="15"/>
                <w:color w:val="auto"/>
              </w:rPr>
            </w:pPr>
          </w:p>
        </w:tc>
        <w:tc>
          <w:tcPr>
            <w:tcW w:w="4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Attorney-in-fact</w:t>
            </w:r>
          </w:p>
        </w:tc>
        <w:tc>
          <w:tcPr>
            <w:tcW w:w="6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3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40" w:type="dxa"/>
            <w:vAlign w:val="bottom"/>
          </w:tcPr>
          <w:p>
            <w:pPr>
              <w:ind w:left="68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540" w:type="dxa"/>
            <w:vAlign w:val="bottom"/>
          </w:tcPr>
          <w:p>
            <w:pPr>
              <w:ind w:left="220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Exhibit No.</w:t>
            </w:r>
          </w:p>
        </w:tc>
        <w:tc>
          <w:tcPr>
            <w:tcW w:w="9980" w:type="dxa"/>
            <w:vAlign w:val="bottom"/>
            <w:gridSpan w:val="3"/>
          </w:tcPr>
          <w:p>
            <w:pPr>
              <w:ind w:left="5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540" w:type="dxa"/>
            <w:vAlign w:val="bottom"/>
          </w:tcPr>
          <w:p>
            <w:pPr>
              <w:spacing w:after="0"/>
              <w:rPr>
                <w:sz w:val="8"/>
                <w:szCs w:val="8"/>
                <w:color w:val="auto"/>
              </w:rPr>
            </w:pPr>
          </w:p>
        </w:tc>
      </w:tr>
      <w:tr>
        <w:trPr>
          <w:trHeight w:val="424"/>
        </w:trPr>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4.1</w:t>
            </w:r>
          </w:p>
        </w:tc>
        <w:tc>
          <w:tcPr>
            <w:tcW w:w="9980" w:type="dxa"/>
            <w:vAlign w:val="bottom"/>
            <w:gridSpan w:val="3"/>
          </w:tcPr>
          <w:p>
            <w:pPr>
              <w:ind w:left="540"/>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24"/>
        </w:trPr>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4.2</w:t>
            </w:r>
          </w:p>
        </w:tc>
        <w:tc>
          <w:tcPr>
            <w:tcW w:w="9980" w:type="dxa"/>
            <w:vAlign w:val="bottom"/>
            <w:gridSpan w:val="3"/>
          </w:tcPr>
          <w:p>
            <w:pPr>
              <w:ind w:left="540"/>
              <w:spacing w:after="0"/>
              <w:rPr>
                <w:sz w:val="20"/>
                <w:szCs w:val="20"/>
                <w:color w:val="auto"/>
              </w:rPr>
            </w:pPr>
            <w:r>
              <w:rPr>
                <w:rFonts w:ascii="Arial" w:cs="Arial" w:eastAsia="Arial" w:hAnsi="Arial"/>
                <w:sz w:val="18"/>
                <w:szCs w:val="18"/>
                <w:color w:val="auto"/>
              </w:rPr>
              <w:t>Third Amended and Restated Bylaws of the Registrant, as amended. (2)</w:t>
            </w:r>
          </w:p>
        </w:tc>
      </w:tr>
      <w:tr>
        <w:trPr>
          <w:trHeight w:val="324"/>
        </w:trPr>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4.3</w:t>
            </w:r>
          </w:p>
        </w:tc>
        <w:tc>
          <w:tcPr>
            <w:tcW w:w="9980" w:type="dxa"/>
            <w:vAlign w:val="bottom"/>
            <w:gridSpan w:val="3"/>
          </w:tcPr>
          <w:p>
            <w:pPr>
              <w:ind w:left="540"/>
              <w:spacing w:after="0"/>
              <w:rPr>
                <w:sz w:val="20"/>
                <w:szCs w:val="20"/>
                <w:color w:val="auto"/>
              </w:rPr>
            </w:pPr>
            <w:r>
              <w:rPr>
                <w:rFonts w:ascii="Arial" w:cs="Arial" w:eastAsia="Arial" w:hAnsi="Arial"/>
                <w:sz w:val="18"/>
                <w:szCs w:val="18"/>
                <w:color w:val="auto"/>
                <w:w w:val="90"/>
              </w:rPr>
              <w:t>Registration Rights Agreement, dated as of August 28, 2004, by and between S.H.W. &amp; Co. Limited and Wynn Resorts, Limited. (3)</w:t>
            </w:r>
          </w:p>
        </w:tc>
      </w:tr>
      <w:tr>
        <w:trPr>
          <w:trHeight w:val="324"/>
        </w:trPr>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4.4</w:t>
            </w:r>
          </w:p>
        </w:tc>
        <w:tc>
          <w:tcPr>
            <w:tcW w:w="9980" w:type="dxa"/>
            <w:vAlign w:val="bottom"/>
            <w:gridSpan w:val="3"/>
          </w:tcPr>
          <w:p>
            <w:pPr>
              <w:ind w:left="540"/>
              <w:spacing w:after="0"/>
              <w:rPr>
                <w:sz w:val="20"/>
                <w:szCs w:val="20"/>
                <w:color w:val="auto"/>
              </w:rPr>
            </w:pPr>
            <w:r>
              <w:rPr>
                <w:rFonts w:ascii="Arial" w:cs="Arial" w:eastAsia="Arial" w:hAnsi="Arial"/>
                <w:sz w:val="18"/>
                <w:szCs w:val="18"/>
                <w:color w:val="auto"/>
                <w:w w:val="88"/>
              </w:rPr>
              <w:t>Registration Rights Agreement, dated as of September 1, 2004, by and between Classic Wave Limited and Wynn Resorts, Limited. (3)</w:t>
            </w:r>
          </w:p>
        </w:tc>
      </w:tr>
      <w:tr>
        <w:trPr>
          <w:trHeight w:val="318"/>
        </w:trPr>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4.5</w:t>
            </w:r>
          </w:p>
        </w:tc>
        <w:tc>
          <w:tcPr>
            <w:tcW w:w="9980" w:type="dxa"/>
            <w:vAlign w:val="bottom"/>
            <w:gridSpan w:val="3"/>
          </w:tcPr>
          <w:p>
            <w:pPr>
              <w:ind w:left="540"/>
              <w:spacing w:after="0"/>
              <w:rPr>
                <w:sz w:val="20"/>
                <w:szCs w:val="20"/>
                <w:color w:val="auto"/>
              </w:rPr>
            </w:pPr>
            <w:r>
              <w:rPr>
                <w:rFonts w:ascii="Arial" w:cs="Arial" w:eastAsia="Arial" w:hAnsi="Arial"/>
                <w:sz w:val="18"/>
                <w:szCs w:val="18"/>
                <w:color w:val="auto"/>
                <w:w w:val="92"/>
              </w:rPr>
              <w:t>Registration Rights Agreement, dated as of September 1, 2004, by and between L’ Arc de Triomphe Limited and Wynn Resorts,</w:t>
            </w:r>
          </w:p>
        </w:tc>
      </w:tr>
      <w:tr>
        <w:trPr>
          <w:trHeight w:val="222"/>
        </w:trPr>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980" w:type="dxa"/>
            <w:vAlign w:val="bottom"/>
            <w:gridSpan w:val="3"/>
          </w:tcPr>
          <w:p>
            <w:pPr>
              <w:ind w:left="540"/>
              <w:spacing w:after="0"/>
              <w:rPr>
                <w:sz w:val="20"/>
                <w:szCs w:val="20"/>
                <w:color w:val="auto"/>
              </w:rPr>
            </w:pPr>
            <w:r>
              <w:rPr>
                <w:rFonts w:ascii="Arial" w:cs="Arial" w:eastAsia="Arial" w:hAnsi="Arial"/>
                <w:sz w:val="18"/>
                <w:szCs w:val="18"/>
                <w:color w:val="auto"/>
              </w:rPr>
              <w:t>Limited. (3)</w:t>
            </w:r>
          </w:p>
        </w:tc>
      </w:tr>
      <w:tr>
        <w:trPr>
          <w:trHeight w:val="324"/>
        </w:trPr>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4.6</w:t>
            </w:r>
          </w:p>
        </w:tc>
        <w:tc>
          <w:tcPr>
            <w:tcW w:w="9980" w:type="dxa"/>
            <w:vAlign w:val="bottom"/>
            <w:gridSpan w:val="3"/>
          </w:tcPr>
          <w:p>
            <w:pPr>
              <w:ind w:left="540"/>
              <w:spacing w:after="0"/>
              <w:rPr>
                <w:sz w:val="20"/>
                <w:szCs w:val="20"/>
                <w:color w:val="auto"/>
              </w:rPr>
            </w:pPr>
            <w:r>
              <w:rPr>
                <w:rFonts w:ascii="Arial" w:cs="Arial" w:eastAsia="Arial" w:hAnsi="Arial"/>
                <w:sz w:val="18"/>
                <w:szCs w:val="18"/>
                <w:color w:val="auto"/>
                <w:w w:val="93"/>
              </w:rPr>
              <w:t>Registration Rights Agreement, dated as of September 1, 2004, by and between SKKG Limited and Wynn Resorts, Limited. (3)</w:t>
            </w:r>
          </w:p>
        </w:tc>
      </w:tr>
    </w:tbl>
    <w:p>
      <w:pPr>
        <w:spacing w:after="0" w:line="102" w:lineRule="exact"/>
        <w:rPr>
          <w:sz w:val="20"/>
          <w:szCs w:val="20"/>
          <w:color w:val="auto"/>
        </w:rPr>
      </w:pPr>
    </w:p>
    <w:p>
      <w:pPr>
        <w:ind w:left="1940" w:hanging="1155"/>
        <w:spacing w:after="0"/>
        <w:tabs>
          <w:tab w:leader="none" w:pos="1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Opinion of Schreck Brignone. (3)</w:t>
      </w:r>
    </w:p>
    <w:p>
      <w:pPr>
        <w:spacing w:after="0" w:line="117"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10.1</w:t>
            </w:r>
          </w:p>
        </w:tc>
        <w:tc>
          <w:tcPr>
            <w:tcW w:w="9920" w:type="dxa"/>
            <w:vAlign w:val="bottom"/>
          </w:tcPr>
          <w:p>
            <w:pPr>
              <w:ind w:left="540"/>
              <w:spacing w:after="0"/>
              <w:rPr>
                <w:sz w:val="20"/>
                <w:szCs w:val="20"/>
                <w:color w:val="auto"/>
              </w:rPr>
            </w:pPr>
            <w:r>
              <w:rPr>
                <w:rFonts w:ascii="Arial" w:cs="Arial" w:eastAsia="Arial" w:hAnsi="Arial"/>
                <w:sz w:val="18"/>
                <w:szCs w:val="18"/>
                <w:color w:val="auto"/>
                <w:w w:val="90"/>
              </w:rPr>
              <w:t>Exchange Agreement, dated as of August 28, 2004, by and among Wong Chi Seng, S.H.W. &amp; Co. Limited, Wynn Resorts, Limited</w:t>
            </w:r>
          </w:p>
        </w:tc>
      </w:tr>
      <w:tr>
        <w:trPr>
          <w:trHeight w:val="222"/>
        </w:trPr>
        <w:tc>
          <w:tcPr>
            <w:tcW w:w="840" w:type="dxa"/>
            <w:vAlign w:val="bottom"/>
          </w:tcPr>
          <w:p>
            <w:pPr>
              <w:spacing w:after="0"/>
              <w:rPr>
                <w:sz w:val="19"/>
                <w:szCs w:val="19"/>
                <w:color w:val="auto"/>
              </w:rPr>
            </w:pPr>
          </w:p>
        </w:tc>
        <w:tc>
          <w:tcPr>
            <w:tcW w:w="9920" w:type="dxa"/>
            <w:vAlign w:val="bottom"/>
          </w:tcPr>
          <w:p>
            <w:pPr>
              <w:ind w:left="540"/>
              <w:spacing w:after="0"/>
              <w:rPr>
                <w:sz w:val="20"/>
                <w:szCs w:val="20"/>
                <w:color w:val="auto"/>
              </w:rPr>
            </w:pPr>
            <w:r>
              <w:rPr>
                <w:rFonts w:ascii="Arial" w:cs="Arial" w:eastAsia="Arial" w:hAnsi="Arial"/>
                <w:sz w:val="18"/>
                <w:szCs w:val="18"/>
                <w:color w:val="auto"/>
              </w:rPr>
              <w:t>and Wynn Resorts International, Ltd. (3)</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10.2</w:t>
            </w:r>
          </w:p>
        </w:tc>
        <w:tc>
          <w:tcPr>
            <w:tcW w:w="9920" w:type="dxa"/>
            <w:vAlign w:val="bottom"/>
          </w:tcPr>
          <w:p>
            <w:pPr>
              <w:ind w:left="540"/>
              <w:spacing w:after="0"/>
              <w:rPr>
                <w:sz w:val="20"/>
                <w:szCs w:val="20"/>
                <w:color w:val="auto"/>
              </w:rPr>
            </w:pPr>
            <w:r>
              <w:rPr>
                <w:rFonts w:ascii="Arial" w:cs="Arial" w:eastAsia="Arial" w:hAnsi="Arial"/>
                <w:sz w:val="18"/>
                <w:szCs w:val="18"/>
                <w:color w:val="auto"/>
                <w:w w:val="88"/>
              </w:rPr>
              <w:t>Exchange Agreement, dated as of September 1, 2004, by and among Kwan Yan Ming, Classic Wave Limited, Wynn Resorts, Limited</w:t>
            </w:r>
          </w:p>
        </w:tc>
      </w:tr>
      <w:tr>
        <w:trPr>
          <w:trHeight w:val="222"/>
        </w:trPr>
        <w:tc>
          <w:tcPr>
            <w:tcW w:w="840" w:type="dxa"/>
            <w:vAlign w:val="bottom"/>
          </w:tcPr>
          <w:p>
            <w:pPr>
              <w:spacing w:after="0"/>
              <w:rPr>
                <w:sz w:val="19"/>
                <w:szCs w:val="19"/>
                <w:color w:val="auto"/>
              </w:rPr>
            </w:pPr>
          </w:p>
        </w:tc>
        <w:tc>
          <w:tcPr>
            <w:tcW w:w="9920" w:type="dxa"/>
            <w:vAlign w:val="bottom"/>
          </w:tcPr>
          <w:p>
            <w:pPr>
              <w:ind w:left="540"/>
              <w:spacing w:after="0"/>
              <w:rPr>
                <w:sz w:val="20"/>
                <w:szCs w:val="20"/>
                <w:color w:val="auto"/>
              </w:rPr>
            </w:pPr>
            <w:r>
              <w:rPr>
                <w:rFonts w:ascii="Arial" w:cs="Arial" w:eastAsia="Arial" w:hAnsi="Arial"/>
                <w:sz w:val="18"/>
                <w:szCs w:val="18"/>
                <w:color w:val="auto"/>
              </w:rPr>
              <w:t>and Wynn Resorts International, Ltd. (3)</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10.3</w:t>
            </w:r>
          </w:p>
        </w:tc>
        <w:tc>
          <w:tcPr>
            <w:tcW w:w="9920" w:type="dxa"/>
            <w:vAlign w:val="bottom"/>
          </w:tcPr>
          <w:p>
            <w:pPr>
              <w:ind w:left="540"/>
              <w:spacing w:after="0"/>
              <w:rPr>
                <w:sz w:val="20"/>
                <w:szCs w:val="20"/>
                <w:color w:val="auto"/>
              </w:rPr>
            </w:pPr>
            <w:r>
              <w:rPr>
                <w:rFonts w:ascii="Arial" w:cs="Arial" w:eastAsia="Arial" w:hAnsi="Arial"/>
                <w:sz w:val="18"/>
                <w:szCs w:val="18"/>
                <w:color w:val="auto"/>
                <w:w w:val="90"/>
              </w:rPr>
              <w:t>Exchange Agreement, dated as of September 1, 2004, by and among Kwan Yan Ming, L’Arc de Triomphe Limited, Wynn Resorts,</w:t>
            </w:r>
          </w:p>
        </w:tc>
      </w:tr>
      <w:tr>
        <w:trPr>
          <w:trHeight w:val="222"/>
        </w:trPr>
        <w:tc>
          <w:tcPr>
            <w:tcW w:w="840" w:type="dxa"/>
            <w:vAlign w:val="bottom"/>
          </w:tcPr>
          <w:p>
            <w:pPr>
              <w:spacing w:after="0"/>
              <w:rPr>
                <w:sz w:val="19"/>
                <w:szCs w:val="19"/>
                <w:color w:val="auto"/>
              </w:rPr>
            </w:pPr>
          </w:p>
        </w:tc>
        <w:tc>
          <w:tcPr>
            <w:tcW w:w="9920" w:type="dxa"/>
            <w:vAlign w:val="bottom"/>
          </w:tcPr>
          <w:p>
            <w:pPr>
              <w:ind w:left="540"/>
              <w:spacing w:after="0"/>
              <w:rPr>
                <w:sz w:val="20"/>
                <w:szCs w:val="20"/>
                <w:color w:val="auto"/>
              </w:rPr>
            </w:pPr>
            <w:r>
              <w:rPr>
                <w:rFonts w:ascii="Arial" w:cs="Arial" w:eastAsia="Arial" w:hAnsi="Arial"/>
                <w:sz w:val="18"/>
                <w:szCs w:val="18"/>
                <w:color w:val="auto"/>
              </w:rPr>
              <w:t>Limited and Wynn Resorts International, Ltd. (3)</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10.4</w:t>
            </w:r>
          </w:p>
        </w:tc>
        <w:tc>
          <w:tcPr>
            <w:tcW w:w="9920" w:type="dxa"/>
            <w:vAlign w:val="bottom"/>
          </w:tcPr>
          <w:p>
            <w:pPr>
              <w:ind w:left="540"/>
              <w:spacing w:after="0"/>
              <w:rPr>
                <w:sz w:val="20"/>
                <w:szCs w:val="20"/>
                <w:color w:val="auto"/>
              </w:rPr>
            </w:pPr>
            <w:r>
              <w:rPr>
                <w:rFonts w:ascii="Arial" w:cs="Arial" w:eastAsia="Arial" w:hAnsi="Arial"/>
                <w:sz w:val="18"/>
                <w:szCs w:val="18"/>
                <w:color w:val="auto"/>
                <w:w w:val="90"/>
              </w:rPr>
              <w:t>Exchange Agreement, dated as of September 1, 2004, by and among Wong Chi Seng, SKKG Limited, Wynn Resorts, Limited and</w:t>
            </w:r>
          </w:p>
        </w:tc>
      </w:tr>
      <w:tr>
        <w:trPr>
          <w:trHeight w:val="222"/>
        </w:trPr>
        <w:tc>
          <w:tcPr>
            <w:tcW w:w="840" w:type="dxa"/>
            <w:vAlign w:val="bottom"/>
          </w:tcPr>
          <w:p>
            <w:pPr>
              <w:spacing w:after="0"/>
              <w:rPr>
                <w:sz w:val="19"/>
                <w:szCs w:val="19"/>
                <w:color w:val="auto"/>
              </w:rPr>
            </w:pPr>
          </w:p>
        </w:tc>
        <w:tc>
          <w:tcPr>
            <w:tcW w:w="9920" w:type="dxa"/>
            <w:vAlign w:val="bottom"/>
          </w:tcPr>
          <w:p>
            <w:pPr>
              <w:ind w:left="540"/>
              <w:spacing w:after="0"/>
              <w:rPr>
                <w:sz w:val="20"/>
                <w:szCs w:val="20"/>
                <w:color w:val="auto"/>
              </w:rPr>
            </w:pPr>
            <w:r>
              <w:rPr>
                <w:rFonts w:ascii="Arial" w:cs="Arial" w:eastAsia="Arial" w:hAnsi="Arial"/>
                <w:sz w:val="18"/>
                <w:szCs w:val="18"/>
                <w:color w:val="auto"/>
              </w:rPr>
              <w:t>Wynn Resorts International, Ltd. (3)</w:t>
            </w:r>
          </w:p>
        </w:tc>
      </w:tr>
      <w:tr>
        <w:trPr>
          <w:trHeight w:val="324"/>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23.1</w:t>
            </w:r>
          </w:p>
        </w:tc>
        <w:tc>
          <w:tcPr>
            <w:tcW w:w="9920" w:type="dxa"/>
            <w:vAlign w:val="bottom"/>
          </w:tcPr>
          <w:p>
            <w:pPr>
              <w:ind w:left="540"/>
              <w:spacing w:after="0"/>
              <w:rPr>
                <w:sz w:val="20"/>
                <w:szCs w:val="20"/>
                <w:color w:val="auto"/>
              </w:rPr>
            </w:pPr>
            <w:r>
              <w:rPr>
                <w:rFonts w:ascii="Arial" w:cs="Arial" w:eastAsia="Arial" w:hAnsi="Arial"/>
                <w:sz w:val="18"/>
                <w:szCs w:val="18"/>
                <w:color w:val="auto"/>
              </w:rPr>
              <w:t>Consent of Independent Registered Accounting Firm. (3)</w:t>
            </w:r>
          </w:p>
        </w:tc>
      </w:tr>
      <w:tr>
        <w:trPr>
          <w:trHeight w:val="324"/>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23.2</w:t>
            </w:r>
          </w:p>
        </w:tc>
        <w:tc>
          <w:tcPr>
            <w:tcW w:w="9920" w:type="dxa"/>
            <w:vAlign w:val="bottom"/>
          </w:tcPr>
          <w:p>
            <w:pPr>
              <w:ind w:left="540"/>
              <w:spacing w:after="0"/>
              <w:rPr>
                <w:sz w:val="20"/>
                <w:szCs w:val="20"/>
                <w:color w:val="auto"/>
              </w:rPr>
            </w:pPr>
            <w:r>
              <w:rPr>
                <w:rFonts w:ascii="Arial" w:cs="Arial" w:eastAsia="Arial" w:hAnsi="Arial"/>
                <w:sz w:val="18"/>
                <w:szCs w:val="18"/>
                <w:color w:val="auto"/>
              </w:rPr>
              <w:t>Consent of Schreck Brignone (included in Exhibit 5). (3)</w:t>
            </w:r>
          </w:p>
        </w:tc>
      </w:tr>
    </w:tbl>
    <w:p>
      <w:pPr>
        <w:spacing w:after="0" w:line="102" w:lineRule="exact"/>
        <w:rPr>
          <w:sz w:val="20"/>
          <w:szCs w:val="20"/>
          <w:color w:val="auto"/>
        </w:rPr>
      </w:pPr>
    </w:p>
    <w:p>
      <w:pPr>
        <w:ind w:left="1940" w:hanging="1243"/>
        <w:spacing w:after="0"/>
        <w:tabs>
          <w:tab w:leader="none" w:pos="19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Powers of Attorney of officers and directors of Wynn Resorts, Limited. (3)</w:t>
      </w:r>
    </w:p>
    <w:p>
      <w:pPr>
        <w:spacing w:after="0" w:line="238"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Previously filed with Amendment No. 4 to the Registration Statement on Form S-1 filed by the Registrant on October 7, 2002 (File No. 333-90600).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December 9,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S-3 filed by the Registrant on September 1, 2004 (File No. 333-118741).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7461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5"/>
      <w:numFmt w:val="bullet"/>
      <w:start w:val="1"/>
    </w:lvl>
  </w:abstractNum>
  <w:abstractNum w:abstractNumId="9">
    <w:nsid w:val="DED7263"/>
    <w:multiLevelType w:val="hybridMultilevel"/>
    <w:lvl w:ilvl="0">
      <w:lvlJc w:val="left"/>
      <w:lvlText w:val="%1"/>
      <w:numFmt w:val="decimal"/>
      <w:start w:val="1"/>
    </w:lvl>
    <w:lvl w:ilvl="1">
      <w:lvlJc w:val="left"/>
      <w:lvlText w:val="%2"/>
      <w:numFmt w:val="decimal"/>
      <w:start w:val="24"/>
    </w:lvl>
  </w:abstractNum>
  <w:abstractNum w:abstractNumId="10">
    <w:nsid w:val="7FDCC233"/>
    <w:multiLevelType w:val="hybridMultilevel"/>
    <w:lvl w:ilvl="0">
      <w:lvlJc w:val="left"/>
      <w:lvlText w:val="(%1)"/>
      <w:numFmt w:val="decimal"/>
      <w:start w:val="1"/>
    </w:lvl>
    <w:lvl w:ilvl="1">
      <w:lvlJc w:val="left"/>
      <w:lvlText w:val="%2"/>
      <w:numFmt w:val="decimal"/>
      <w:start w:val="1"/>
    </w:lvl>
  </w:abstractNum>
  <w:abstractNum w:abstractNumId="11">
    <w:nsid w:val="1BEFD79F"/>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12">
    <w:nsid w:val="41A7C4C9"/>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3"/>
    </w:lvl>
  </w:abstractNum>
  <w:abstractNum w:abstractNumId="13">
    <w:nsid w:val="6B68079A"/>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14">
    <w:nsid w:val="4E6AFB66"/>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15">
    <w:nsid w:val="25E45D32"/>
    <w:multiLevelType w:val="hybridMultilevel"/>
    <w:lvl w:ilvl="0">
      <w:lvlJc w:val="left"/>
      <w:lvlText w:val="5"/>
      <w:numFmt w:val="bullet"/>
      <w:start w:val="1"/>
    </w:lvl>
  </w:abstractNum>
  <w:abstractNum w:abstractNumId="16">
    <w:nsid w:val="519B500D"/>
    <w:multiLevelType w:val="hybridMultilevel"/>
    <w:lvl w:ilvl="0">
      <w:lvlJc w:val="left"/>
      <w:lvlText w:val="%1"/>
      <w:numFmt w:val="decimal"/>
      <w:start w:val="1"/>
    </w:lvl>
    <w:lvl w:ilvl="1">
      <w:lvlJc w:val="left"/>
      <w:lvlText w:val="%2"/>
      <w:numFmt w:val="decimal"/>
      <w:start w:val="24"/>
    </w:lvl>
  </w:abstractNum>
  <w:abstractNum w:abstractNumId="17">
    <w:nsid w:val="431BD7B7"/>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2019-12-15T07:29:07Z</dcterms:created>
  <dcterms:modified xsi:type="dcterms:W3CDTF">2019-12-15T07:29:07Z</dcterms:modified>
</cp:coreProperties>
</file>