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Washington, D.C. 20549</w:t>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-224155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78"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w:t>
            </w:r>
          </w:p>
        </w:tc>
        <w:tc>
          <w:tcPr>
            <w:tcW w:w="4780" w:type="dxa"/>
            <w:vAlign w:val="bottom"/>
            <w:gridSpan w:val="4"/>
          </w:tcPr>
          <w:p>
            <w:pPr>
              <w:ind w:left="360"/>
              <w:spacing w:after="0"/>
              <w:rPr>
                <w:sz w:val="20"/>
                <w:szCs w:val="20"/>
                <w:color w:val="auto"/>
              </w:rPr>
            </w:pPr>
            <w:r>
              <w:rPr>
                <w:rFonts w:ascii="Arial" w:cs="Arial" w:eastAsia="Arial" w:hAnsi="Arial"/>
                <w:sz w:val="18"/>
                <w:szCs w:val="18"/>
                <w:b w:val="1"/>
                <w:bCs w:val="1"/>
                <w:color w:val="auto"/>
              </w:rPr>
              <w:t>to</w:t>
            </w:r>
          </w:p>
        </w:tc>
        <w:tc>
          <w:tcPr>
            <w:tcW w:w="2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1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45"/>
        </w:trPr>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2"/>
          </w:tcPr>
          <w:p>
            <w:pPr>
              <w:jc w:val="center"/>
              <w:ind w:right="116"/>
              <w:spacing w:after="0"/>
              <w:rPr>
                <w:sz w:val="20"/>
                <w:szCs w:val="20"/>
                <w:color w:val="auto"/>
              </w:rPr>
            </w:pPr>
            <w:r>
              <w:rPr>
                <w:rFonts w:ascii="Arial" w:cs="Arial" w:eastAsia="Arial" w:hAnsi="Arial"/>
                <w:sz w:val="18"/>
                <w:szCs w:val="18"/>
                <w:b w:val="1"/>
                <w:bCs w:val="1"/>
                <w:color w:val="auto"/>
                <w:w w:val="89"/>
              </w:rPr>
              <w:t>Commission File No. 333-100768</w:t>
            </w: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76"/>
        </w:trPr>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0" w:type="dxa"/>
            <w:vAlign w:val="bottom"/>
            <w:gridSpan w:val="5"/>
          </w:tcPr>
          <w:p>
            <w:pPr>
              <w:jc w:val="center"/>
              <w:ind w:right="1822"/>
              <w:spacing w:after="0"/>
              <w:rPr>
                <w:sz w:val="20"/>
                <w:szCs w:val="20"/>
                <w:color w:val="auto"/>
              </w:rPr>
            </w:pPr>
            <w:r>
              <w:rPr>
                <w:rFonts w:ascii="Arial" w:cs="Arial" w:eastAsia="Arial" w:hAnsi="Arial"/>
                <w:sz w:val="43"/>
                <w:szCs w:val="43"/>
                <w:b w:val="1"/>
                <w:bCs w:val="1"/>
                <w:color w:val="auto"/>
              </w:rPr>
              <w:t>WYNN LAS VEGAS, LLC</w:t>
            </w:r>
          </w:p>
        </w:tc>
        <w:tc>
          <w:tcPr>
            <w:tcW w:w="640" w:type="dxa"/>
            <w:vAlign w:val="bottom"/>
          </w:tcPr>
          <w:p>
            <w:pPr>
              <w:spacing w:after="0"/>
              <w:rPr>
                <w:sz w:val="24"/>
                <w:szCs w:val="24"/>
                <w:color w:val="auto"/>
              </w:rPr>
            </w:pPr>
          </w:p>
        </w:tc>
      </w:tr>
      <w:tr>
        <w:trPr>
          <w:trHeight w:val="234"/>
        </w:trPr>
        <w:tc>
          <w:tcPr>
            <w:tcW w:w="1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60" w:type="dxa"/>
            <w:vAlign w:val="bottom"/>
            <w:gridSpan w:val="2"/>
          </w:tcPr>
          <w:p>
            <w:pPr>
              <w:jc w:val="center"/>
              <w:ind w:right="1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8"/>
        </w:trPr>
        <w:tc>
          <w:tcPr>
            <w:tcW w:w="2440" w:type="dxa"/>
            <w:vAlign w:val="bottom"/>
            <w:gridSpan w:val="2"/>
          </w:tcPr>
          <w:p>
            <w:pPr>
              <w:jc w:val="center"/>
              <w:ind w:left="1656"/>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20" w:type="dxa"/>
            <w:vAlign w:val="bottom"/>
          </w:tcPr>
          <w:p>
            <w:pPr>
              <w:jc w:val="center"/>
              <w:ind w:right="682"/>
              <w:spacing w:after="0"/>
              <w:rPr>
                <w:sz w:val="20"/>
                <w:szCs w:val="20"/>
                <w:color w:val="auto"/>
              </w:rPr>
            </w:pPr>
            <w:r>
              <w:rPr>
                <w:rFonts w:ascii="Arial" w:cs="Arial" w:eastAsia="Arial" w:hAnsi="Arial"/>
                <w:sz w:val="18"/>
                <w:szCs w:val="18"/>
                <w:b w:val="1"/>
                <w:bCs w:val="1"/>
                <w:color w:val="auto"/>
                <w:w w:val="89"/>
              </w:rPr>
              <w:t>88-0494875</w:t>
            </w:r>
          </w:p>
        </w:tc>
        <w:tc>
          <w:tcPr>
            <w:tcW w:w="640" w:type="dxa"/>
            <w:vAlign w:val="bottom"/>
          </w:tcPr>
          <w:p>
            <w:pPr>
              <w:spacing w:after="0"/>
              <w:rPr>
                <w:sz w:val="24"/>
                <w:szCs w:val="24"/>
                <w:color w:val="auto"/>
              </w:rPr>
            </w:pPr>
          </w:p>
        </w:tc>
      </w:tr>
      <w:tr>
        <w:trPr>
          <w:trHeight w:val="180"/>
        </w:trPr>
        <w:tc>
          <w:tcPr>
            <w:tcW w:w="7220" w:type="dxa"/>
            <w:vAlign w:val="bottom"/>
            <w:gridSpan w:val="6"/>
          </w:tcPr>
          <w:p>
            <w:pPr>
              <w:jc w:val="center"/>
              <w:ind w:right="2976"/>
              <w:spacing w:after="0"/>
              <w:rPr>
                <w:sz w:val="20"/>
                <w:szCs w:val="20"/>
                <w:color w:val="auto"/>
              </w:rPr>
            </w:pPr>
            <w:r>
              <w:rPr>
                <w:rFonts w:ascii="Arial" w:cs="Arial" w:eastAsia="Arial" w:hAnsi="Arial"/>
                <w:sz w:val="14"/>
                <w:szCs w:val="14"/>
                <w:b w:val="1"/>
                <w:bCs w:val="1"/>
                <w:color w:val="auto"/>
                <w:w w:val="93"/>
              </w:rPr>
              <w:t>(State or other jurisdiction of</w:t>
            </w:r>
          </w:p>
        </w:tc>
        <w:tc>
          <w:tcPr>
            <w:tcW w:w="2220" w:type="dxa"/>
            <w:vAlign w:val="bottom"/>
          </w:tcPr>
          <w:p>
            <w:pPr>
              <w:jc w:val="center"/>
              <w:ind w:right="702"/>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5"/>
                <w:szCs w:val="15"/>
                <w:color w:val="auto"/>
              </w:rPr>
            </w:pPr>
          </w:p>
        </w:tc>
      </w:tr>
      <w:tr>
        <w:trPr>
          <w:trHeight w:val="186"/>
        </w:trPr>
        <w:tc>
          <w:tcPr>
            <w:tcW w:w="7220" w:type="dxa"/>
            <w:vAlign w:val="bottom"/>
            <w:gridSpan w:val="6"/>
          </w:tcPr>
          <w:p>
            <w:pPr>
              <w:jc w:val="center"/>
              <w:ind w:right="2976"/>
              <w:spacing w:after="0"/>
              <w:rPr>
                <w:sz w:val="20"/>
                <w:szCs w:val="20"/>
                <w:color w:val="auto"/>
              </w:rPr>
            </w:pPr>
            <w:r>
              <w:rPr>
                <w:rFonts w:ascii="Arial" w:cs="Arial" w:eastAsia="Arial" w:hAnsi="Arial"/>
                <w:sz w:val="14"/>
                <w:szCs w:val="14"/>
                <w:b w:val="1"/>
                <w:bCs w:val="1"/>
                <w:color w:val="auto"/>
                <w:w w:val="94"/>
              </w:rPr>
              <w:t>incorporation or organization)</w:t>
            </w:r>
          </w:p>
        </w:tc>
        <w:tc>
          <w:tcPr>
            <w:tcW w:w="2220" w:type="dxa"/>
            <w:vAlign w:val="bottom"/>
          </w:tcPr>
          <w:p>
            <w:pPr>
              <w:jc w:val="center"/>
              <w:ind w:right="682"/>
              <w:spacing w:after="0"/>
              <w:rPr>
                <w:sz w:val="20"/>
                <w:szCs w:val="20"/>
                <w:color w:val="auto"/>
              </w:rPr>
            </w:pPr>
            <w:r>
              <w:rPr>
                <w:rFonts w:ascii="Arial" w:cs="Arial" w:eastAsia="Arial" w:hAnsi="Arial"/>
                <w:sz w:val="14"/>
                <w:szCs w:val="14"/>
                <w:b w:val="1"/>
                <w:bCs w:val="1"/>
                <w:color w:val="auto"/>
                <w:w w:val="95"/>
              </w:rPr>
              <w:t>Identification Number)</w:t>
            </w:r>
          </w:p>
        </w:tc>
        <w:tc>
          <w:tcPr>
            <w:tcW w:w="640" w:type="dxa"/>
            <w:vAlign w:val="bottom"/>
          </w:tcPr>
          <w:p>
            <w:pPr>
              <w:spacing w:after="0"/>
              <w:rPr>
                <w:sz w:val="16"/>
                <w:szCs w:val="16"/>
                <w:color w:val="auto"/>
              </w:rPr>
            </w:pPr>
          </w:p>
        </w:tc>
      </w:tr>
      <w:tr>
        <w:trPr>
          <w:trHeight w:val="282"/>
        </w:trPr>
        <w:tc>
          <w:tcPr>
            <w:tcW w:w="1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0" w:type="dxa"/>
            <w:vAlign w:val="bottom"/>
            <w:gridSpan w:val="5"/>
          </w:tcPr>
          <w:p>
            <w:pPr>
              <w:jc w:val="center"/>
              <w:ind w:right="1802"/>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640" w:type="dxa"/>
            <w:vAlign w:val="bottom"/>
          </w:tcPr>
          <w:p>
            <w:pPr>
              <w:spacing w:after="0"/>
              <w:rPr>
                <w:sz w:val="24"/>
                <w:szCs w:val="24"/>
                <w:color w:val="auto"/>
              </w:rPr>
            </w:pPr>
          </w:p>
        </w:tc>
      </w:tr>
      <w:tr>
        <w:trPr>
          <w:trHeight w:val="218"/>
        </w:trPr>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jc w:val="center"/>
              <w:ind w:right="96"/>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9"/>
        </w:trPr>
        <w:tc>
          <w:tcPr>
            <w:tcW w:w="1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80" w:type="dxa"/>
            <w:vAlign w:val="bottom"/>
            <w:gridSpan w:val="4"/>
          </w:tcPr>
          <w:p>
            <w:pPr>
              <w:jc w:val="center"/>
              <w:ind w:left="229"/>
              <w:spacing w:after="0"/>
              <w:rPr>
                <w:sz w:val="20"/>
                <w:szCs w:val="20"/>
                <w:color w:val="auto"/>
              </w:rPr>
            </w:pPr>
            <w:r>
              <w:rPr>
                <w:rFonts w:ascii="Arial" w:cs="Arial" w:eastAsia="Arial" w:hAnsi="Arial"/>
                <w:sz w:val="18"/>
                <w:szCs w:val="18"/>
                <w:b w:val="1"/>
                <w:bCs w:val="1"/>
                <w:color w:val="auto"/>
                <w:w w:val="90"/>
              </w:rPr>
              <w:t>(702) 770-7555</w:t>
            </w:r>
          </w:p>
        </w:tc>
        <w:tc>
          <w:tcPr>
            <w:tcW w:w="2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8"/>
        </w:trPr>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2"/>
          </w:tcPr>
          <w:p>
            <w:pPr>
              <w:jc w:val="center"/>
              <w:ind w:right="1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9"/>
        </w:trPr>
        <w:tc>
          <w:tcPr>
            <w:tcW w:w="1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80" w:type="dxa"/>
            <w:vAlign w:val="bottom"/>
            <w:gridSpan w:val="4"/>
          </w:tcPr>
          <w:p>
            <w:pPr>
              <w:jc w:val="center"/>
              <w:ind w:left="22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20" w:type="dxa"/>
            <w:vAlign w:val="bottom"/>
          </w:tcPr>
          <w:p>
            <w:pPr>
              <w:jc w:val="center"/>
              <w:ind w:right="1036"/>
              <w:spacing w:after="0"/>
              <w:rPr>
                <w:sz w:val="20"/>
                <w:szCs w:val="20"/>
                <w:color w:val="auto"/>
              </w:rPr>
            </w:pPr>
            <w:r>
              <w:rPr>
                <w:rFonts w:ascii="Arial" w:cs="Arial" w:eastAsia="Arial" w:hAnsi="Arial"/>
                <w:sz w:val="18"/>
                <w:szCs w:val="18"/>
                <w:b w:val="1"/>
                <w:bCs w:val="1"/>
                <w:color w:val="auto"/>
                <w:w w:val="88"/>
              </w:rPr>
              <w:t>None</w:t>
            </w:r>
          </w:p>
        </w:tc>
        <w:tc>
          <w:tcPr>
            <w:tcW w:w="2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780" w:type="dxa"/>
            <w:vAlign w:val="bottom"/>
            <w:gridSpan w:val="4"/>
          </w:tcPr>
          <w:p>
            <w:pPr>
              <w:jc w:val="center"/>
              <w:ind w:left="229"/>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2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320" w:type="dxa"/>
            <w:vAlign w:val="bottom"/>
          </w:tcPr>
          <w:p>
            <w:pPr>
              <w:jc w:val="center"/>
              <w:ind w:right="1036"/>
              <w:spacing w:after="0"/>
              <w:rPr>
                <w:sz w:val="20"/>
                <w:szCs w:val="20"/>
                <w:color w:val="auto"/>
              </w:rPr>
            </w:pPr>
            <w:r>
              <w:rPr>
                <w:rFonts w:ascii="Arial" w:cs="Arial" w:eastAsia="Arial" w:hAnsi="Arial"/>
                <w:sz w:val="18"/>
                <w:szCs w:val="18"/>
                <w:b w:val="1"/>
                <w:bCs w:val="1"/>
                <w:color w:val="auto"/>
                <w:w w:val="88"/>
              </w:rPr>
              <w:t>None</w:t>
            </w:r>
          </w:p>
        </w:tc>
        <w:tc>
          <w:tcPr>
            <w:tcW w:w="22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8"/>
        </w:trPr>
        <w:tc>
          <w:tcPr>
            <w:tcW w:w="1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tcPr>
          <w:p>
            <w:pPr>
              <w:jc w:val="center"/>
              <w:ind w:right="1056"/>
              <w:spacing w:after="0"/>
              <w:rPr>
                <w:sz w:val="20"/>
                <w:szCs w:val="20"/>
                <w:color w:val="auto"/>
              </w:rPr>
            </w:pPr>
            <w:r>
              <w:rPr>
                <w:rFonts w:ascii="Arial" w:cs="Arial" w:eastAsia="Arial" w:hAnsi="Arial"/>
                <w:sz w:val="14"/>
                <w:szCs w:val="14"/>
                <w:b w:val="1"/>
                <w:bCs w:val="1"/>
                <w:color w:val="auto"/>
                <w:w w:val="93"/>
              </w:rPr>
              <w:t>(Title of Class)</w:t>
            </w:r>
          </w:p>
        </w:tc>
        <w:tc>
          <w:tcPr>
            <w:tcW w:w="2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6"/>
        </w:trPr>
        <w:tc>
          <w:tcPr>
            <w:tcW w:w="9440" w:type="dxa"/>
            <w:vAlign w:val="bottom"/>
            <w:gridSpan w:val="7"/>
          </w:tcPr>
          <w:p>
            <w:pPr>
              <w:ind w:left="26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6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3"/>
        </w:trPr>
        <w:tc>
          <w:tcPr>
            <w:tcW w:w="9440" w:type="dxa"/>
            <w:vAlign w:val="bottom"/>
            <w:gridSpan w:val="7"/>
          </w:tcPr>
          <w:p>
            <w:pPr>
              <w:ind w:left="26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r>
    </w:tbl>
    <w:p>
      <w:pPr>
        <w:spacing w:after="0" w:line="20" w:lineRule="exact"/>
        <w:rPr>
          <w:sz w:val="24"/>
          <w:szCs w:val="24"/>
          <w:color w:val="auto"/>
        </w:rPr>
      </w:pPr>
    </w:p>
    <w:p>
      <w:pPr>
        <w:jc w:val="both"/>
        <w:ind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4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460" w:firstLine="97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660" w:space="440"/>
            <w:col w:w="5540" w:space="720"/>
            <w:col w:w="2000" w:space="720"/>
            <w:col w:w="300"/>
          </w:cols>
          <w:pgMar w:left="240" w:top="229" w:right="27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560" w:space="540"/>
            <w:col w:w="55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9460" w:space="80"/>
            <w:col w:w="160" w:space="180"/>
            <w:col w:w="220" w:space="100"/>
            <w:col w:w="1180"/>
          </w:cols>
          <w:pgMar w:left="240" w:top="229" w:right="279" w:bottom="1440" w:gutter="0" w:footer="0" w:header="0"/>
          <w:type w:val="continuous"/>
        </w:sectPr>
      </w:pPr>
    </w:p>
    <w:p>
      <w:pPr>
        <w:spacing w:after="0" w:line="145" w:lineRule="exact"/>
        <w:rPr>
          <w:sz w:val="24"/>
          <w:szCs w:val="24"/>
          <w:color w:val="auto"/>
        </w:rPr>
      </w:pPr>
    </w:p>
    <w:p>
      <w:pPr>
        <w:ind w:right="10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interests held by non-affiliates on June 30, 2016 was $0. Wynn Las Vegas Holdings, LLC owns all of the membership interests of the registrant.</w:t>
      </w:r>
    </w:p>
    <w:p>
      <w:pPr>
        <w:spacing w:after="0" w:line="4" w:lineRule="exact"/>
        <w:rPr>
          <w:sz w:val="24"/>
          <w:szCs w:val="24"/>
          <w:color w:val="auto"/>
        </w:rPr>
      </w:pPr>
    </w:p>
    <w:p>
      <w:pPr>
        <w:ind w:right="140" w:firstLine="97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00" w:type="dxa"/>
            <w:vAlign w:val="bottom"/>
            <w:gridSpan w:val="19"/>
          </w:tcPr>
          <w:p>
            <w:pPr>
              <w:jc w:val="center"/>
              <w:ind w:right="2380"/>
              <w:spacing w:after="0"/>
              <w:rPr>
                <w:sz w:val="20"/>
                <w:szCs w:val="20"/>
                <w:color w:val="auto"/>
              </w:rPr>
            </w:pPr>
            <w:r>
              <w:rPr>
                <w:rFonts w:ascii="Arial" w:cs="Arial" w:eastAsia="Arial" w:hAnsi="Arial"/>
                <w:sz w:val="18"/>
                <w:szCs w:val="18"/>
                <w:b w:val="1"/>
                <w:bCs w:val="1"/>
                <w:color w:val="auto"/>
                <w:w w:val="99"/>
              </w:rPr>
              <w:t>WYNN LAS VEGAS, LLC AND SUBSIDIARIES</w:t>
            </w:r>
          </w:p>
        </w:tc>
        <w:tc>
          <w:tcPr>
            <w:tcW w:w="10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20" w:type="dxa"/>
            <w:vAlign w:val="bottom"/>
            <w:gridSpan w:val="16"/>
          </w:tcPr>
          <w:p>
            <w:pPr>
              <w:jc w:val="center"/>
              <w:ind w:right="3680"/>
              <w:spacing w:after="0"/>
              <w:rPr>
                <w:sz w:val="20"/>
                <w:szCs w:val="20"/>
                <w:color w:val="auto"/>
              </w:rPr>
            </w:pPr>
            <w:r>
              <w:rPr>
                <w:rFonts w:ascii="Arial" w:cs="Arial" w:eastAsia="Arial" w:hAnsi="Arial"/>
                <w:sz w:val="18"/>
                <w:szCs w:val="18"/>
                <w:b w:val="1"/>
                <w:bCs w:val="1"/>
                <w:color w:val="auto"/>
              </w:rPr>
              <w:t>FORM 10-K</w:t>
            </w:r>
          </w:p>
        </w:tc>
        <w:tc>
          <w:tcPr>
            <w:tcW w:w="10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20" w:type="dxa"/>
            <w:vAlign w:val="bottom"/>
            <w:gridSpan w:val="16"/>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r>
      <w:tr>
        <w:trPr>
          <w:trHeight w:val="527"/>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36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040" w:type="dxa"/>
            <w:vAlign w:val="bottom"/>
          </w:tcPr>
          <w:p>
            <w:pPr>
              <w:spacing w:after="0"/>
              <w:rPr>
                <w:sz w:val="24"/>
                <w:szCs w:val="24"/>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320" w:type="dxa"/>
            <w:vAlign w:val="bottom"/>
            <w:gridSpan w:val="14"/>
          </w:tcPr>
          <w:p>
            <w:pPr>
              <w:spacing w:after="0"/>
              <w:rPr>
                <w:sz w:val="21"/>
                <w:szCs w:val="21"/>
                <w:color w:val="auto"/>
              </w:rPr>
            </w:pPr>
          </w:p>
        </w:tc>
        <w:tc>
          <w:tcPr>
            <w:tcW w:w="580" w:type="dxa"/>
            <w:vAlign w:val="bottom"/>
            <w:tcBorders>
              <w:top w:val="single" w:sz="8" w:color="0000EE"/>
            </w:tcBorders>
            <w:gridSpan w:val="3"/>
          </w:tcPr>
          <w:p>
            <w:pPr>
              <w:spacing w:after="0"/>
              <w:rPr>
                <w:sz w:val="21"/>
                <w:szCs w:val="21"/>
                <w:color w:val="auto"/>
              </w:rPr>
            </w:pPr>
          </w:p>
        </w:tc>
        <w:tc>
          <w:tcPr>
            <w:tcW w:w="4400" w:type="dxa"/>
            <w:vAlign w:val="bottom"/>
            <w:gridSpan w:val="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040" w:type="dxa"/>
            <w:vAlign w:val="bottom"/>
            <w:gridSpan w:val="2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6900" w:type="dxa"/>
            <w:vAlign w:val="bottom"/>
            <w:gridSpan w:val="1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4360" w:type="dxa"/>
            <w:vAlign w:val="bottom"/>
            <w:gridSpan w:val="8"/>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4580" w:type="dxa"/>
            <w:vAlign w:val="bottom"/>
            <w:gridSpan w:val="10"/>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104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10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440" w:type="dxa"/>
            <w:vAlign w:val="bottom"/>
            <w:gridSpan w:val="3"/>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432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94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9"/>
          </w:tcPr>
          <w:p>
            <w:pPr>
              <w:spacing w:after="0"/>
              <w:rPr>
                <w:sz w:val="21"/>
                <w:szCs w:val="21"/>
                <w:color w:val="auto"/>
              </w:rPr>
            </w:pPr>
          </w:p>
        </w:tc>
        <w:tc>
          <w:tcPr>
            <w:tcW w:w="4860" w:type="dxa"/>
            <w:vAlign w:val="bottom"/>
            <w:gridSpan w:val="11"/>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94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 and Director Independence</w:t>
              </w:r>
            </w:hyperlink>
          </w:p>
        </w:tc>
        <w:tc>
          <w:tcPr>
            <w:tcW w:w="1660" w:type="dxa"/>
            <w:vAlign w:val="bottom"/>
            <w:gridSpan w:val="2"/>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3500" w:type="dxa"/>
            <w:vAlign w:val="bottom"/>
            <w:gridSpan w:val="5"/>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60" w:type="dxa"/>
            <w:vAlign w:val="bottom"/>
            <w:gridSpan w:val="15"/>
          </w:tcPr>
          <w:p>
            <w:pPr>
              <w:jc w:val="center"/>
              <w:ind w:right="434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IV</w:t>
              </w:r>
            </w:hyperlink>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90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40" w:type="dxa"/>
            <w:vAlign w:val="bottom"/>
            <w:gridSpan w:val="7"/>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Wynn Las Vegas, LLC (together with its subsidiaries "we" or the "Company"), is a developer, owner and operator of destination casino resorts (integrated resorts). We currently own and operate Wynn Las Vegas, an integrated resort on the "Strip" in Las Vegas, Nevada. Wynn Las Vegas, LLC, a Nevada limited liability company, was formed on April 17, 2001. We are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7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Wynn Las Vegas Capital Corp. ("Capital Corp.") is a wholly owned subsidiary of Wynn Las Vegas, LLC, incorporated on June 3, 2002, solely for the purpose of obtaining financing for Wynn Las Vegas. Capital Corp. is authorized to issue 2,000 shares of common stock, par value $0.01. As of December 31, 2016, the Company owned the one share that was issued and outstanding. Capital Corp. has neither any significant net assets nor any operating activity. Its sole function is to serve as the co-issuer of the mortgage notes.</w:t>
      </w:r>
    </w:p>
    <w:p>
      <w:pPr>
        <w:spacing w:after="0" w:line="18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2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opened Wynn Las Vegas on April 28, 2005 and opened Encore, an expansion of Wynn Las Vegas, on December 22, 2008. 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use approximately five acres adjacent to the golf course on which an office building is located.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February 15, 2017:</w:t>
      </w:r>
    </w:p>
    <w:p>
      <w:pPr>
        <w:spacing w:after="0" w:line="225" w:lineRule="exact"/>
        <w:rPr>
          <w:sz w:val="20"/>
          <w:szCs w:val="20"/>
          <w:color w:val="auto"/>
        </w:rPr>
      </w:pPr>
    </w:p>
    <w:p>
      <w:pPr>
        <w:ind w:left="900" w:right="44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189,000 square feet of casino space, offering 24-hour gaming and a full range of games with 234 table games and 1,907 slot machines, private gaming salons, a sky casino, a poker room, and a race and sports book;</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9" w:lineRule="exact"/>
        <w:rPr>
          <w:rFonts w:ascii="Arial" w:cs="Arial" w:eastAsia="Arial" w:hAnsi="Arial"/>
          <w:sz w:val="18"/>
          <w:szCs w:val="18"/>
          <w:color w:val="auto"/>
        </w:rPr>
      </w:pPr>
    </w:p>
    <w:p>
      <w:pPr>
        <w:ind w:left="900" w:right="8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space (of which, effective December 28, 2016, approximately 88,000 is owned and operated by a subsidiary of Wynn Resorts, as discussed below);</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9" w:lineRule="exact"/>
        <w:rPr>
          <w:rFonts w:ascii="Arial" w:cs="Arial" w:eastAsia="Arial" w:hAnsi="Arial"/>
          <w:sz w:val="18"/>
          <w:szCs w:val="18"/>
          <w:color w:val="auto"/>
        </w:rPr>
      </w:pPr>
    </w:p>
    <w:p>
      <w:pPr>
        <w:ind w:left="900" w:right="46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 and.</w:t>
      </w:r>
    </w:p>
    <w:p>
      <w:pPr>
        <w:ind w:left="900" w:right="580" w:hanging="325"/>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184" w:lineRule="exact"/>
        <w:rPr>
          <w:sz w:val="20"/>
          <w:szCs w:val="20"/>
          <w:color w:val="auto"/>
        </w:rPr>
      </w:pPr>
    </w:p>
    <w:p>
      <w:pPr>
        <w:ind w:left="60" w:firstLine="405"/>
        <w:spacing w:after="0" w:line="297" w:lineRule="auto"/>
        <w:rPr>
          <w:sz w:val="20"/>
          <w:szCs w:val="20"/>
          <w:color w:val="auto"/>
        </w:rPr>
      </w:pPr>
      <w:r>
        <w:rPr>
          <w:rFonts w:ascii="Arial" w:cs="Arial" w:eastAsia="Arial" w:hAnsi="Arial"/>
          <w:sz w:val="16"/>
          <w:szCs w:val="16"/>
          <w:color w:val="auto"/>
        </w:rPr>
        <w:t>In December 2016, a subsidiary of Wynn Resorts formed a joint venture with Crown Acquisitions Inc. ("Crown") to own and operate approximately 88,000 square feet of existing retail space and entered into an agreement with Crown to form a joint venture to own and operate approximately 73,000 square feet of additional retail space that is currently under construction at Wynn Las Vegas. In connection with the transaction, we distributed $59.7 million in net assets associated with the existing Wynn Las Vegas retail stores to Wynn Resorts. We expect to transfer certain assets and liabilities associated with the additional retail space to Wynn Resorts prior to opening for business in the first quarter of 2018. As a result of the transaction, our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0" w:right="680"/>
        <w:spacing w:after="0" w:line="277" w:lineRule="auto"/>
        <w:rPr>
          <w:sz w:val="20"/>
          <w:szCs w:val="20"/>
          <w:color w:val="auto"/>
        </w:rPr>
      </w:pPr>
      <w:r>
        <w:rPr>
          <w:rFonts w:ascii="Arial" w:cs="Arial" w:eastAsia="Arial" w:hAnsi="Arial"/>
          <w:sz w:val="18"/>
          <w:szCs w:val="18"/>
          <w:color w:val="auto"/>
        </w:rPr>
        <w:t>financial results will no longer reflect the operations associated with the distributed retail net assets. The income before income taxes from the retail operations was $27.4 million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In response to our evaluation of our property and our commitment to creating a unique customer experience, we have made and expect to continue to make enhancements and refinements to this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believe that Wynn Resorts, of which we are an indirect wholly owned subsidiary, is the world's preeminent designer, developer, and operator of integrated resorts. The Company's integrated-resort business model, pioneered by Chairman and Chief Executive Officer Stephen A. Wynn, integrates luxury hotel rooms, high-end retail, an array of dining and entertainment options, meeting spaces, and gaming, all supported by superior levels of customer service. Given his extensive design and operational experience, we believe that Mr. Wynn's involvement with our resort provides a distinct advantage over other gaming enterprises.</w:t>
      </w:r>
    </w:p>
    <w:p>
      <w:pPr>
        <w:spacing w:after="0" w:line="188"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Our management team has a demonstrated track record in developing and operating successful integrated resort projects around the world. The senior executive team has an average of over 25 years of experience in the hotel and gaming industries. In addition, Wynn Resorts has a design, development and construction subsidiary, in which the senior management has significant experience across all major construction disciplines.</w:t>
      </w:r>
    </w:p>
    <w:p>
      <w:pPr>
        <w:spacing w:after="0" w:line="10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integrated resort attracts a wide range of customer segments (including premium international customers) and generates strong financial results. We continually refresh our integrated resort to create unique customer experiences across a wide range of gaming and non-gaming amenities. Our business is dependent upon repeat visitation from our guests. We believe superior customer experience and service is the best marketing strategy to attract and retain our customers. Human resources and staff training are essential to our strategy to ensure our employees are prepared to provide the luxury service that our guests expect.</w:t>
      </w:r>
    </w:p>
    <w:p>
      <w:pPr>
        <w:spacing w:after="0" w:line="14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been successful in attracting not only a wide range of domestic guests, but also extending our customer market areas into international markets. We leverage our international marketing team across branch offices located in five countries (Hong Kong SAR, Singapore, Japan, Taiwan and Canada) to attract international customers.</w:t>
      </w:r>
    </w:p>
    <w:p>
      <w:pPr>
        <w:spacing w:after="0" w:line="141"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The Tower Suites at Wynn Las Vegas and the Tower Suites at Encore have received the Forbes Travel Guide Five-Star distinction for the eleventh year and eighth year, respectively. In addition, our spas at Wynn Las Vegas and Encore, and our restaurant at Wynn Las Vegas, Wing Lei, have received Five-Star distinction and seven restaurants in our resorts have earned Four-Star distinction from Forbes Travel Guide.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Las Vegas is the largest gaming market in the United States. Although Las Vegas Strip gaming revenues remained relatively flat at $6.4 billion for the year ended December 31, 2016, the economic environment in the gaming and hotel markets in Las Vegas continued to improve with increased visitation and hotel room demand. During 2016, the average daily room rate increased 4.5% and visitation increased 1.5% to 42.9 million visitors, compared to 2015. In addition, Las Vegas Strip resorts experienced 2016 year-over-year increases of 1.1% and 5.9% in occupancy and revenue per available room, respectively.</w:t>
      </w:r>
    </w:p>
    <w:p>
      <w:pPr>
        <w:spacing w:after="0" w:line="15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Wynn Las Vegas is located on the Las Vegas Strip and competes with other high-quality resorts and hotel casinos in Las Vegas. Wynn Las Vegas also competes, to some extent, with other casino resorts throughout the United States and elsewhere in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gaming industry is highly regulated. The ownership and operation of casino gaming facilities in the State of Nevada are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Gaming Control Act and the regulations made thereunder, as well as to various local ordinances. Our properties are subject to the licensing and regulatory control of the Nevada Gaming Commission, the Nevada Gaming Control Board and the Clark County Liquor and Gaming Licensing Board, which we refer to herein collectively as the "Nevada Gaming Authorities."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17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900" w:right="120" w:hanging="325"/>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70"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b w:val="1"/>
          <w:bCs w:val="1"/>
          <w:i w:val="1"/>
          <w:iCs w:val="1"/>
          <w:color w:val="auto"/>
        </w:rPr>
        <w:t xml:space="preserve">Owner and Operator Licensing Requirements. </w:t>
      </w:r>
      <w:r>
        <w:rPr>
          <w:rFonts w:ascii="Arial" w:cs="Arial" w:eastAsia="Arial" w:hAnsi="Arial"/>
          <w:sz w:val="17"/>
          <w:szCs w:val="17"/>
          <w:color w:val="auto"/>
        </w:rPr>
        <w:t>Wynn Las Vegas, LLC has been approved by the Nevada Gaming Authorities as a limited liability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licensee, referred to as a company licensee, which includes approval to conduct casino gaming operations, including a race book and sports pool, pari-mutuel wagering and the operation of gaming salons. These gaming licenses are not transferable.</w:t>
      </w:r>
    </w:p>
    <w:p>
      <w:pPr>
        <w:spacing w:after="0" w:line="166"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Holdings was found suitable by the Nevada Gaming Commission to own the equity interests of Wynn America and to be registered by the Nevada Gaming Commission as an intermediary company. Wynn America was found suitable by the Nevada Gaming Commission to own the equity interests of WLVH and to be registered by the Nevada Gaming Commission as an intermediary company. WLVH was found suitable by the Nevada Gaming Commission to own the equity interests of Wynn Las Vegas, LLC and to be registered by the Nevada Gaming Commission as an intermediary company. In addition to being licensed, Wynn Las Vegas, LLC, as an issuer of debt securities registered with the SEC, also qualified as a registered company. Capital Corp. was not required to be registered or licensed, but may be required to be found suitable as a lender or financing source.</w:t>
      </w:r>
    </w:p>
    <w:p>
      <w:pPr>
        <w:spacing w:after="0" w:line="16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8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Individual Licensing Requirements. </w:t>
      </w:r>
      <w:r>
        <w:rPr>
          <w:rFonts w:ascii="Arial" w:cs="Arial" w:eastAsia="Arial" w:hAnsi="Arial"/>
          <w:sz w:val="17"/>
          <w:szCs w:val="17"/>
          <w:color w:val="auto"/>
        </w:rPr>
        <w:t>No person may become a more than 5% stockholder or member of, or receive any percentage of the profits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determines that we have violated the Nevada Gaming Control 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81"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b w:val="1"/>
          <w:bCs w:val="1"/>
          <w:i w:val="1"/>
          <w:iCs w:val="1"/>
          <w:color w:val="auto"/>
        </w:rPr>
        <w:t xml:space="preserve">Requirements for Voting or Nonvoting Securities Holders. </w:t>
      </w:r>
      <w:r>
        <w:rPr>
          <w:rFonts w:ascii="Arial" w:cs="Arial" w:eastAsia="Arial" w:hAnsi="Arial"/>
          <w:sz w:val="17"/>
          <w:szCs w:val="17"/>
          <w:color w:val="auto"/>
        </w:rPr>
        <w:t>Regardless of the number of shares held, any beneficial owner of Wynn Resorts' voting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7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7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900" w:right="40" w:hanging="325"/>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b w:val="1"/>
          <w:bCs w:val="1"/>
          <w:i w:val="1"/>
          <w:iCs w:val="1"/>
          <w:color w:val="auto"/>
        </w:rPr>
        <w:t>Consequences of Being Found Unsuitable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person who fails or refuses to apply for a finding of suitability or a license within 30 days after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ordered to do so by the Nevada Gaming Commission or by the Chairman of the Nevada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disciplinary action if, after we receive notice that a person is unsuitable to hold an equity interest or to have any other relationship with us, we:</w:t>
      </w:r>
    </w:p>
    <w:p>
      <w:pPr>
        <w:spacing w:after="0" w:line="22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900" w:right="20" w:hanging="325"/>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securities of the registered company if the Nevada Gaming Commission has reason to believe that such ownership would otherwise be inconsistent with the declared policies of the State of Nevada. If the Nevada Gaming Commission decides that a person is unsuitable to own the securities, then under the Nevada Gaming Control Act, the registered company can be sanctioned, including the loss of its approvals if, without the prior approval of the Nevada Gaming Commission, it:</w:t>
      </w:r>
    </w:p>
    <w:p>
      <w:pPr>
        <w:spacing w:after="0" w:line="15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offering are intended to be used to construct, acquire or finance gaming facilities in Nevada, or to retire or extend obligations incurred for those purposes or for similar transactions. On March 21, 2013, the Nevada Gaming Commission granted us and Wynn Resorts prior approval, subject to certain conditions, to make public offerings for a period of three years (the "Shelf Approval"). The Shelf Approval granted by the Nevada Gaming Commission will expire on March 20, 2016. We do not intend to seek renewal of the approval; however, Wynn Resorts has renewed its Nevada Gaming Commission approval.</w:t>
      </w:r>
    </w:p>
    <w:p>
      <w:pPr>
        <w:spacing w:after="0" w:line="158"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5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conducted. Depending upon the particular fee or tax involved, these fees and taxes are payable monthly, quarterly or annually and are based upon:</w:t>
      </w:r>
    </w:p>
    <w:p>
      <w:pPr>
        <w:spacing w:after="0" w:line="23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live entertainment tax also is imposed on admission charges where live entertainment is furnished.</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control with such persons (collectively, "licensees"), and who proposes to become involved in a gaming venture outside of Nevada, is required to deposit with the Nevada Gaming Control Board, and thereafter maintain, a revolving fund in the amount of $10,000 to pay the expenses of investigation of the Nevada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6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32" w:lineRule="exact"/>
        <w:rPr>
          <w:rFonts w:ascii="Arial" w:cs="Arial" w:eastAsia="Arial" w:hAnsi="Arial"/>
          <w:sz w:val="16"/>
          <w:szCs w:val="16"/>
          <w:color w:val="auto"/>
        </w:rPr>
      </w:pPr>
    </w:p>
    <w:p>
      <w:pPr>
        <w:ind w:left="900" w:right="6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engages in activities or enters into associations that are harmful to the State of Nevada or its ability to collect gaming taxes and fees; or,</w:t>
      </w:r>
    </w:p>
    <w:p>
      <w:pPr>
        <w:spacing w:after="0" w:line="20" w:lineRule="exact"/>
        <w:rPr>
          <w:rFonts w:ascii="Arial" w:cs="Arial" w:eastAsia="Arial" w:hAnsi="Arial"/>
          <w:sz w:val="17"/>
          <w:szCs w:val="17"/>
          <w:color w:val="auto"/>
        </w:rPr>
      </w:pPr>
    </w:p>
    <w:p>
      <w:pPr>
        <w:ind w:left="900" w:right="80" w:hanging="325"/>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In addition to gaming regulations, we are subject to extensive local, state and federal laws and regulations. These include, but are not limited to, laws and regulations relating to alcoholic beverages, environmental matters, employment and immigration, currency and other transactions, taxation, zoning and building codes, marketing and advertising, timeshare, lending, debt collection, privacy, telemarketing, money laundering, laws and regulations administered by the Office of Foreign Assets Control, and anti-bribery laws, including the Foreign Corrupt Practices Act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we had approximately 12,000 employees.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ten-year collective bargaining agreement with the Culinary and Bartenders Union, which covers approximately 5,600 employees, expired by its terms in July 2015. An extension was in place until February 2017 when we entered into a new collective bargaining agreement, which expires July 2021. In November 2010, we entered into a ten-year collective bargaining agreement with the Transportation Workers Union, which covers 430 of our table games dealers. Certain other unions may seek to organize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Among our most important marks are our trademarks and service marks that use the name "WYNN." Holdings has registered with the U.S. Patent and Trademark Office ("PTO") a variety of WYNN-related trademarks and service marks in connection with a variety of goods and services.</w:t>
      </w:r>
    </w:p>
    <w:p>
      <w:pPr>
        <w:spacing w:after="0" w:line="14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August 6, 2004, Holdings entered into agreements with Mr. Wynn that confirm and clarify its rights to use the "Wynn" surname and Mr. Wynn's persona in connection with our casino resorts. Under a Surname Rights Agreement, Mr. Wynn has acknowledged Holdings'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political and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tourism trends and impact on levels of travel, leisure and consumer spending, particularly from our international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FCPA;</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and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6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have a substantial amount of consolidated debt in relation to our equity. As of December 31, 2016, we had total outstanding debt of approximately $3.20 billion, and may incur more in the future. Our indebtedness could have important consequences. For example:</w:t>
      </w:r>
    </w:p>
    <w:p>
      <w:pPr>
        <w:spacing w:after="0" w:line="170" w:lineRule="exact"/>
        <w:rPr>
          <w:sz w:val="20"/>
          <w:szCs w:val="20"/>
          <w:color w:val="auto"/>
        </w:rPr>
      </w:pPr>
    </w:p>
    <w:p>
      <w:pPr>
        <w:ind w:left="660" w:right="3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our payment obligations or otherwise default under the agreements governing our indebtedness could result in acceleration of our indebtedness and bankruptcy;</w:t>
      </w:r>
    </w:p>
    <w:p>
      <w:pPr>
        <w:spacing w:after="0" w:line="1" w:lineRule="exact"/>
        <w:rPr>
          <w:rFonts w:ascii="Arial" w:cs="Arial" w:eastAsia="Arial" w:hAnsi="Arial"/>
          <w:sz w:val="18"/>
          <w:szCs w:val="18"/>
          <w:color w:val="auto"/>
        </w:rPr>
      </w:pPr>
    </w:p>
    <w:p>
      <w:pPr>
        <w:ind w:left="660" w:right="64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servicing our indebtedness requires a substantial portion of our cash flow from the operations of Wynn Las Vegas and reduces the amount of available cash, if any, to fund working capital and other cash requirements or pay for other capital expenditures; and</w:t>
      </w:r>
    </w:p>
    <w:p>
      <w:pPr>
        <w:ind w:left="660" w:right="48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18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Under the terms of the instruments governing our indebtedness, subject to certain limitations, we are permitted to incur additional indebtedness. If we incur additional indebtedness, the risks described above will be exacerbated.</w:t>
      </w:r>
    </w:p>
    <w:p>
      <w:pPr>
        <w:spacing w:after="0" w:line="170"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b w:val="1"/>
          <w:bCs w:val="1"/>
          <w:i w:val="1"/>
          <w:iCs w:val="1"/>
          <w:color w:val="auto"/>
        </w:rPr>
        <w:t>The Indentures governing our indebtedness contain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indentures governing our indebtedness restrict our ability to engage in certain transactions and may limit our ability to respond to changing business and economic conditions. The restrictions include, among other things, limitations on our ability and the ability of our restricted subsidiaries to:</w:t>
      </w:r>
    </w:p>
    <w:p>
      <w:pPr>
        <w:spacing w:after="0" w:line="1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or otherwise dispose of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ind w:right="300" w:firstLine="243"/>
        <w:spacing w:after="0" w:line="277" w:lineRule="auto"/>
        <w:rPr>
          <w:sz w:val="20"/>
          <w:szCs w:val="20"/>
          <w:color w:val="auto"/>
        </w:rPr>
      </w:pPr>
      <w:r>
        <w:rPr>
          <w:rFonts w:ascii="Arial" w:cs="Arial" w:eastAsia="Arial" w:hAnsi="Arial"/>
          <w:sz w:val="18"/>
          <w:szCs w:val="18"/>
          <w:b w:val="1"/>
          <w:bCs w:val="1"/>
          <w:i w:val="1"/>
          <w:iCs w:val="1"/>
          <w:color w:val="auto"/>
        </w:rPr>
        <w:t>Future indebtedness could also contain covenants more restrictive than those under our existing indebtedness, including covenants requiring us to maintain minimum financial ratios.</w:t>
      </w:r>
    </w:p>
    <w:p>
      <w:pPr>
        <w:spacing w:after="0" w:line="17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 default under one of the instruments governing our indebtedness could result in acceleration of our indebtedness, which could result in an event of default under other debt. If our debt is accelerated, we may not have sufficient assets or cash flow to fully repay our borrowings and we may not be able to repay, refinance or restructure the payments on such debt. Such a default would have a significant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2022; however, we cannot assure you that Mr. Wynn will remain with Wynn Resorts. If we lose the services of Mr. Wynn, or if he is unable to devote sufficient attention to our operations for any other reason, our business may be significantly impaired.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global economic conditions.</w:t>
      </w:r>
    </w:p>
    <w:p>
      <w:pPr>
        <w:spacing w:after="0" w:line="24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Consumer demand for casino/hotel resorts, trade shows and conventions and for the type of luxury amenities that we offer is particularly sensitive to changes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7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growth in consumer demand for non-gaming offerings. Our success depends in part on our ability to anticipate the preferences of consumers and react to those trends and any failure to do so may negatively impact our operating results.</w:t>
      </w:r>
    </w:p>
    <w:p>
      <w:pPr>
        <w:spacing w:after="0" w:line="181" w:lineRule="exact"/>
        <w:rPr>
          <w:sz w:val="20"/>
          <w:szCs w:val="20"/>
          <w:color w:val="auto"/>
        </w:rPr>
      </w:pPr>
    </w:p>
    <w:p>
      <w:pPr>
        <w:ind w:right="140" w:firstLine="243"/>
        <w:spacing w:after="0" w:line="286" w:lineRule="auto"/>
        <w:rPr>
          <w:sz w:val="20"/>
          <w:szCs w:val="20"/>
          <w:color w:val="auto"/>
        </w:rPr>
      </w:pPr>
      <w:r>
        <w:rPr>
          <w:rFonts w:ascii="Arial" w:cs="Arial" w:eastAsia="Arial" w:hAnsi="Arial"/>
          <w:sz w:val="17"/>
          <w:szCs w:val="17"/>
          <w:b w:val="1"/>
          <w:bCs w:val="1"/>
          <w:i w:val="1"/>
          <w:iCs w:val="1"/>
          <w:color w:val="auto"/>
        </w:rPr>
        <w:t>Our business is particularly sensitive to the willingness of our customers to travel. Acts or the threat of acts of terrorism, regional political events and developments in certain countries could cause severe disruptions in air travel that reduce the number of visitors to our facilities, resulting in a material adverse effect on our business and financial condition, results of operations or cash flows.</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property. Acts of terrorism or concerns over the possibility of such acts may severely disrupt domestic and international travel, which would result in a decrease in customer visits to Las Vegas, including to Wynn Las Vegas. Disruptions in air or other forms of travel as a result of any terrorist act, outbreak of hostilities, escalation of war or worldwide infectious disease outbreak would have an adverse effect on our business and financial condition, results of operations or cash flows.</w:t>
      </w:r>
    </w:p>
    <w:p>
      <w:pPr>
        <w:spacing w:after="0" w:line="188"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17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are entirely dependent upon Wynn Las Vegas for all of our cash flow and we do not expect to have material assets or operations other than Wynn Las Vegas. As a result, we are subject to a greater degree of risk than a gaming company with more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properties or greater geographic diversification. The risks to which we have a greater degree of exposure include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maintaining our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non-casino activities at Wynn Las Vegas.</w:t>
      </w:r>
    </w:p>
    <w:p>
      <w:pPr>
        <w:spacing w:after="0" w:line="21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generate sufficient cash flow make payments or maintain our covenants with respect to our debt.</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casino/hotel industry is highly competitive and additional developments have recently opened or are currently underway. Resorts located on or near the Las Vegas Strip, such as Wynn Las Vegas, compete with other Las Vegas Strip hotels and with other hotel casinos in Las Vegas on the basis of overall atmosphere, range of amenities, level of service, price, location, entertainment, theme and size, among other factors.</w:t>
      </w:r>
    </w:p>
    <w:p>
      <w:pPr>
        <w:spacing w:after="0" w:line="166"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Increased competition could result in a loss of customers, which may negatively affect our cash flows and results of operations.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relies on high-end international customers and may be affected by adverse political and economic conditions.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 significant portion of our revenue at Wynn Las Vegas is attributable to the play of a limited number of high-end international customers, primarily from Asia. As a result, our operations are subject to significant political, economic and social risks. Any global economic disruption or contraction could impact the number of customers from this region who visit our property or the amount which they may be willing to spend. The loss or a reduction in the play of the most significant of these customers could have a material adverse effect on our business, financial condition, results of operations and cash flows.</w:t>
      </w:r>
    </w:p>
    <w:p>
      <w:pPr>
        <w:spacing w:after="0" w:line="154"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b w:val="1"/>
          <w:bCs w:val="1"/>
          <w:i w:val="1"/>
          <w:iCs w:val="1"/>
          <w:color w:val="auto"/>
        </w:rPr>
        <w:t>We often extend credit to high-end international customers, and we may not be able to collect gaming receivables from our credit players or credit play may decrease.</w:t>
      </w:r>
    </w:p>
    <w:p>
      <w:pPr>
        <w:spacing w:after="0" w:line="17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87"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are enforceable 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2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gross gaming revenue is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4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70" w:lineRule="exact"/>
        <w:rPr>
          <w:sz w:val="20"/>
          <w:szCs w:val="20"/>
          <w:color w:val="auto"/>
        </w:rPr>
      </w:pPr>
    </w:p>
    <w:p>
      <w:pPr>
        <w:ind w:right="160" w:firstLine="230"/>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operations of Wynn Las Vegas are contingent upon our obtaining and maintaining all necessary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Nevada Gaming Commission may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9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Nevada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may be levied. Complying with gaming laws, regulations and license requirements is costly. Any change in the laws, regulations or licenses applicable to our business or a violation of any current or future laws or regulations applicable to our business or gaming licenses could require us to make substantial expenditures or forfeit assets, and would negatively affect our gaming operations.</w:t>
      </w:r>
    </w:p>
    <w:p>
      <w:pPr>
        <w:spacing w:after="0" w:line="173" w:lineRule="exact"/>
        <w:rPr>
          <w:sz w:val="20"/>
          <w:szCs w:val="20"/>
          <w:color w:val="auto"/>
        </w:rPr>
      </w:pPr>
    </w:p>
    <w:p>
      <w:pPr>
        <w:ind w:right="360" w:firstLine="230"/>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laws and regulations. Recently, U.S. governmental authorities have increased their focus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jc w:val="both"/>
        <w:ind w:right="160" w:firstLine="432"/>
        <w:spacing w:after="0" w:line="276" w:lineRule="auto"/>
        <w:rPr>
          <w:sz w:val="20"/>
          <w:szCs w:val="20"/>
          <w:color w:val="auto"/>
        </w:rPr>
      </w:pPr>
      <w:r>
        <w:rPr>
          <w:rFonts w:ascii="Arial" w:cs="Arial" w:eastAsia="Arial" w:hAnsi="Arial"/>
          <w:sz w:val="17"/>
          <w:szCs w:val="17"/>
          <w:color w:val="auto"/>
        </w:rPr>
        <w:t>Further, Wynn Resorts has operations, and a significant portion of its revenue is derived from customers, outside of the United States. Wynn Resorts and the Company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3"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of Aruze USA, Inc. ("Aruze") shares, see Item 8-"Financial Statements and Supplementary Data," Note 8 "Commitments and Contingencies."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230"/>
        <w:spacing w:after="0" w:line="277" w:lineRule="auto"/>
        <w:rPr>
          <w:sz w:val="20"/>
          <w:szCs w:val="20"/>
          <w:color w:val="auto"/>
        </w:rPr>
      </w:pPr>
      <w:r>
        <w:rPr>
          <w:rFonts w:ascii="Arial" w:cs="Arial" w:eastAsia="Arial" w:hAnsi="Arial"/>
          <w:sz w:val="18"/>
          <w:szCs w:val="18"/>
          <w:b w:val="1"/>
          <w:bCs w:val="1"/>
          <w:i w:val="1"/>
          <w:iCs w:val="1"/>
          <w:color w:val="auto"/>
        </w:rPr>
        <w:t>We are subject to a variety of federal, state and local laws and regulations relating to the protection of the environment and human health and safety, which could materially affect our business, financial condition, results of operations and cash flows.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subject to federal, state and local laws and regulations relating to the protection of the environment and human health and safety, including those relating to air emissions, water discharges and remediation of contamination. Such laws and regulations require us to obtain, maintain and renew environmental operating or construction permits or approvals, as applicable. Certain environmental laws can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Failure to comply with laws and regulations relating to the protection of the environment and human health and safety, or any liabilities or claims arising under such laws or regulations, could require us to incur potentially significant costs or sanctions, including fines, penalties or cessation of operations, or otherwise adversely affect our business, financial condition and results of operations.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subject to taxation in the United States at the federal, state and local level. Specific rates of taxation can be changed by legislative action.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taxation could adversely affect our results of operations.</w:t>
      </w:r>
    </w:p>
    <w:p>
      <w:pPr>
        <w:spacing w:after="0" w:line="211" w:lineRule="exact"/>
        <w:rPr>
          <w:sz w:val="20"/>
          <w:szCs w:val="20"/>
          <w:color w:val="auto"/>
        </w:rPr>
      </w:pPr>
    </w:p>
    <w:p>
      <w:pPr>
        <w:ind w:right="200" w:firstLine="230"/>
        <w:spacing w:after="0" w:line="277" w:lineRule="auto"/>
        <w:rPr>
          <w:sz w:val="20"/>
          <w:szCs w:val="20"/>
          <w:color w:val="auto"/>
        </w:rPr>
      </w:pPr>
      <w:r>
        <w:rPr>
          <w:rFonts w:ascii="Arial" w:cs="Arial" w:eastAsia="Arial" w:hAnsi="Arial"/>
          <w:sz w:val="18"/>
          <w:szCs w:val="18"/>
          <w:b w:val="1"/>
          <w:bCs w:val="1"/>
          <w:i w:val="1"/>
          <w:iCs w:val="1"/>
          <w:color w:val="auto"/>
        </w:rPr>
        <w:t>Potential violations of law by Mr. Okada (former director and formerly the largest beneficial owner of Wynn Resorts' shares) and his affiliates could have adverse consequences to Wynn Resorts.</w:t>
      </w:r>
    </w:p>
    <w:p>
      <w:pPr>
        <w:spacing w:after="0" w:line="170"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February 18, 2012, the Board of Directors of Wynn Resorts (the “Board of Directors”) received a report from Freeh, Sporkin &amp; Sullivan, LLP (the "Freeh Report") detailing numerous instances of conduct constituting prima facie violations of the FCPA by Kazuo Okada (formerly the largest beneficial owner of Wynn Resorts’ shares) and certain of his affiliates. See Item 8-"Financial Statements and Supplementary Data," Note 8 "Commitments and Contingencies." Wynn Resorts has provided the Freeh Report to applicable regulators and has been cooperating with related investigations of such regulators. The conduct of Mr. Okada and his affiliates and the outcome of any resulting regulatory findings could have adverse consequences to Wynn Resorts. A finding by regulatory authorities that Mr. Okada violated the FCPA on Company property and/or otherwise involved Wynn Resorts in criminal or civil violations could result in actions by regulatory authorities against Wynn Resorts. Relatedly, regulators have and may pursue separate investigations into Wynn Resorts' compliance with applicable laws in connection with the Okada matter, as discussed in Item 8-"Financial Statements and Supplementary Data," Note</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8 "Commitments and Contingencies." While Wynn Resorts believes that it is in full compliance with all applicable laws, any such investigations could result in actions by regulators against Wynn Resorts, which could negatively affect not only Wynn Resorts' financial condition or results of operations, but those of Wynn Las Vegas as well.</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firstLine="230"/>
        <w:spacing w:after="0" w:line="277"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as well as claims by Ms. Wynn, could distract management and result in negative publicity and additional scrutiny from regulators.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There has been widespread publicity of the findings in the Freeh Report of prima facie violations of law by Mr. Okada and his affiliates, the Wynn Resorts Board of Directors' unsuitability finding, the redemption of shares and related litigation. In addition, Elaine P. Wynn has asserted various claims against Mr. Wynn, the Company and various Company officers, which have and may continue to draw adverse publicity or impugn the Company’s reputation. Ongoing litigation and other disputes can be expensive to defend and may divert management’s attention from the operations of our businesses. The disputes may also lead to additional scrutiny from regulators, which could lead to investigations relating to, and possibly a negative impact on, Wynn Resorts and its affiliates’ gaming licenses, including the gaming licenses held by Wynn Las Vegas, LLC. This could also potentially have a negative impact on Wynn Resorts' ability to bid successfully for new gaming market opportunities.</w:t>
      </w:r>
    </w:p>
    <w:p>
      <w:pPr>
        <w:spacing w:after="0" w:line="178"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8" w:lineRule="exact"/>
        <w:rPr>
          <w:sz w:val="20"/>
          <w:szCs w:val="20"/>
          <w:color w:val="auto"/>
        </w:rPr>
      </w:pPr>
    </w:p>
    <w:p>
      <w:pPr>
        <w:ind w:right="60" w:firstLine="230"/>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intellectual property rights, our business or results of operations could be harmed.</w:t>
      </w:r>
    </w:p>
    <w:p>
      <w:pPr>
        <w:spacing w:after="0" w:line="170"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We have sublicensed certain Wynn-related trademarks and service marks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5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88" w:lineRule="exact"/>
        <w:rPr>
          <w:sz w:val="20"/>
          <w:szCs w:val="20"/>
          <w:color w:val="auto"/>
        </w:rPr>
      </w:pPr>
    </w:p>
    <w:p>
      <w:pPr>
        <w:ind w:right="520" w:firstLine="23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24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ultimate parent company is Wynn Resorts. As of December 31, 2016, Mr. Wynn and Elaine P. Wynn beneficially owned 12,000,000 shares and 9,611,927 shares, respectively, or in the aggregate approximately 21.2%,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Until February 2012, Aruze owned 24,549,222 shares of Wynn Resorts' outstanding common stock. On February 18, 2012, Wynn Resorts redeemed all of the shares of Wynn Resorts' common stock held by Aruze. For additional information on the redemption, see Item 8-"Financial Statements and Supplementary Data," Note 8 "Commitments and Contingencies."</w:t>
      </w:r>
    </w:p>
    <w:p>
      <w:pPr>
        <w:spacing w:after="0" w:line="17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Under an Amended and Restated Stockholders Agreement, dated as of January 6, 2010, by and among Stephen A. Wynn, Elaine P. Wynn and Aruze (the "Stockholders Agreement"), Mr. Wynn and Elaine P. Wynn have agreed to vote the shares of Wynn Resorts' common stock held by them that are subject to the terms of the Stockholders Agreement in a manner so as to elect to Wynn Resorts' Board of Directors each of the nominees contained on each and every slate of directors endorsed by Mr. Wynn. As a result of this voting arrangement, Mr. Wynn, as a practical matter, exercises significant influence over the slate of directors to be elected to Wynn Resorts' Board of Directors. In addition, with stated exceptions, the Stockholders Agreement requires the written consent of the other party prior to any party selling any shares of the Wynn Resorts' common stock that it owns.</w:t>
      </w:r>
    </w:p>
    <w:p>
      <w:pPr>
        <w:spacing w:after="0" w:line="16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June 2012, in connection with the pending litigation between the Company and Aruze, Elaine P. Wynn submitted a cross claim against Mr. Wynn and Mr. Okada seeking to void the Stockholders Agreement, which, if successful, could result in, a change in control under the Wynn Las Vegas, LLC debt documents. For additional information on the cross claim, see Item 8-"Financial Statements and Supplementary Data," Note 5 "Long-Term Debt" and Note 8 "Commitments and Contingencies."</w:t>
      </w:r>
    </w:p>
    <w:p>
      <w:pPr>
        <w:spacing w:after="0" w:line="187"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Wynn Resorts Board of Directors on February 18, 2012 that each of Aruze USA Inc., Universal Entertainment Corporation, and Mr. Kazuo Okada (collectively, the "Okada Parties") is an "Unsuitable Person" under Wynn Resorts’ articles of incorporation and the redemption and cancellation of Aruze's shares of Wynn Resorts’ common stock, Wynn Resorts’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these bylaw provisions, Mr. Wynn or his affiliates may acquire ownership of outstanding voting shares of Wynn Resorts permitting him or them to exercise more than one-third but less than a majority, or a majority or more, of all of the voting power of Wynn Resorts in the election of directors, without requiring a resolution of the stockholders of Wynn Resorts granting voting rights in the control shares acquired.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five acres adjacent to the golf course on which an office building is located. We lease the 140 acres on which the Wynn Las Vegas golf course is located from Wynn Resorts.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lease from Wynn Resorts approximately 834 acre-feet of permitted and certificated water rights, which we currently use to irrigate the golf course.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lease from Wynn Resorts approximately 151.5 acre-feet of permitted and certificated water rights for commercial 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8—"Financial Statements and Supplementary Data," Note 8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WLVH owns all of the membership interests in the Company as of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December 21, 2016, the Company distributed $59.7 million in net assets associated with its retail operations at Wynn Las Vegas to Wynn Resorts.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December 31, 2015, the Company distributed cash of $170.0 million to Wynn Resorts.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year ended December 31, 2014, the Company distributed cash of $74.9 million and its equity interest of $3.6 million in Las Vegas Jet, LLC, a wholly owned subsidiary, to Wynn Resorts.</w:t>
      </w:r>
    </w:p>
    <w:p>
      <w:pPr>
        <w:spacing w:after="0" w:line="17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unless certain financial and non-financial criteria have been satisfied.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financial information for each of the five years ended December 31, 2016, 2015, 2014, 2013 and 2012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w w:val="97"/>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Statements of Comprehensive</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Data:</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1,616,519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1,612,831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1,637,826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1,581,288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1,487,606</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2,274</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4,250</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178,293</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218,866</w:t>
            </w:r>
          </w:p>
        </w:tc>
        <w:tc>
          <w:tcPr>
            <w:tcW w:w="320" w:type="dxa"/>
            <w:vAlign w:val="bottom"/>
          </w:tcPr>
          <w:p>
            <w:pPr>
              <w:spacing w:after="0"/>
              <w:rPr>
                <w:sz w:val="21"/>
                <w:szCs w:val="21"/>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270,489</w:t>
            </w: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167,050</w:t>
            </w:r>
          </w:p>
        </w:tc>
        <w:tc>
          <w:tcPr>
            <w:tcW w:w="4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74,027</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6,729</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(85,622)</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57,037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(154,496)</w:t>
            </w:r>
          </w:p>
        </w:tc>
      </w:tr>
      <w:tr>
        <w:trPr>
          <w:trHeight w:val="675"/>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773"/>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75"/>
              <w:spacing w:after="0"/>
              <w:rPr>
                <w:sz w:val="20"/>
                <w:szCs w:val="20"/>
                <w:color w:val="auto"/>
              </w:rPr>
            </w:pPr>
            <w:r>
              <w:rPr>
                <w:rFonts w:ascii="Arial" w:cs="Arial" w:eastAsia="Arial" w:hAnsi="Arial"/>
                <w:sz w:val="14"/>
                <w:szCs w:val="14"/>
                <w:b w:val="1"/>
                <w:bCs w:val="1"/>
                <w:color w:val="auto"/>
                <w:w w:val="97"/>
              </w:rPr>
              <w:t>(in thousands)</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225,686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77,062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266,360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231,156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148,415</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33,229</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12,294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5,971</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4,619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2,518</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3,130,237</w:t>
            </w:r>
          </w:p>
        </w:tc>
        <w:tc>
          <w:tcPr>
            <w:tcW w:w="4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3,145,743</w:t>
            </w:r>
          </w:p>
        </w:tc>
        <w:tc>
          <w:tcPr>
            <w:tcW w:w="26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3,442,675</w:t>
            </w:r>
          </w:p>
        </w:tc>
        <w:tc>
          <w:tcPr>
            <w:tcW w:w="42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3,541,203</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3,629,010</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long-term obligations </w:t>
            </w:r>
            <w:r>
              <w:rPr>
                <w:rFonts w:ascii="Arial" w:cs="Arial" w:eastAsia="Arial" w:hAnsi="Arial"/>
                <w:sz w:val="14"/>
                <w:szCs w:val="14"/>
                <w:color w:val="auto"/>
              </w:rPr>
              <w:t>(1) (2)</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3,171,212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3,167,925</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2,976,620</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3,099,795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3,085,637</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Member’s equity (deficit)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(343,961)</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(292,780)</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(39,950)</w:t>
            </w:r>
          </w:p>
        </w:tc>
        <w:tc>
          <w:tcPr>
            <w:tcW w:w="4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(22,801)</w:t>
            </w:r>
          </w:p>
        </w:tc>
        <w:tc>
          <w:tcPr>
            <w:tcW w:w="4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67,085</w:t>
            </w:r>
          </w:p>
        </w:tc>
      </w:tr>
    </w:tbl>
    <w:p>
      <w:pPr>
        <w:spacing w:after="0" w:line="170" w:lineRule="exact"/>
        <w:rPr>
          <w:sz w:val="20"/>
          <w:szCs w:val="20"/>
          <w:color w:val="auto"/>
        </w:rPr>
      </w:pPr>
    </w:p>
    <w:p>
      <w:pPr>
        <w:jc w:val="both"/>
        <w:ind w:left="980" w:right="400" w:hanging="972"/>
        <w:spacing w:after="0" w:line="257" w:lineRule="auto"/>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fiscal years 2015 and prior, the total assets and total long-term debt obligations have been reclassified to conform to the presentation from the retrospective application of deferred financing costs accounting guidance we adopted on January 1, 2016. See recently adopted accounting guidance in Item 8—"Financial Statements and Supplementary Data," Note 2 "Summary of Significant Accounting Policies—Recently Issued and Adopted Accounting Standards."</w:t>
      </w:r>
    </w:p>
    <w:p>
      <w:pPr>
        <w:spacing w:after="0" w:line="131" w:lineRule="exact"/>
        <w:rPr>
          <w:rFonts w:ascii="Arial" w:cs="Arial" w:eastAsia="Arial" w:hAnsi="Arial"/>
          <w:sz w:val="14"/>
          <w:szCs w:val="14"/>
          <w:color w:val="auto"/>
        </w:rPr>
      </w:pPr>
    </w:p>
    <w:p>
      <w:pPr>
        <w:ind w:left="980" w:hanging="972"/>
        <w:spacing w:after="0"/>
        <w:tabs>
          <w:tab w:leader="none" w:pos="9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long-term debt, long-term amounts due to affiliates, and other long-term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(integrated resorts). We currently own and operate Wynn Las Vegas, an integrated casino resort on the "Strip" in Las Vegas, Nevada. Wynn Las Vegas, located at the intersection of the Las Vegas Strip and Sands Avenue, occupies approximately 215 acres of land (of which approximately 140 acres constitute the Wynn Las Vegas golf course) fronting the Las Vegas Strip, and utilizes approximately 18 additional acres across Sands Avenue, a portion of which is improved with an employee parking garage, and approximately five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Wynn Las Vegas features approximately 189,000 square feet of casino space with 234 table games, 1,907 slot machines and two luxury hotel towers with a total of 4,748 guest rooms, suites and villas. Wynn Las Vegas includes 33 food and beverage outlets, approximately 99,000 square feet of retail space (of which, effective December 28, 2016, approximately 88,000 square feet is owned and operated by a joint venture of which Wynn Resorts own 50.1%), approximately 290,000 square feet of meeting and convention space, an on-site 18 hole golf course, as well as two showrooms, three nightclubs and a beach club, and recreation and leisure facilities.</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December 28, 2016, a subsidiary of Wynn Resorts formed a joint venture (the "Retail Joint Venture") with Crown Acquisitions Inc. ("Crown") to own and operate approximately 88,000 square feet of existing retail space at Wynn Las Vegas. In connection with the transaction, we distributed $59.7 million in net assets associated with our retail operations to Wynn Resorts. These retail net assets include building and improvements, retail inventory for stores operated by us and other related assets and liabilities. We transferred all interests as lessor in third-party retail store leases to the Retail Joint Venture as part of the transaction and the majority of the retail stores previously operated by us are now operated under a master lease agreement between Wynn Retail, LLC ("Wynn Retail"), a wholly owned subsidiary of Wynn Resorts, as lessee, and the Retail Joint Venture, as lessor. As a result of the transaction, our financial results will no longer reflect the operations associated with the distributed retail net assets. The income before income taxes from the retail operations was $27.4 million during the year ended December 31, 2016.</w:t>
      </w:r>
    </w:p>
    <w:p>
      <w:pPr>
        <w:spacing w:after="0" w:line="13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Also in December 2016, Wynn Resorts entered into an agreement with Crown to form a joint venture that will own and operate approximately 73,000 square feet of additional retail space that is currently under construction at Wynn Las Vegas. We expect to transfer certain assets and liabilities associated with the additional retail space to Wynn Resorts prior to opening for business in the first quarter of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Certain key operating measures specific to the gaming industry are included in our discussion of the Company’s operational performance for the periods for which a Consolidated Statements of Comprehensive Income (Loss) is presented. Below are definitions of these key operating measures discussed:</w:t>
      </w:r>
    </w:p>
    <w:p>
      <w:pPr>
        <w:spacing w:after="0" w:line="12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Table drop is the amount of cash and net markers issued that are deposited in a gaming table’s drop box.</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 w:lineRule="exact"/>
        <w:rPr>
          <w:rFonts w:ascii="Arial" w:cs="Arial" w:eastAsia="Arial" w:hAnsi="Arial"/>
          <w:sz w:val="18"/>
          <w:szCs w:val="18"/>
          <w:color w:val="auto"/>
        </w:rPr>
      </w:pPr>
    </w:p>
    <w:p>
      <w:pPr>
        <w:ind w:left="900" w:right="50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900" w:right="2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1,616,519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1,612,831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1,637,826</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57,037</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474,116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477,166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515,196</w:t>
            </w: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net income was $6.7 million, compared to a net loss of $85.6 million for the same period of 2015. The change was primarily due to $126.3 million in losses from the extinguishment of debt incurred during the year ended December 31, 2015, related to the purchase of the 7 7/8% First Mortgage Notes due May 1, 2020 (the "7 7/8% 2020 Notes") and the 7 3/4% First Mortgage Notes due August 15, 2020 (the "7 3/4% 2020 Notes" and together with the 7 7/8% 2020 Notes, the "2020 Notes") pursuant to a cash tender offer and subsequent redemption of the untendered 2020 Notes. This change was partially offset by a $30.9 million increase in property charges and other incurred during the year ended December 31, 2016.</w:t>
      </w:r>
    </w:p>
    <w:p>
      <w:pPr>
        <w:spacing w:after="0" w:line="15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During the year ended December 31, 2015, we experienced a net loss of $85.6 million, compared to a net income of $57.0 million for the same period of 2014. The change was mainly attributable to the $126.3 million in losses on the extinguishment of debt related to the 2020 Notes and a reduction in operating income, partially offset by the impact from financing activities in the current year on our interest expense.</w:t>
      </w:r>
    </w:p>
    <w:p>
      <w:pPr>
        <w:spacing w:after="0" w:line="1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Adjusted Property EBITDA was relatively flat with $474.1 million for the year ended December 31, 2016, compared to $477.2 million for the same period of 2015.</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to Wynn Las Vegas, many of our customers are premium gaming customers who wager on credit, thus exposing us to increased credit risk. High-end gaming also increases the potential for variability in our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2016 compared to the year ended December 31,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613,071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619,494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1,003,448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993,337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1,616,519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1,612,831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62.1% for the year ended December 31, 2016, compared to 61.6% for the same period of 2015. Casino revenues were 37.9% of total net revenues for the year ended December 31, 2016, compared to 38.4% of total net revenues for the same period of 2015.</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Casino revenues decreased to $613.1 million for the year ended December 31, 2016, from $619.5 million for the same period of 2015. We experienced a 10.8% year-over-year decrease in table drop, primarily from international customers, largely offset by an increase in table games win percentage of 1.5 percentage points from 23.8% to 25.3%.</w:t>
      </w:r>
    </w:p>
    <w:p>
      <w:pPr>
        <w:spacing w:after="0" w:line="181"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613,071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619,494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1,838,479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2,060,189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465,041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490,920</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3,148,610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2,969,327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208,024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206,626</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Non-casino revenues increased 1.0%, or $10.1 million, to $1.00 billion for the year ended December 31, 2016, from $993.3 million for the same period of 2015. The increase was primarily due to an increase of 5.7% in room revenues, partially offset by a decrease of 2.3% in food and beverage revenues and a decrease of 2.5% in entertainment, retail and other revenues.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revenues increased 5.7%, or $23.5 million, to $436.6 million for the year ended December 31, 2016, from $413.2 million for the same period of</w:t>
      </w:r>
    </w:p>
    <w:p>
      <w:pPr>
        <w:spacing w:after="0" w:line="4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2015. The increase was primarily attributable to a 3.9% increase in ADR to $296 for the year ended December 31, 2016, compared to $285 for the same period of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480" w:type="dxa"/>
            <w:vAlign w:val="bottom"/>
          </w:tcPr>
          <w:p>
            <w:pPr>
              <w:jc w:val="right"/>
              <w:ind w:right="4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436,613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413,152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6620" w:type="dxa"/>
            <w:vAlign w:val="bottom"/>
          </w:tcPr>
          <w:p>
            <w:pPr>
              <w:ind w:left="22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296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6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252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Except occupancy, which is presented as a percentage point change.</w:t>
      </w:r>
    </w:p>
    <w:p>
      <w:pPr>
        <w:spacing w:after="0" w:line="22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Food and beverage revenues decreased 2.3%, or $12.0 million, to $508.2 million for the year ended December 31, 2016, compared to $520.2 million for the same period of 2015, mainly due to a decline in revenues from our nightclubs.</w:t>
      </w:r>
    </w:p>
    <w:p>
      <w:pPr>
        <w:spacing w:after="0" w:line="17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Entertainment, retail and other revenues decreased 2.5%, or $5.8 million, to $227.9 million for the year ended December 31, 2016, compared to $233.7 million for the same period of 2015, primarily due to a decline in retail revenues. As previously discussed, as a result of the transaction involving the Retail Joint Venture, our financial results will no longer reflect the operations associated with the distributed net assets.</w:t>
      </w:r>
    </w:p>
    <w:p>
      <w:pPr>
        <w:spacing w:after="0" w:line="16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Promotional allowances decreased 2.5%, or $4.4 million, to $169.3 million for the year ended December 31, 2016, from $173.7 million for the same period of 2015, primarily as a result of fewer complimentaries due to the decrease in table drop.</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Operating costs and expenses increased 3.2%, or $44.3 million, to $1.44 billion for the year ended December 31, 2016, compared to $1.39 billion for the same period of 2015, primarily due to a $30.9 million increase in property charges and other and an $8.3 million increase in general and administrative expenses.</w:t>
      </w:r>
    </w:p>
    <w:p>
      <w:pPr>
        <w:spacing w:after="0" w:line="18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Casino expenses decreased 2.6%, or $7.6 million, to $284.1 million for the year ended December 31, 2016, compared to $291.7 million for the same period of 2015, mainly due to a reduction in the cost of complimentaries and other casino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Room expenses were relatively flat with $148.7 million for the year ended December 31, 2016, compared to $144.4 million for the same period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Food and beverage expense was relatively flat with $336.7 million for the year ended December 31, 2016, compared to $339.8 million for the same period of 2015.</w:t>
      </w:r>
    </w:p>
    <w:p>
      <w:pPr>
        <w:spacing w:after="0" w:line="170"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Entertainment, retail and other expenses were relatively flat with $134.6 million for the year ended December 31, 2016, compared to from $136.7 million for the same period of 2015.</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General and administrative expense increased 3.4%, or $8.3 million, to $254.4 million for the year ended December 31, 2016, compared to $246.1 million for the same period of 2015. The increase was primarily due to an increase in advertising and payroll related expenses, partially offset by a decrease in corporate allocations.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Provision for doubtful accounts increased 141.6%, or $4.2 million, to $7.1 million for the year ended December 31, 2016, compared to $2.9 million for the same period of 2015. The increase was due to the impact of historical collection patterns and current collection trends, as well as a specific review of customer accounts, on our estimated allowance for the respective periods.</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Management and license fees increased 9.0%, or $4.2 million, to $51.0 million for the year ended December 31, 2016, from $46.8 million for the same period of 2015. In February 2015, the Company began incurring fees associated with its license agreement with Wynn Resorts and a wholly owned subsidiary of Wynn Resorts for use of certain intellectual property. The license agreement resulted in additional fees of $4.1 million for the year ended December 31, 2016, compared to the same period of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Property charges and other expense was $34.4 million for the year ended December 31, 2016, compared to $3.5 million for the same period in 2015. During the year ended December 31, 2016, we incurred a $15.5 million exit fee for the right to procure energy from the wholesale energy markets instead of from the local public electric utility, $8.8 million in abandonment charges primarily related to construction of additional retail space and $5.5 million for the write-off of show production costs due to the closing of Steve Wynn's ShowStoppers in December 2016.</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decreased 4.5%, or $8.1 million, to $171.9 million for the year ended December 31, 2016, compared to $180.0 million for the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2015. In February 2015, we issued $1.8 billion of 5 1/2% Senior Notes due 2025 ("2025 Notes") and used the proceeds for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$305.8 million of 7 7/8% 2020 Notes and $1.15 billion of 7 3/4% 2020 Notes pursuant to a cash tender offer. In May 2015, we redeemed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$71.1 million principal amount of the untendered 7 7/8% 2020 Notes, and in August 2015, we redeemed the remaining $80.1 million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untendered 7 3/4% 2020 Notes. As a result of these financing activities, our weighted average interest rate was lower for the year ended December 31,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of 2015.</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incurred a loss of $126.3 million on the extinguishment of debt for the year ended December 31, 2015, in connection with the cash tender offer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2020 Notes and the subsequent redemption of the untendered 2020 Notes. We expensed $101.2 million for the consideration to holders who tendered,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 million of unamortized deferred financing costs and original issue discount, and $0.1 million in other fees incurred. In connection with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remaining untendered 2020 Notes, we recorded a loss for the premium portion of the consideration of $5.9 million and expensed $1.8 million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unamortized deferred financing costs and original discount. We incurred no loss on extinguishment of debt for the year ended December 31,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2015 compared to the year ended December 31,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net revenues from our casino revenues and non-casino revenues (dollars in thousands).</w:t>
      </w:r>
    </w:p>
    <w:p>
      <w:pPr>
        <w:spacing w:after="0" w:line="230"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1"/>
              </w:rPr>
              <w:t>Percent Change</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619,494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687,440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993,337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950,386</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w:t>
            </w:r>
          </w:p>
        </w:tc>
      </w:tr>
      <w:tr>
        <w:trPr>
          <w:trHeight w:val="257"/>
        </w:trPr>
        <w:tc>
          <w:tcPr>
            <w:tcW w:w="67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1,612,831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1,637,826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 percentage of our net revenues from non-casino revenues was 61.6% for the year ended December 31, 2015, compared to 58.0% for the same period of 2014. Casino revenues were 38.4% of total net revenues for the year ended December 31, 2015, compared to 42.0% of total net revenues for the same period of 2014. The increase in non-casino revenues as a percentage of total net revenues reflects performance of non-gaming amenities, such as our nightclubs and continued high occupancy and use of our facilities.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20" w:firstLine="216"/>
        <w:spacing w:after="0" w:line="264" w:lineRule="auto"/>
        <w:rPr>
          <w:sz w:val="20"/>
          <w:szCs w:val="20"/>
          <w:color w:val="auto"/>
        </w:rPr>
      </w:pPr>
      <w:r>
        <w:rPr>
          <w:rFonts w:ascii="Arial" w:cs="Arial" w:eastAsia="Arial" w:hAnsi="Arial"/>
          <w:sz w:val="18"/>
          <w:szCs w:val="18"/>
          <w:color w:val="auto"/>
        </w:rPr>
        <w:t>Casino revenues decreased to $619.5 million for the year ended December 31, 2015, from $687.4 million for the same period of 2014. The decrease in casino revenues was primarily attributable to a 19.4% decrease in table drop, primarily from international customers, partially offset by a 10.8% increase in slot machine win driven by a higher slot win percentage.</w:t>
      </w:r>
    </w:p>
    <w:p>
      <w:pPr>
        <w:spacing w:after="0" w:line="181" w:lineRule="exact"/>
        <w:rPr>
          <w:sz w:val="20"/>
          <w:szCs w:val="20"/>
          <w:color w:val="auto"/>
        </w:rPr>
      </w:pPr>
    </w:p>
    <w:p>
      <w:pPr>
        <w:ind w:right="260" w:firstLine="216"/>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619,494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2,060,189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2,556,452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490,920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623,968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(133,048)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2,969,327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3,008,563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206,626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186,458</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20,168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Non-casino revenues increased 4.5%, or $43.0 million, to $993.3 million for the year ended December 31, 2015, from $950.4 million for the same period of 2014 with increases in all non-casino gross revenue line items.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Room revenues increased 1.0%, or $4.2 million, to $413.2 million for the year ended December 31, 2015, from $409.0 million for the same period of 2014, due to a 4.0% increase in ADR, partially offset by the impact of a 1.7 percentage point decrease in occupancy.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5"/>
              </w:rPr>
              <w:t>Percent Change</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(dollars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413,152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408,981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6"/>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Food and beverage revenues increased 3.2%, or $16.4 million, to $520.2 million for the year ended December 31, 2015, compared to $503.8 million for the same period of 2014, mainly due to increases in revenues at our nightclubs and from catering and banquets.</w:t>
      </w:r>
    </w:p>
    <w:p>
      <w:pPr>
        <w:spacing w:after="0" w:line="170"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Entertainment, retail and other revenues increased 2.4%, or $5.6 million, to $233.7 million for the year ended December 31, 2015, compared to $228.1 million for the same period of 2014, primarily as a result of the opening of Steve Wynn's ShowStoppers in December 2014.</w:t>
      </w:r>
    </w:p>
    <w:p>
      <w:pPr>
        <w:spacing w:after="0" w:line="1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Promotional allowances decreased 8.9%, or $16.9 million, to $173.7 million for the year ended December 31, 2015, from $190.5 million for the same period of 2014, primarily as a result of less complimentaries due to the decrease in table drop.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Operating costs and expenses increased 1.9%, or $26.6 million, to $1.39 billion for the year ended December 31, 2015, compared to $1.37 billion for the same period of 2014.</w:t>
      </w:r>
    </w:p>
    <w:p>
      <w:pPr>
        <w:spacing w:after="0" w:line="170"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Casino expenses decreased 6.2%, or $19.4 million, to $291.7 million for the year ended December 31, 2015, compared to $311.1 million for the same period of 2014, primarily due to a decrease in gaming tax and other expenses associated with the casino revenue decrease.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 expense was relatively flat with $144.4 million for the year ended December 31, 2015, compared to $143.9 million for the same period of 2014.</w:t>
      </w:r>
    </w:p>
    <w:p>
      <w:pPr>
        <w:spacing w:after="0" w:line="24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Food and beverage expense increased 6.8%, or $21.8 million, to $339.8 million for the year ended December 31, 2015, from $318.0 million for the same period of 2014. The increase in food and beverage expense was primarily a result of higher costs in the current period for entertainment at our nightclubs.</w:t>
      </w:r>
    </w:p>
    <w:p>
      <w:pPr>
        <w:spacing w:after="0" w:line="181"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color w:val="auto"/>
        </w:rPr>
        <w:t>Entertainment, retail and other expenses increased 5.8%, or $7.5 million, to $136.7 million for the year ended December 31, 2015, from $129.3 million for the same period of 2014, primarily attributable to costs associated with Steve Wynn's ShowStoppers, which opened in December 2014.</w:t>
      </w:r>
    </w:p>
    <w:p>
      <w:pPr>
        <w:spacing w:after="0" w:line="124"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General and administrative expense decreased 3.4%, or $8.6 million, to $246.1 million for the year ended December 31, 2015, from $254.6 million for the same period of 2014, primarily attributable to a decrease in corporate allocations, partially offset by increased advertising expenses.</w:t>
      </w:r>
    </w:p>
    <w:p>
      <w:pPr>
        <w:spacing w:after="0" w:line="14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Provision for doubtful accounts was $2.9 million for the year ended December 31, 2015, compared to $7.1 million for the same period of 2014. The change in the provision was due to the decrease in table drop as well as the historical collection patterns and current collection trends, as well as a specific review of customer accounts, on our estimated allowance for the respective periods.</w:t>
      </w:r>
    </w:p>
    <w:p>
      <w:pPr>
        <w:spacing w:after="0" w:line="18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Property charges and other expense was $3.5 million for the year ended December 31, 2015, compared to a gain of $4.9 million for the same period in 2014. For the year ended December 31, 2015, property charges and other expense primarily consisted of miscellaneous renovations and abandonments at our resort, while in the same period of 2014 we experienced a gain related to the sale of an aircraft.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Interest expense decreased 11.9%, or $24.4 million, to $180.0 million for the year ended December 31, 2015, compared to $204.3 million for the year ended December 31, 2014. In February 2015, we issued $1.8 billion of 5 1/2% senior notes due 2025 and used the proceeds for the purchase of $305.8 million of 7 7/8% 2020 Notes and $1.15 billion of 7 3/4% 2020 Notes pursuant to a cash tender offer. In May 2015, we redeemed the remaining $71.1 million principal amount of the untendered 7 7/8% 2020 Notes and in August 2015 redeemed the remaining $80.1 million principal amount of the untendered 7 3/4% 2020 Notes. As a result of these financing activities, our weighted average interest rate was lower for the year ended December 31, 2015, compared to the same period of 2014.</w:t>
      </w:r>
    </w:p>
    <w:p>
      <w:pPr>
        <w:spacing w:after="0" w:line="193"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incurred a loss of $126.3 million on the extinguishment of debt for the year ended December 31, 2015, compared to $9.6 million for the same period of 2014. During the year ended December 31, 2015, the loss was in connection with the cash tender offer of the 2020 Notes and subsequent redemption of the untendered 2020 Notes. We incurred a loss associated with the premium paid and the write-off of related unamortized deferred financing costs and original issue discount and other fees. During the year ended December 31, 2014, the loss was for the premium paid on the 2020 Notes through open market transactions and the write-off of related unamortized deferred financing costs and original issue discount.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2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474,116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477,166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515,196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18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181,981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179,394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Management and license fees</w:t>
            </w: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51,035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36,621</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18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4820" w:type="dxa"/>
            <w:vAlign w:val="bottom"/>
          </w:tcPr>
          <w:p>
            <w:pPr>
              <w:ind w:left="700"/>
              <w:spacing w:after="0"/>
              <w:rPr>
                <w:sz w:val="20"/>
                <w:szCs w:val="20"/>
                <w:color w:val="auto"/>
              </w:rPr>
            </w:pPr>
            <w:r>
              <w:rPr>
                <w:rFonts w:ascii="Arial" w:cs="Arial" w:eastAsia="Arial" w:hAnsi="Arial"/>
                <w:sz w:val="18"/>
                <w:szCs w:val="18"/>
                <w:color w:val="auto"/>
              </w:rPr>
              <w:t>Total other operating costs and expenses</w:t>
            </w:r>
          </w:p>
        </w:tc>
        <w:tc>
          <w:tcPr>
            <w:tcW w:w="18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295,823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258,300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244,707</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218,866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270,489</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18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(204,345)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1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non-operating income and expenses</w:t>
            </w:r>
          </w:p>
        </w:tc>
        <w:tc>
          <w:tcPr>
            <w:tcW w:w="1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(213,452)</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840" w:type="dxa"/>
            <w:vAlign w:val="bottom"/>
            <w:vMerge w:val="restart"/>
          </w:tcPr>
          <w:p>
            <w:pPr>
              <w:jc w:val="right"/>
              <w:ind w:right="850"/>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provided by operations for the year ended December 31, 2016 was $264.9 million, compared to $24.2 million for the year ended December 31, 2015. The increase was primarily due to $192.8 million in accrued management fees paid to Wynn Resorts during the year ended December 31, 2015, as we were no longer subject to certain restrictive covenants under the indenture governing the 2020 Notes.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provided by operations for the year ended December 31, 2015 was $24.2 million, compared to $279.0 million for the year ended December 31, 2014. The decrease was primarily due to $192.8 million in accrued management fees paid to Wynn Resorts during the year ended December 31, 2015, as we were no longer subject to certain restrictive covenants under the indenture governing the 2020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40" w:firstLine="432"/>
        <w:spacing w:after="0" w:line="286" w:lineRule="auto"/>
        <w:rPr>
          <w:sz w:val="20"/>
          <w:szCs w:val="20"/>
          <w:color w:val="auto"/>
        </w:rPr>
      </w:pPr>
      <w:r>
        <w:rPr>
          <w:rFonts w:ascii="Arial" w:cs="Arial" w:eastAsia="Arial" w:hAnsi="Arial"/>
          <w:sz w:val="17"/>
          <w:szCs w:val="17"/>
          <w:color w:val="auto"/>
        </w:rPr>
        <w:t>Net cash used in investing activities for the year ended December 31, 2016 was $116.2 million, compared to $107.5 million for the same period of 2015, primarily consisting of capital expenditures. Capital expenditures for the year ended December 31, 2016 were primarily for the development of additional high-end, brand-name retail space, re-branding of one of our nightclubs and general property maintenance.</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cash used in investing activities for the year ended December 31, 2015 was $107.5 million, compared to $29.6 million for the same period of 2014, primarily consisting of capital expenditures associated with general property maintenance and the remodel of guest rooms in our Encore hotel tower. The majority of cash used in investing activities for the year ended December 31, 2014 was for capital expenditures related to general property maintenance, partially offset by $29.8 million in proceeds primarily from the sale of an aircraft.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cash used in financing activities for the year ended December 31, 2016 was $0.1 million for a cash distribution to our parent.</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Net cash used in financing activities for the year ended December 31, 2015 was $106.0 million. During the year ended December 31, 2015, we issued $1.8 billion of 2025 Notes with proceeds used for the purchase of $1.60 billion of our 2020 Notes pursuant to a cash tender offer and subsequent redemptions of the untendered notes. During the year ended December 31, 2015, the proceeds from the issuance were partially offset by distributions to our parent of $170.0 million and payments of financing costs of $132.4 million.</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cash used in financing activities for the year ended December 31, 2014 was $214.3 million, primarily attributable to the repurchase of $98.4 million in principal plus interest of our 2020 Notes through open market transactions, cash distribution of $74.9 million to our parent and $32.6 million for the repayment of the remaining principal amount and accrued interest on a note payable secured by an aircraft.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December 31, 2016, we had approximately $225.7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expect to meet our current debt maturities and planned capital expenditure requirements with future anticipated cash flow from operations and our existing cash balances.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debt consists of first mortgage notes and senior notes which rank pari passu in right of payment.</w:t>
      </w:r>
    </w:p>
    <w:p>
      <w:pPr>
        <w:spacing w:after="0" w:line="225"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u w:val="single" w:color="auto"/>
          <w:color w:val="auto"/>
        </w:rPr>
        <w:t>2022 Notes</w:t>
      </w:r>
      <w:r>
        <w:rPr>
          <w:rFonts w:ascii="Arial" w:cs="Arial" w:eastAsia="Arial" w:hAnsi="Arial"/>
          <w:sz w:val="18"/>
          <w:szCs w:val="18"/>
          <w:color w:val="auto"/>
        </w:rPr>
        <w:t>. In March 2012, Wynn Las Vegas, LLC and Capital Corp., (together with Wynn Las Vegas, the "Issuers"), issued $900 million aggregate principal amount of the 5 3/8% First Mortgage Notes due 2022 (the "2022 Notes") pursuant to an indenture, dated as of March 12, 2012 (the “2022 Indenture”), among the Issuers, the Guarantors (as defined below) and U.S. Bank National Association, as trustee (the “Trustee”). The 2022 Notes will mature on March 15, 2022 and bear interest at the rate of 5 3/8% per annum. The Issuers may, at their option, redeem the 2022 Notes, in whole or in part, at any time or from time to time on or after March 15, 2017, in accordance with a premium schedule set forth in the 2022 Indenture, plus accrued and unpaid interest. If the Issuers undergo a change of control (as defined in the 2022 Indenture), the Issuers will be required to offer to repurchase the first mortgage notes at 101% of the principal amount, plus accrued and unpaid interest.</w:t>
      </w:r>
    </w:p>
    <w:p>
      <w:pPr>
        <w:spacing w:after="0" w:line="189" w:lineRule="exact"/>
        <w:rPr>
          <w:sz w:val="20"/>
          <w:szCs w:val="20"/>
          <w:color w:val="auto"/>
        </w:rPr>
      </w:pPr>
    </w:p>
    <w:p>
      <w:pPr>
        <w:ind w:right="20" w:firstLine="392"/>
        <w:spacing w:after="0" w:line="273" w:lineRule="auto"/>
        <w:rPr>
          <w:sz w:val="20"/>
          <w:szCs w:val="20"/>
          <w:color w:val="auto"/>
        </w:rPr>
      </w:pPr>
      <w:r>
        <w:rPr>
          <w:rFonts w:ascii="Arial" w:cs="Arial" w:eastAsia="Arial" w:hAnsi="Arial"/>
          <w:sz w:val="17"/>
          <w:szCs w:val="17"/>
          <w:u w:val="single" w:color="auto"/>
          <w:color w:val="auto"/>
        </w:rPr>
        <w:t>2023 Notes</w:t>
      </w:r>
      <w:r>
        <w:rPr>
          <w:rFonts w:ascii="Arial" w:cs="Arial" w:eastAsia="Arial" w:hAnsi="Arial"/>
          <w:sz w:val="17"/>
          <w:szCs w:val="17"/>
          <w:color w:val="auto"/>
        </w:rPr>
        <w:t>. In May 2013, the Issuers issued $500 million aggregate principal amount of 4 1/4% Senior Notes due 2023 (the "2023 Notes") pursuant to an indenture, dated as of May 22, 2013 (the "2023 Indenture"), among the Issuers, the Guarantors and the Trustee. 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include a “make-whole” premium, plus accrued and unpaid interest. In the event of a change of control triggering event (as defined in the 2023 Indenture), the Issuers will be required to offer to repurchase the 2023 Notes at 101% of the principal amount, plus accrued and unpaid interest.</w:t>
      </w:r>
    </w:p>
    <w:p>
      <w:pPr>
        <w:spacing w:after="0" w:line="17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u w:val="single" w:color="auto"/>
          <w:color w:val="auto"/>
        </w:rPr>
        <w:t>2025 Notes</w:t>
      </w:r>
      <w:r>
        <w:rPr>
          <w:rFonts w:ascii="Arial" w:cs="Arial" w:eastAsia="Arial" w:hAnsi="Arial"/>
          <w:sz w:val="17"/>
          <w:szCs w:val="17"/>
          <w:color w:val="auto"/>
        </w:rPr>
        <w:t>. In February 2015, the Issuers issued $1.8 billion aggregate principal amount of the 2025 Notes pursuant to an indenture, dated as of February 18, 2015 (the "2025 Indenture"), among the Issuers, Guarantors and the Trustee. The 2025 Notes will mature on March 1, 2025 and bear interest at the rate of 5 1/2% per annum. The Issuers may, at their option, redeem the 2025 Notes, in whole or in part, at any time or from time to time prior to their stated maturity. The redemption price for 2023 Notes that are redeemed before December 1, 2024 will include a “make-whole” premium, plus accrued and unpaid interest. In the event of a change of control triggering event (as defined in the 2025 Indenture), the Issuers will be required to offer to repurchase the 2025 Notes at 101% of the principal amount, plus accrued and unpaid interest.</w:t>
      </w:r>
    </w:p>
    <w:p>
      <w:pPr>
        <w:spacing w:after="0" w:line="17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Each of the 2022 Notes, 2023 Notes and 2025 Notes are senior obligations of the Issuers and are unsecured, except by a first priority pledge by Wynn Las Vegas Holdings, LLC of its equity interests in Wynn Las Vegas, LLC. If Wynn Resorts receives an investment grade rating from one or more ratings agencies, the first priority pledge securing the 2023 Notes and 2025 Notes will be released.</w:t>
      </w:r>
    </w:p>
    <w:p>
      <w:pPr>
        <w:spacing w:after="0" w:line="181"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Each of the 2023 Notes and 2025 Notes are jointly and severally guaranteed by all of the Issuers' subsidiaries, other than Capital Corp. which was a co-issuer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5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2022 Indenture contains customary negative covenants and financial covenants, including, but not limited to, covenants that restrict the Issuers' and the Guarantors'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 Each of the 2023 Indenture and 2025 Indenture contains negative covenants and financial covenants, including, but not limited to,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Events of default under each of the 2022 Indenture, 2023 Indenture and 2025 Indenture include, among others, the following: default for 30 days in the payment of interest when due on the applicable notes; default in payment of the principal, or premium, if any, when due on the applicable notes; failure to comply with certain covenants in the applicable indenture; and certain events of bankruptcy or insolvency. In the case of an event of default arising from certain events of bankruptcy or insolvency with respect to the Issuers or Guarantors, all notes then outstanding will become due and payable immediately without further action or notice.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2022 Notes, 2023 Notes and 2025 Notes are also subject to mandatory redemption requirements imposed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gaming laws and regulations of gaming authorities in 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entered into in the past to manage interest rate risk associated with variable rate borrowings. We do not have any retained or contingent interest in assets transferred to an unconsolidated entity. As of December 31, 2016, we had outstanding letters of credit totaling $13.7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as of December 31, 2016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80" w:type="dxa"/>
            <w:vAlign w:val="bottom"/>
          </w:tcPr>
          <w:p>
            <w:pPr>
              <w:jc w:val="center"/>
              <w:ind w:left="461"/>
              <w:spacing w:after="0" w:line="153" w:lineRule="exact"/>
              <w:rPr>
                <w:sz w:val="20"/>
                <w:szCs w:val="20"/>
                <w:color w:val="auto"/>
              </w:rPr>
            </w:pPr>
            <w:r>
              <w:rPr>
                <w:rFonts w:ascii="Arial" w:cs="Arial" w:eastAsia="Arial" w:hAnsi="Arial"/>
                <w:sz w:val="14"/>
                <w:szCs w:val="14"/>
                <w:b w:val="1"/>
                <w:bCs w:val="1"/>
                <w:color w:val="auto"/>
                <w:w w:val="87"/>
              </w:rPr>
              <w:t>Less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 to</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4 to</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5"/>
              </w:rPr>
              <w:t>Than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168.6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1,196.8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Construction contracts and commitments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commitments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312.3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403.2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4,620.5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includes open purchase orders, performance and other contracts.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We are restricted under the 2022 Indenture from making certain "restricted payments" as defined. These restricted payments include the payments of dividends or distributions to any direct or indirect holders of equity interests of Wynn Las Vegas, LLC. These restricted payments may not be made unless certain financial and non-financial criteria have been satisfied.</w:t>
      </w:r>
    </w:p>
    <w:p>
      <w:pPr>
        <w:spacing w:after="0" w:line="18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 "Financial Statements and Supplementary Data," Note 8 "Commitments and Contingencies."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Item 8—"Financial Statements and Supplementary Data", Note 2 "Summary of Significant Accounting Policies."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8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 of the usage of the asset, and other factors specific to the asset. Depreciation expense related to capitalized construction costs is recognized when the related assets are placed in service. Upon the opening of our resorts, we begin recognizing depreciation expense on the fixed assets. The remaining estimated useful lives of assets are periodically reviewed and adjusted as necessary.</w:t>
      </w:r>
    </w:p>
    <w:p>
      <w:pPr>
        <w:spacing w:after="0" w:line="17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Las Vegas, we have a network of legal, accounting and collection professionals to assist us in our determinations regarding enforceability and our overall collection efforts.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December 31, 2016 and 2015, 80.3% and 80.1%, respectively, of the Company's markers were due from customers residing outside the United States, primarily in Asia. The collectability of markers given to foreign customers is affected by a number of factors including changes in currency exchange rates and economic conditions in the customers' home countries.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107,519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116,723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7"/>
              <w:spacing w:after="0"/>
              <w:rPr>
                <w:sz w:val="20"/>
                <w:szCs w:val="20"/>
                <w:color w:val="auto"/>
              </w:rPr>
            </w:pPr>
            <w:r>
              <w:rPr>
                <w:rFonts w:ascii="Arial" w:cs="Arial" w:eastAsia="Arial" w:hAnsi="Arial"/>
                <w:sz w:val="18"/>
                <w:szCs w:val="18"/>
                <w:color w:val="auto"/>
              </w:rPr>
              <w:t>28,880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37,723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December 31, 2016, a 100 basis-point change in the allowance for doubtful accounts as a percentage of casino accounts receivable would change the provision for doubtful accounts by approximately $1.1 million.</w:t>
      </w:r>
    </w:p>
    <w:p>
      <w:pPr>
        <w:spacing w:after="0" w:line="17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Wynn Resorts uses the Black-Scholes option pricing model to determine the grant-date fair value of its stock options. The Black-Scholes model uses assumptions of expected volatility, risk-free interest rates, the expected term of options granted, and expected rates of dividends. Wynn Resorts determines these assumptions by reviewing current market rates, making industry comparisons and reviewing relevant conditions.</w:t>
      </w:r>
    </w:p>
    <w:p>
      <w:pPr>
        <w:spacing w:after="0" w:line="17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the assumptions are reasonable in calculating the fair value of the options granted by Wynn Resorts. Wynn Resorts estimates the expected stock price volatility using a combination of implied and historical factors related to its stock price in accordance with applicable accounting standards. As the Wynn Resorts stock price fluctuates, this estimate will change. A hypothetical 10% change in the volatility assumption for options granted in 2016 would not have a material effect on the change in fair value. Expected term represents the estimated average time between the option's grant date and its exercise date. A hypothetical 10% change in the expected term assumption for options granted in 2016 would not have a material effect on the change in fair value. These assumed changes in fair value would have been recognized over the vesting schedule of such awards.</w:t>
      </w:r>
    </w:p>
    <w:p>
      <w:pPr>
        <w:spacing w:after="0" w:line="16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See related disclosure at Item 8—"Financial Statements and Supplementary Data," 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had $3.20 billion of fixed-rate debt outstanding as of December 31, 2016. As a result of all of our debt outstanding being based on fixed rates, we currently do not have exposure from adverse changes in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121" w:right="4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Page</w:t>
            </w:r>
          </w:p>
        </w:tc>
      </w:tr>
      <w:tr>
        <w:trPr>
          <w:trHeight w:val="189"/>
        </w:trPr>
        <w:tc>
          <w:tcPr>
            <w:tcW w:w="4220" w:type="dxa"/>
            <w:vAlign w:val="bottom"/>
            <w:tcBorders>
              <w:bottom w:val="single" w:sz="8" w:color="0000EE"/>
            </w:tcBorders>
            <w:gridSpan w:val="5"/>
          </w:tcPr>
          <w:p>
            <w:pPr>
              <w:spacing w:after="0" w:line="170"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Report of Independent Registered Public Accounting Firm</w:t>
              </w:r>
            </w:hyperlink>
          </w:p>
        </w:tc>
        <w:tc>
          <w:tcPr>
            <w:tcW w:w="700" w:type="dxa"/>
            <w:vAlign w:val="bottom"/>
            <w:gridSpan w:val="2"/>
          </w:tcPr>
          <w:p>
            <w:pPr>
              <w:spacing w:after="0"/>
              <w:rPr>
                <w:sz w:val="16"/>
                <w:szCs w:val="16"/>
                <w:color w:val="auto"/>
              </w:rPr>
            </w:pPr>
          </w:p>
        </w:tc>
        <w:tc>
          <w:tcPr>
            <w:tcW w:w="6460" w:type="dxa"/>
            <w:vAlign w:val="bottom"/>
            <w:gridSpan w:val="2"/>
          </w:tcPr>
          <w:p>
            <w:pPr>
              <w:jc w:val="right"/>
              <w:spacing w:after="0" w:line="170" w:lineRule="exact"/>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64"/>
        </w:trPr>
        <w:tc>
          <w:tcPr>
            <w:tcW w:w="49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Balance Sheets</w:t>
              </w:r>
            </w:hyperlink>
          </w:p>
        </w:tc>
        <w:tc>
          <w:tcPr>
            <w:tcW w:w="646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50"/>
        </w:trPr>
        <w:tc>
          <w:tcPr>
            <w:tcW w:w="492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Member’s Deficit</w:t>
              </w:r>
            </w:hyperlink>
          </w:p>
        </w:tc>
        <w:tc>
          <w:tcPr>
            <w:tcW w:w="646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250"/>
        </w:trPr>
        <w:tc>
          <w:tcPr>
            <w:tcW w:w="3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Cash Flows</w:t>
              </w:r>
            </w:hyperlink>
          </w:p>
        </w:tc>
        <w:tc>
          <w:tcPr>
            <w:tcW w:w="1620" w:type="dxa"/>
            <w:vAlign w:val="bottom"/>
            <w:gridSpan w:val="3"/>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92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Notes to Consolidated Financial Statements</w:t>
              </w:r>
            </w:hyperlink>
          </w:p>
        </w:tc>
        <w:tc>
          <w:tcPr>
            <w:tcW w:w="6460" w:type="dxa"/>
            <w:vAlign w:val="bottom"/>
            <w:gridSpan w:val="2"/>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507"/>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80" w:type="dxa"/>
            <w:vAlign w:val="bottom"/>
          </w:tcPr>
          <w:p>
            <w:pPr>
              <w:jc w:val="right"/>
              <w:ind w:right="4050"/>
              <w:spacing w:after="0"/>
              <w:rPr>
                <w:sz w:val="20"/>
                <w:szCs w:val="20"/>
                <w:color w:val="auto"/>
              </w:rPr>
            </w:pPr>
            <w:r>
              <w:rPr>
                <w:rFonts w:ascii="Arial" w:cs="Arial" w:eastAsia="Arial" w:hAnsi="Arial"/>
                <w:sz w:val="18"/>
                <w:szCs w:val="18"/>
                <w:color w:val="auto"/>
              </w:rPr>
              <w:t>33</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 and subsidiaries: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(the "Company") as of December 31, 2016 and 2015, and the related consolidated statements of comprehensive income (loss), member’s deficit, and cash flows for each of the three years in the period ended December 31,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2016 and 2015, and the consolidated results of their operations and their cash flows for each of the three years in the period ended December 31, 2016,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4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370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b w:val="1"/>
                <w:bCs w:val="1"/>
                <w:color w:val="auto"/>
                <w:w w:val="91"/>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77,062</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112,558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119,356</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51,293</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31,556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29,162</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393,738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276,873</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2,699,996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2,825,239</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35,116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41,487</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3,130,237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3,145,713</w:t>
            </w:r>
          </w:p>
        </w:tc>
      </w:tr>
      <w:tr>
        <w:trPr>
          <w:trHeight w:val="67"/>
        </w:trPr>
        <w:tc>
          <w:tcPr>
            <w:tcW w:w="3700" w:type="dxa"/>
            <w:vAlign w:val="bottom"/>
            <w:tcBorders>
              <w:bottom w:val="single" w:sz="8" w:color="CCEEFF"/>
            </w:tcBorders>
          </w:tcPr>
          <w:p>
            <w:pPr>
              <w:spacing w:after="0"/>
              <w:rPr>
                <w:sz w:val="5"/>
                <w:szCs w:val="5"/>
                <w:color w:val="auto"/>
              </w:rPr>
            </w:pPr>
          </w:p>
        </w:tc>
        <w:tc>
          <w:tcPr>
            <w:tcW w:w="4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04"/>
        </w:trPr>
        <w:tc>
          <w:tcPr>
            <w:tcW w:w="3700" w:type="dxa"/>
            <w:vAlign w:val="bottom"/>
            <w:tcBorders>
              <w:bottom w:val="single" w:sz="8" w:color="CCEEFF"/>
            </w:tcBorders>
            <w:shd w:val="clear" w:color="auto" w:fill="CCEEFF"/>
          </w:tcPr>
          <w:p>
            <w:pPr>
              <w:spacing w:after="0"/>
              <w:rPr>
                <w:sz w:val="17"/>
                <w:szCs w:val="17"/>
                <w:color w:val="auto"/>
              </w:rPr>
            </w:pPr>
          </w:p>
        </w:tc>
        <w:tc>
          <w:tcPr>
            <w:tcW w:w="4640" w:type="dxa"/>
            <w:vAlign w:val="bottom"/>
            <w:tcBorders>
              <w:bottom w:val="single" w:sz="8" w:color="CCEEFF"/>
            </w:tcBorders>
            <w:shd w:val="clear" w:color="auto" w:fill="CCEEFF"/>
          </w:tcPr>
          <w:p>
            <w:pPr>
              <w:jc w:val="center"/>
              <w:ind w:right="530"/>
              <w:spacing w:after="0" w:line="196" w:lineRule="exact"/>
              <w:rPr>
                <w:sz w:val="20"/>
                <w:szCs w:val="20"/>
                <w:color w:val="auto"/>
              </w:rPr>
            </w:pPr>
            <w:r>
              <w:rPr>
                <w:rFonts w:ascii="Arial" w:cs="Arial" w:eastAsia="Arial" w:hAnsi="Arial"/>
                <w:sz w:val="18"/>
                <w:szCs w:val="18"/>
                <w:b w:val="1"/>
                <w:bCs w:val="1"/>
                <w:color w:val="auto"/>
              </w:rPr>
              <w:t>LIABILITIES AND MEMBER’S DEFICIT</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42,992</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95,259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84,094</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Gaming taxes payable</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11,610</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61,822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52,312</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48,939</w:t>
            </w: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25,512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23,290</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7,331</w:t>
            </w: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4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302,986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270,568</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3,168,959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3,165,499</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2,426</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4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3,474,198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3,438,493</w:t>
            </w:r>
          </w:p>
        </w:tc>
      </w:tr>
      <w:tr>
        <w:trPr>
          <w:trHeight w:val="223"/>
        </w:trPr>
        <w:tc>
          <w:tcPr>
            <w:tcW w:w="370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4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3700" w:type="dxa"/>
            <w:vAlign w:val="bottom"/>
          </w:tcPr>
          <w:p>
            <w:pPr>
              <w:spacing w:after="0"/>
              <w:rPr>
                <w:sz w:val="3"/>
                <w:szCs w:val="3"/>
                <w:color w:val="auto"/>
              </w:rPr>
            </w:pPr>
          </w:p>
        </w:tc>
        <w:tc>
          <w:tcPr>
            <w:tcW w:w="4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deficit:</w:t>
            </w:r>
          </w:p>
        </w:tc>
        <w:tc>
          <w:tcPr>
            <w:tcW w:w="4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Contributed capital</w:t>
            </w:r>
          </w:p>
        </w:tc>
        <w:tc>
          <w:tcPr>
            <w:tcW w:w="4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899,228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957,138</w:t>
            </w: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(1,243,189)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(1,249,918)</w:t>
            </w:r>
          </w:p>
        </w:tc>
      </w:tr>
      <w:tr>
        <w:trPr>
          <w:trHeight w:val="237"/>
        </w:trPr>
        <w:tc>
          <w:tcPr>
            <w:tcW w:w="370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4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(292,780)</w:t>
            </w:r>
          </w:p>
        </w:tc>
      </w:tr>
      <w:tr>
        <w:trPr>
          <w:trHeight w:val="27"/>
        </w:trPr>
        <w:tc>
          <w:tcPr>
            <w:tcW w:w="370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member’s deficit</w:t>
            </w:r>
          </w:p>
        </w:tc>
        <w:tc>
          <w:tcPr>
            <w:tcW w:w="5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3,130,237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3,145,713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COMPREHENSIVE INCOME (LOSS)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613,071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619,494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687,440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436,613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408,981</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508,237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520,187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503,829</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228,115</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1,785,817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1,786,507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1,828,365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(190,539)</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1,616,519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1,612,831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1,637,826</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284,076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291,710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311,093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336,689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339,764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317,988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129,278</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246,073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254,638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7,094</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51,035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46,835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24,580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184,949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181,981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179,394</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1,438,226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1,393,965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1,367,337</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218,866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270,489</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(204,345)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435</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(304,488)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(213,452)</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57,037</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57,037</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MEMBER’S DEFICIT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Balance as of January 1,</w:t>
            </w:r>
          </w:p>
        </w:tc>
        <w:tc>
          <w:tcPr>
            <w:tcW w:w="8120" w:type="dxa"/>
            <w:vAlign w:val="bottom"/>
            <w:shd w:val="clear" w:color="auto" w:fill="CCEEFF"/>
          </w:tcPr>
          <w:p>
            <w:pPr>
              <w:jc w:val="right"/>
              <w:ind w:right="7650"/>
              <w:spacing w:after="0"/>
              <w:rPr>
                <w:sz w:val="20"/>
                <w:szCs w:val="20"/>
                <w:color w:val="auto"/>
              </w:rPr>
            </w:pPr>
            <w:r>
              <w:rPr>
                <w:rFonts w:ascii="Arial" w:cs="Arial" w:eastAsia="Arial" w:hAnsi="Arial"/>
                <w:sz w:val="18"/>
                <w:szCs w:val="18"/>
                <w:color w:val="auto"/>
                <w:w w:val="89"/>
              </w:rPr>
              <w:t>2014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57,037</w:t>
            </w:r>
          </w:p>
        </w:tc>
      </w:tr>
      <w:tr>
        <w:trPr>
          <w:trHeight w:val="27"/>
        </w:trPr>
        <w:tc>
          <w:tcPr>
            <w:tcW w:w="99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Wynn Resorts, Limited stock-based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4,342</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w w:val="92"/>
              </w:rPr>
              <w:t>Distributions to parent</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(78,528)</w:t>
            </w:r>
          </w:p>
        </w:tc>
      </w:tr>
      <w:tr>
        <w:trPr>
          <w:trHeight w:val="27"/>
        </w:trPr>
        <w:tc>
          <w:tcPr>
            <w:tcW w:w="99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(39,950)</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(85,622)</w:t>
            </w:r>
          </w:p>
        </w:tc>
      </w:tr>
      <w:tr>
        <w:trPr>
          <w:trHeight w:val="27"/>
        </w:trPr>
        <w:tc>
          <w:tcPr>
            <w:tcW w:w="99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Wynn Resorts, Limited stock-based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w w:val="92"/>
              </w:rPr>
              <w:t>Distributions to parent</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(170,000)</w:t>
            </w:r>
          </w:p>
        </w:tc>
      </w:tr>
      <w:tr>
        <w:trPr>
          <w:trHeight w:val="27"/>
        </w:trPr>
        <w:tc>
          <w:tcPr>
            <w:tcW w:w="99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(292,780)</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6,729</w:t>
            </w:r>
          </w:p>
        </w:tc>
      </w:tr>
      <w:tr>
        <w:trPr>
          <w:trHeight w:val="27"/>
        </w:trPr>
        <w:tc>
          <w:tcPr>
            <w:tcW w:w="99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Wynn Resorts, Limited stock-based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r>
      <w:tr>
        <w:trPr>
          <w:trHeight w:val="243"/>
        </w:trPr>
        <w:tc>
          <w:tcPr>
            <w:tcW w:w="1800" w:type="dxa"/>
            <w:vAlign w:val="bottom"/>
          </w:tcPr>
          <w:p>
            <w:pPr>
              <w:ind w:left="160"/>
              <w:spacing w:after="0"/>
              <w:rPr>
                <w:sz w:val="20"/>
                <w:szCs w:val="20"/>
                <w:color w:val="auto"/>
              </w:rPr>
            </w:pPr>
            <w:r>
              <w:rPr>
                <w:rFonts w:ascii="Arial" w:cs="Arial" w:eastAsia="Arial" w:hAnsi="Arial"/>
                <w:sz w:val="18"/>
                <w:szCs w:val="18"/>
                <w:color w:val="auto"/>
                <w:w w:val="92"/>
              </w:rPr>
              <w:t>Distributions to parent</w:t>
            </w:r>
          </w:p>
        </w:tc>
        <w:tc>
          <w:tcPr>
            <w:tcW w:w="8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(59,697)</w:t>
            </w:r>
          </w:p>
        </w:tc>
      </w:tr>
      <w:tr>
        <w:trPr>
          <w:trHeight w:val="27"/>
        </w:trPr>
        <w:tc>
          <w:tcPr>
            <w:tcW w:w="992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(343,961)</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CASH FLOWS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6,729</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(85,622)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57,037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181,981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179,394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and write off of deferred financing costs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7,721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 income (loss) of unconsolidated affiliates, net of distributions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40,713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9,753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14,021</w:t>
            </w:r>
          </w:p>
        </w:tc>
      </w:tr>
      <w:tr>
        <w:trPr>
          <w:trHeight w:val="237"/>
        </w:trPr>
        <w:tc>
          <w:tcPr>
            <w:tcW w:w="708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264,906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279,043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(62,535)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in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(8,855)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29,787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(116,163)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(29,564)</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(74,913)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1,800,000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(1,603,610)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(98,400)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financing costs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r>
      <w:tr>
        <w:trPr>
          <w:trHeight w:val="237"/>
        </w:trPr>
        <w:tc>
          <w:tcPr>
            <w:tcW w:w="708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(214,275)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148,624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35,204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231,156</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225,686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77,062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266,360</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64"/>
        </w:trPr>
        <w:tc>
          <w:tcPr>
            <w:tcW w:w="7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Supplemental cash flow disclosures: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168,416</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202,554</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 in accounts and construction payables related to property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(1,910)</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interest distribution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Retail net assets 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59,578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Wynn Las Vegas, LLC, a Nevada limited liability company, was organized primarily to construct and operate Wynn Las Vegas, an integrated destination casino resort on the "Strip" in Las Vegas, Nevada. Unless the context otherwise requires, all references herein to the "Company" refer to Wynn Las Vegas, LLC and its consolidated subsidiaries.</w:t>
      </w:r>
    </w:p>
    <w:p>
      <w:pPr>
        <w:spacing w:after="0" w:line="181"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Company is a direct wholly owned subsidiary of Wynn Las Vegas Holdings, LLC ("WLVH"). WLVH is a direct wholly owned subsidiary of Wynn America, LLC ("Wynn America"). Wynn America is a direct wholly owned subsidiary of Wynn Resorts Holdings, LLC ("Holdings"). Holdings is a direct wholly owned subsidiary of Wynn Resorts, Limited ("Wynn Resorts").</w:t>
      </w:r>
    </w:p>
    <w:p>
      <w:pPr>
        <w:spacing w:after="0" w:line="181"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Wynn Las Vegas Capital Corp. ("Capital Corp.") is a wholly owned subsidiary of Wynn Las Vegas, LLC organized solely for the purpose of obtaining financing for Wynn Las Vegas. Capital Corp. is authorized to issue 2,000 shares of common stock, par value $0.01. As of December 31, 2016, the Company owned the one share that was issued and outstanding. Wynn Capital has no significant net assets nor any operating activity. Its sole function is to serve as the co-issuer of the mortgage notes. Wynn Las Vegas, LLC and Wynn Capital together are hereinafter referred to as the "Issuers."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500" w:firstLine="405"/>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In April 2016, the Company dissolved its 50% owned joint venture operating the Ferrari and Maserati automobile dealership inside Wynn Las Vegas, which was closed in October 2015 and accounted for under the equity method. All significant intercompany accounts and transactions have been eliminated.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2016 and 2015, approximately 80.3% and 80.1%,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Inventories consist of retail merchandise, and food and beverage items, which are stated at the lower of cost or market value and certain operating supplies. Cost is determined by the first-in, first-out, weighted average and specific identification methods.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33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90"/>
              </w:rPr>
              <w:t>3 to 20 years</w:t>
            </w:r>
          </w:p>
        </w:tc>
      </w:tr>
    </w:tbl>
    <w:p>
      <w:pPr>
        <w:spacing w:after="0" w:line="22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weighted average cost of the Company's outstanding borrowings. Interest of $0.2 million was capitalized for the year ended December 31, 2016, and no interest was capitalized for the years ended December 31,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Company's intangible assets are indefinite-lived and consist primarily of trademarks. The value of the trademarks primarily represents the costs to acquire the "Le Rêve" name. Indefinite-lived intangible assets are not amortized, but are reviewed for impairment annually.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long-term debt are presented as a direct reduction of long-term debt on the Consolidated Balance Sheets. See the Recently Issued and Adopted Accounting Standards section below for details on the presentation change of deferred financing costs. Approximately $3.5 million, $3.5 million and $4.0 million was amortized to interest expense during the years ended December 31, 2016,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Cash discounts, other cash incentives and points earned by customers from the Company's loyalty programs are recorded as a reduction to casino revenues. Rooms,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is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77,058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73,887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87,236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20,191</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169,298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173,676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190,539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32,634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36,384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66,528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12,165</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102,111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106,343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115,077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225"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The Company offers a loyalty program whereby customers earn points based on their level of slots play, which can be redeemed for free play. The points are recognized as a liability and as a separate element of the gaming transaction with allocation of the consideration received between the points and gaming transaction. The initial recognition of the point liability is at fair value based on points earned multiplied by redemption value, less an estimate for points not expected to be redeemed. The revenue from the points is recognized when redeemed.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is subject to taxes based on gross gaming revenue in the jurisdiction in which it operates, subject to applicable jurisdictional adjustments. These gaming taxes are an assessment on the Company's gross gaming revenue and are recorded as casino expenses in the accompanying Consolidated Statements of Comprehensive Income (Loss). These taxes totaled $44.6 million, $44.6 million and $49.4 million for the years ended December 31, 2016, 2015 and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$24.9 million, $20.4 million and $14.4 million for the years ended December 31,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Pre-opening costs represent personnel and other costs incurred prior to the opening of new ventures and are expensed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7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August 2016, the Financial Accounting Standards Board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effective date for this guidance is for financial statements for fiscal years beginning after December 15, 2017, and interim periods within those fiscal periods and early application is permitted. The Company is currently assessing the impact the adoption of this guidance will have on its consolidated financial statements.</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March 2016, the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regards to forfeitures, the entity may make an entity-wide accounting policy election to either estimate the number of awards that are expected to vest or account for forfeitures when they occur.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date for this guidance is for financial statements for fiscal years beginning after December 15, 2016, and interim periods within those fiscal periods and early application is permitted. The Company adopted this guidance on January 1, 2017, and does not expect the adoption of this update to have a material effect on its consolidated financial statements.</w:t>
      </w:r>
    </w:p>
    <w:p>
      <w:pPr>
        <w:spacing w:after="0" w:line="18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is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Consolidated Balance Sheet as of December 31, 2015. This change in accounting principle resulted in net deferred financing costs of $34.5 million incurred in connection with the issuance of the Company's long-term debt being reclassified from noncurrent assets to a direct reduction of the long-term debt balance as of December 31, 2015.</w:t>
      </w:r>
    </w:p>
    <w:p>
      <w:pPr>
        <w:spacing w:after="0" w:line="178"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guidance will have on its consolidated financial statements. The Company expects the goods and services provided to customers without charge currently included in both gross revenues and promotional allowances in the accompanying Consolidated Statements of Income will be presented on a net basis.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4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116,723</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Hotel</w:t>
            </w:r>
          </w:p>
        </w:tc>
        <w:tc>
          <w:tcPr>
            <w:tcW w:w="4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21,288</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142,118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158,025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112,558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119,356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40" w:type="dxa"/>
            <w:vAlign w:val="bottom"/>
            <w:vMerge w:val="restart"/>
          </w:tcPr>
          <w:p>
            <w:pPr>
              <w:jc w:val="right"/>
              <w:ind w:right="245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627,942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623,866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2,596,743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2,630,788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1,418,814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1,419,018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33,229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12,294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4,676,728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4,685,966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(1,976,732)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(1,860,727)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2,699,996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2,825,239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Depreciation expense for the years ended December 31, 2016, 2015 and 2014 was $184.9 million, $182.0 million and $179.4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5 3/8% First Mortgage Notes, due March 15, 2022, net of debt issuance costs of $6,709 and $7,791 as of</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 and 2015, respectively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893,291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892,209</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4 1/4% Senior Notes, due May 30, 2023, net of debt issuance costs of $2,819 and $3,183 as of December 31, 2016</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and 2015, respectively</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497,181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496,817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5 1/2% Senior Notes, due March 1, 2025, net of debt issuance costs of $21,513 and $23,527 as of December 31,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and 2015,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1,778,487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1,776,473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3,168,959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3,165,499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3,168,959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3,165,499</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In March 2012, Wynn Las Vegas, LLC and Wynn Capital (together, the "Issuers") issued, in a private offering, $900 million aggregate principal amount of 5 3/8% First Mortgage Notes due 2022 (the "2022 Notes"). A portion of the proceeds was used to repay all amounts outstanding under the Wynn Las Vegas, LLC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102.7% of the principal amount redeemed and the premium over the principal amount declines ratably on March 15th of each year thereafter to zero on or after March 15, 2022. The 2022 Notes are senior obligations of the Issuers and are unsecured (except by the first priority pledge by WLVH of its equity interests in Wynn Las Vegas, LLC). The Issuers' obligations under the 2022 Notes rank pari passu in right of payment with the 2023 Notes and 2025 Notes (each as defined below). The 2022 Notes are not guaranteed by any of the Company's subsidiaries. If the Issuers undergo a change of control, they must offer to repurchase the 2022 Notes at 101% of the principal amount, plus accrued and unpaid interest. The indenture governing the 2022 Notes (the "2022 Indenture") contains customary negative covenants and financial covenants, including, but not limited to, covenants that restrict the Company's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36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previously issued notes that were to mature in November 2017. In addition, the Issuers satisfied and discharged the indenture governing the 7 7/8% First Mortgage Notes due 2017 (the "2017 Notes") and, in November 2013, used the remaining net proceeds to redeem any and all of the 2017 Notes not previously tendered.</w:t>
      </w:r>
    </w:p>
    <w:p>
      <w:pPr>
        <w:spacing w:after="0" w:line="19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2022 Notes and 2025 Notes (as defined below). The 2023 Notes are unsecured (except by the first priority pledge by WLVH of its equity interests in Wynn Las Vegas, LLC). Such equity interests in Wynn Las Vegas, LLC also secure the Issuers' 2022 Notes and 2025 Notes. If Wynn Resorts receives an investment grade rating from one or more ratings agencies, the first priority pledge securing the 2023 Notes will be released.</w:t>
      </w:r>
    </w:p>
    <w:p>
      <w:pPr>
        <w:spacing w:after="0" w:line="187"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Capital,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of interest when due on the 2023 Notes; default in payment of the principal when due,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all the Issuers' subsidiaries (other than Wynn Capital, which was a co-issuer) and U.S. Bank National Association, as trustee. The 2025 Notes were issued at par. The Company used the net proceeds from the 2025 Notes to cover the cost of purchasing the 7 7/8% First Mortgage Notes due May 1, 2020 (the "7 7/8% 2020 Notes") and the 7 3/4% First Mortgage Notes due August 15, 2020 (the "7 3/4% 2020 Notes" and together with the 7 7/8% 2020 Notes, the "2020 Notes") and for general corporate purposes.</w:t>
      </w:r>
    </w:p>
    <w:p>
      <w:pPr>
        <w:spacing w:after="0" w:line="193"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24" w:lineRule="exact"/>
        <w:rPr>
          <w:sz w:val="20"/>
          <w:szCs w:val="20"/>
          <w:color w:val="auto"/>
        </w:rPr>
      </w:pPr>
    </w:p>
    <w:p>
      <w:pPr>
        <w:jc w:val="both"/>
        <w:ind w:right="40" w:firstLine="432"/>
        <w:spacing w:after="0" w:line="257"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outstanding 2022 Notes and 2023 Notes (together, the "Existing Notes"). The 2025 Notes are unsecured (except by the first priority pledge by WLVH of its equity interests in Wynn Las Vegas, LLC), effectiveness of which is subject to the prior approval of the Nevada gaming authorities. Such equity interests in Wynn Las Vegas, LLC also secure the Existing Notes. If Wynn Resorts receives an investment grade rating from one or more ratings agencies, the first priority pledge securing the 2025 Notes will be released.</w:t>
      </w:r>
    </w:p>
    <w:p>
      <w:pPr>
        <w:spacing w:after="0" w:line="13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jc w:val="both"/>
        <w:ind w:right="18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of interest when due on the 2025 Notes; default in payment of the principal when due,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18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2023 Notes and 2025 Notes were offered pursuant to an exemption under the Securities Act of 1933, as amended (the "Securities Act"). The 2023 and 2025 Notes were offered only to qualified institutional buyers in reliance on Rule 144A under the Securities Act or outside the United States to certain persons in reliance on Regulation S under the Securities Act. The 2023 Notes and 2025 Notes have not been and will not be registered under the Securities Act of 1933 or under any state securities laws. Therefore, the 2023 and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Mortgage Notes due 2020</w:t>
      </w:r>
    </w:p>
    <w:p>
      <w:pPr>
        <w:spacing w:after="0" w:line="225" w:lineRule="exact"/>
        <w:rPr>
          <w:sz w:val="20"/>
          <w:szCs w:val="20"/>
          <w:color w:val="auto"/>
        </w:rPr>
      </w:pPr>
    </w:p>
    <w:p>
      <w:pPr>
        <w:ind w:right="20" w:firstLine="392"/>
        <w:spacing w:after="0" w:line="276" w:lineRule="auto"/>
        <w:rPr>
          <w:sz w:val="20"/>
          <w:szCs w:val="20"/>
          <w:color w:val="auto"/>
        </w:rPr>
      </w:pPr>
      <w:r>
        <w:rPr>
          <w:rFonts w:ascii="Arial" w:cs="Arial" w:eastAsia="Arial" w:hAnsi="Arial"/>
          <w:sz w:val="17"/>
          <w:szCs w:val="17"/>
          <w:color w:val="auto"/>
        </w:rPr>
        <w:t>On February 10, 2015, the Issuers commenced a cash tender offer for any and all of the outstanding aggregate principal amounts of the 2020 Notes. The premium portion of the aggregate total consideration was $101.2 million and was recorded as a loss on extinguishment of debt in the accompanying Consolidated Statements of Comprehensive Income (Loss). In connection with the cash tender, the Company expensed $17.3 million of unamortized deferred financing costs and original issue discount related to the 2020 Notes and incurred other fees of $0.1 million that are included in loss on extinguishment of debt in the accompanying Consolidated Statements of Comprehensive Income (Loss).</w:t>
      </w:r>
    </w:p>
    <w:p>
      <w:pPr>
        <w:spacing w:after="0" w:line="173"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Consolidated Statements of Comprehensive Income (Loss).</w:t>
      </w:r>
    </w:p>
    <w:p>
      <w:pPr>
        <w:spacing w:after="0" w:line="166" w:lineRule="exact"/>
        <w:rPr>
          <w:sz w:val="20"/>
          <w:szCs w:val="20"/>
          <w:color w:val="auto"/>
        </w:rPr>
      </w:pPr>
    </w:p>
    <w:p>
      <w:pPr>
        <w:ind w:right="560" w:firstLine="392"/>
        <w:spacing w:after="0" w:line="277" w:lineRule="auto"/>
        <w:rPr>
          <w:sz w:val="20"/>
          <w:szCs w:val="20"/>
          <w:color w:val="auto"/>
        </w:rPr>
      </w:pPr>
      <w:r>
        <w:rPr>
          <w:rFonts w:ascii="Arial" w:cs="Arial" w:eastAsia="Arial" w:hAnsi="Arial"/>
          <w:sz w:val="18"/>
          <w:szCs w:val="18"/>
          <w:color w:val="auto"/>
        </w:rPr>
        <w:t>On August 15, 2015, the Company redeemed the remaining $80.1 million principal amount of the untendered 7 3/4% 2020 Notes. The Company recorded a loss for the premium portion of the consideration of $3.1 million and expensed $0.8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36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million of unamortized deferred financing costs that are included in loss on extinguishment of debt in the accompanying Consolidated Statements of Comprehensive Income (Loss).</w:t>
      </w:r>
    </w:p>
    <w:p>
      <w:pPr>
        <w:spacing w:after="0" w:line="170" w:lineRule="exact"/>
        <w:rPr>
          <w:sz w:val="20"/>
          <w:szCs w:val="20"/>
          <w:color w:val="auto"/>
        </w:rPr>
      </w:pPr>
    </w:p>
    <w:p>
      <w:pPr>
        <w:ind w:right="60" w:firstLine="392"/>
        <w:spacing w:after="0" w:line="312" w:lineRule="auto"/>
        <w:rPr>
          <w:sz w:val="20"/>
          <w:szCs w:val="20"/>
          <w:color w:val="auto"/>
        </w:rPr>
      </w:pPr>
      <w:r>
        <w:rPr>
          <w:rFonts w:ascii="Arial" w:cs="Arial" w:eastAsia="Arial" w:hAnsi="Arial"/>
          <w:sz w:val="16"/>
          <w:szCs w:val="16"/>
          <w:color w:val="auto"/>
        </w:rPr>
        <w:t>During the year ended December 31, 2014, Wynn Las Vegas, LLC repurchased and canceled $98.4 million in principal, plus interest, of the 2020 Notes through the open market. The Company incurred $9.6 million in expenses associated primarily with the premium paid for the repurchases and unamortized deferred financing costs included in loss on extinguishment of debt in the accompanying Consolidated Statements of Comprehensive Income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Claim</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As described in Note 8 "Commitments and Contingencies," 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Stephen A. Wynn, the "Wynn Cross Defendants") as cross defendants. On May 5, 2016, the court granted Wynn Resorts' and Wynn Resorts' General Counsel's motions to dismiss. The 2023 Indenture provides that if Stephen A. Wynn ("Mr. Wynn"), together with certain related parties, in the aggregate beneficially owns a lesser percentage of the outstanding common stock of Wynn Resorts than are beneficially owned by any other person, a change of control will have occurred.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a change of control occurs and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continuing to oppose Elaine Wynn's cross claim.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December 31, 2016 and 2015 was approximately $3.18 billion and $2.93 billion, respectively, compared to its carrying value, excluding debt issuance costs, of $3.20 billion. The estimated fair value of the Company's long-term debt is based on recent trades, if available and indicative pricing from market information (Level 2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Company's long-term debt of $3.20 billion is scheduled for maturity in 2022 and thereafter.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The Company periodically settles net amounts due to affiliates with cash payments. As of December 31, 2016 and 2015, the Company's net current due to affiliates of $19.0 million and $7.3 million, respectively, are primarily comprised of management fees, license fees, and corporate allocations.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and corporate allocations</w:t>
      </w:r>
    </w:p>
    <w:p>
      <w:pPr>
        <w:spacing w:after="0" w:line="22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February 2015, the Company entered into a new corporate support services agreement with Wynn Resorts and terminated the prior agreement. Wynn Resorts provides the Company legal, accounting, human resources, information technology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Under the agreement, the Company also pays a management fee of 1.5% of net revenues. During the years ended December 31, 2016, 2015 and 2014, $39.1 million, $42.2 million and $59.5 million, respectively, were charged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Under an agreement with Wynn Resorts and a wholly owned subsidiary of Wynn Resorts, the Company licenses certain intellectual property, including certain trademarks, domain names, copyrights and service marks in connection with a variety of goods and services. In February 2015, the Company entered into a license agreement, which requires payment of fees equal to 1.5% of gross monthly revenues so long as the original license agreement is in effect and not terminated, and 3.0% subsequent to termination of the original license agreement. As of December 31, 2016, the original agreement is in effect and not terminated. During the years ended December 31, 2016 and 2015, $26.8 million and $22.6 million, respectively, in license fees were charged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services agreement</w:t>
      </w:r>
    </w:p>
    <w:p>
      <w:pPr>
        <w:spacing w:after="0" w:line="225"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In December 2016, in connection with the distribution of the majority of the Company’s retail net assets, the Company entered into a retail services agreement with Wynn Retail, LLC ("Wynn Retail"), a wholly owned subsidiary of Wynn Resorts, to provide services to Wynn Retail to support retail operations at Wynn Las Vegas. See Note 9 "Member's Equity" for discussion of the retail net assets distribution. Under the agreement, the allocation of costs have been determined on a basis that Wynn Retail and the Company consider to be reasonable estimates of the utilization of services provided by the Company. During the year ended December 31, 2016, the amount charged by Wynn Las Vegas for services under the agreement was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net</w:t>
      </w:r>
    </w:p>
    <w:p>
      <w:pPr>
        <w:spacing w:after="0" w:line="22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The Company periodically provides services to Stephen A. Wynn, Chairman of the Board, Chief Executive Officer and one of the principal stockholders of Wynn Resorts, and certain other executive officers and directors of Wynn Resorts. These services include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Mr. Wynn currently leases property at Wynn Las Vegas for use as his personal residence and pays the Company annual rent at its fair market value of the accommodations based on an independent third-party expert opinion of value. Pursuant to the 2013 Second Amended and Restated Agreement of Lease, as amended (the "Second A&amp;R Lease"), Mr. Wynn leased three fairway villas as his personal residence and paid $525,000 per year from November 5, 2013 through February 28, 2015, and $559,295 per year from March 1, 2015 through November 3, 2016. In December 2016, Mr. Wynn and Wynn Las Vegas replaced the Second A&amp;R Lease with a Third Amended and Restated Agreement of Lease, which was effective November 3, 2016 (the "Third A&amp;R Lease"), to reduce the space leased to Mr. Wynn as his personal residence and to adjust the annual rent paid to $305,680 per year. The lease, including each amendment and restatement, have been approved by the Audit Committee of the Board of Directors of Wynn Resorts and provides that Wynn Las Vegas, LLC pays for all capital improvements to the villas; certain services for, and maintenance of, the villas are included in the annual rent; and the annual rent will be re-determined every two years during the term of the lease.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6, 2004, Holdings entered into agreements with Mr. Wynn that confirm and clarify Holding's rights to use the "Wynn" surname and</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Mr. Wynn's persona in connection with casino resorts. Under the parties' Surname Rights Agreement, Mr. Wynn granted Holdings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On September 18, 2012, the Company distributed to Wynn Resorts,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Jet, LLC</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The distribution resulted in a reduction to the Company's contributed capital on its Consolidated Balance Sheets. Las Vegas Jet, LLC provides pilot and other aviation services with respect to several aircraft owned by wholly owned subsidiaries of Wynn Resorts.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50% of employee contributions, up to 6% of employees' eligible compensation, with a one-time annual matching cap per employee of $1,200, and $750 for the years ended December 31, 2015 and 2014, respectively. There was no matching cap per employee for the year ended December 31, 2016. The Company recorded expenses related to these matching contributions of $5.3 million, $3.0 million and $1.9 million for the years ended December 31, 2016, 2015 and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ind w:right="60" w:firstLine="432"/>
        <w:spacing w:after="0" w:line="283" w:lineRule="auto"/>
        <w:rPr>
          <w:sz w:val="20"/>
          <w:szCs w:val="20"/>
          <w:color w:val="auto"/>
        </w:rPr>
      </w:pPr>
      <w:r>
        <w:rPr>
          <w:rFonts w:ascii="Arial" w:cs="Arial" w:eastAsia="Arial" w:hAnsi="Arial"/>
          <w:sz w:val="16"/>
          <w:szCs w:val="16"/>
          <w:color w:val="auto"/>
        </w:rPr>
        <w:t>Wynn Las Vegas, LLC contributes to a multi-employer defined benefit pension plan for certain of its union employees under the terms of the Southern Nevada Culinary and Bartenders Union collective-bargaining agreement. The collective-bargaining agreement that covers these union-represented employees was set to expire in July 2015. An extension was in place until February 2017 when the Company entered into a new collective bargaining agreement, which expires July 2021. The legal name of the multi-employer pension plan is the Southern Nevada Culinary and Bartenders Pension Plan (the "Plan") (EIN: 88-6016617 Plan Number: 1). The Company recorded expenses of $9.3 million, $9.4 million and $9.2 million for contributions to the Plan for the years ended December 31, 2016, 2015 and 2014, respectively. For the 2015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2015 plan year. Risks of participating in a multi-employer plan differ from single-employer plans for the following reasons: (1) assets contributed to a multi-employer plan by one employer may be used to provide benefits to employees of other participating employers;</w:t>
      </w:r>
    </w:p>
    <w:p>
      <w:pPr>
        <w:spacing w:after="0" w:line="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the plan, the unfunded obligations of the plan may be borne by the remaining participating employers; and</w:t>
      </w:r>
    </w:p>
    <w:p>
      <w:pPr>
        <w:spacing w:after="0" w:line="32" w:lineRule="exact"/>
        <w:rPr>
          <w:rFonts w:ascii="Arial" w:cs="Arial" w:eastAsia="Arial" w:hAnsi="Arial"/>
          <w:sz w:val="16"/>
          <w:szCs w:val="16"/>
          <w:color w:val="auto"/>
        </w:rPr>
      </w:pPr>
    </w:p>
    <w:p>
      <w:pPr>
        <w:ind w:right="120" w:firstLine="8"/>
        <w:spacing w:after="0" w:line="261"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participating employer stops participating, it may be required to pay those plans an amount based on the underfunded status of the plan, referred to as a withdrawal liability.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established the 2002 Stock Incentive Plan (the "Stock Plan"), which provides for the grant of (i) Incentive Stock Options,</w:t>
      </w:r>
    </w:p>
    <w:p>
      <w:pPr>
        <w:spacing w:after="0" w:line="23" w:lineRule="exact"/>
        <w:rPr>
          <w:sz w:val="20"/>
          <w:szCs w:val="20"/>
          <w:color w:val="auto"/>
        </w:rPr>
      </w:pPr>
    </w:p>
    <w:p>
      <w:pPr>
        <w:jc w:val="both"/>
        <w:ind w:right="420" w:firstLine="8"/>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May 16, 2014, Wynn Resorts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Stock Plan. Under the approval of the Omnibus Plan, no new awards may be made under the Stock Plan. The outstanding awards under the Stock Plan were transferred to the Omnibus Plan and will remain pursuant to their existing terms and related award agreements. Wynn Resorts reserved 4,409,390 shares of its common stock for issuance under the Omnibus Plan. These shares were transferred from the remaining available amount under the Stock Plan.</w:t>
      </w:r>
    </w:p>
    <w:p>
      <w:pPr>
        <w:spacing w:after="0" w:line="193"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total compensation cost relating to stock options and nonvested stock for the years ended December 31, 2016, 2015 and 2014 is allocated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1,353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2,268</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3,065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4,342</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Certain members of the Company's executive management team receive a portion of their annual incentive bonus in shares of Wynn Resorts' stock. The number of shares is determined based on the closing price on the date the annual incentive bonus is settled. As the number of shares is variable, the Company records a liability for the fixed monetary amount over the service period. For the year ended December 31, 2016, the Company recorded $1.3 million of stock-based compensation expense associated with these awards. Wynn resorts settled this obligation by issuing immediately vested shares in January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is the lessee under leases for certain buildings and office equipment. As of December 31, 2016, the Company was obligated under non-cancelable operating leases, to make future minimum lease payments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Years Ending December 31,</w:t>
            </w:r>
          </w:p>
        </w:tc>
        <w:tc>
          <w:tcPr>
            <w:tcW w:w="780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2018</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3,224</w:t>
            </w:r>
          </w:p>
        </w:tc>
      </w:tr>
      <w:tr>
        <w:trPr>
          <w:trHeight w:val="27"/>
        </w:trPr>
        <w:tc>
          <w:tcPr>
            <w:tcW w:w="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2020</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2,373</w:t>
            </w:r>
          </w:p>
        </w:tc>
      </w:tr>
      <w:tr>
        <w:trPr>
          <w:trHeight w:val="27"/>
        </w:trPr>
        <w:tc>
          <w:tcPr>
            <w:tcW w:w="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w w:val="93"/>
              </w:rPr>
              <w:t>Thereafter</w:t>
            </w:r>
          </w:p>
        </w:tc>
        <w:tc>
          <w:tcPr>
            <w:tcW w:w="18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7,551</w:t>
            </w:r>
          </w:p>
        </w:tc>
      </w:tr>
      <w:tr>
        <w:trPr>
          <w:trHeight w:val="27"/>
        </w:trPr>
        <w:tc>
          <w:tcPr>
            <w:tcW w:w="8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9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2016, 2015 and 2014 was $20.7 million, $19.4 million and $18.1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2016, the Company was obligated to make future payments of $32.6 million, $20.0 million, $7.7 million, $1.7 million and $0.2 million during the years ending December 2017, 2018, 2019, 2020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The Company has additional contractual commitments for performance and other contracts. As of December 31, 2016, the Company was obligated to make future payments of $32.6 million, $15.9 million and $16.3 million during the years ending December 2017, 2018 and 2019,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the Company had outstanding letters of credit of $13.7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Aruze's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2013. Although Wynn Resorts has retained the structure of the Executive Committee, the Board has resumed its past role in managing the business and affairs of Wynn Resorts.</w:t>
      </w:r>
    </w:p>
    <w:p>
      <w:pPr>
        <w:spacing w:after="0" w:line="17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allegedly breaching the Stockholders Agreement and violating alleged duties under the Stockholders Agreement by preventing Elaine Wynn from being nominated and elected to serve as one of Wynn Resorts'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6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indenture for Wynn Las Vegas, LLC's 4 1/4% Senior Notes due 2023 (the "2023 Indenture") provides that if Mr. Wynn, together with certain related parties, in the aggregate beneficially owns a lesser percentage of the voting power of the outstanding common stock of Wynn Resorts than is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Wynn Resorts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3"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 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Wynn Resorts' Complaint. On November 13, 2014, the court denied the motion.</w:t>
      </w:r>
    </w:p>
    <w:p>
      <w:pPr>
        <w:spacing w:after="0" w:line="18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each of February 13, 2015, February 12, 2016, and February 13, 2017, Wynn Resorts issued a check for the interest payment due at those times to the clerk of the court for deposit into the clerk's trust account.</w:t>
      </w:r>
    </w:p>
    <w:p>
      <w:pPr>
        <w:spacing w:after="0" w:line="16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7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June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currently scheduled for March 2017. On January 23, 2017, the court issued a temporary restraining order that halted such law firm’s participation in the case, with the sole exception of contesting their disqualification. The court has indicated a preliminary schedule that would have the trial begin in February 2018.</w:t>
      </w:r>
    </w:p>
    <w:p>
      <w:pPr>
        <w:spacing w:after="0" w:line="18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Wynn Resorts directors) in February 2016 and as to Wynn Resorts in March 2016, thus upholding the motion for dismissal of the Okada Japan Parties' defamation action against the Wynn Parties.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w:t>
      </w:r>
    </w:p>
    <w:p>
      <w:pPr>
        <w:spacing w:after="0" w:line="3" w:lineRule="exact"/>
        <w:rPr>
          <w:sz w:val="20"/>
          <w:szCs w:val="20"/>
          <w:color w:val="auto"/>
        </w:rPr>
      </w:pPr>
    </w:p>
    <w:p>
      <w:pPr>
        <w:ind w:left="5620" w:right="3020" w:hanging="5612"/>
        <w:spacing w:after="0" w:line="542"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stayed the claims asserted by Wynn Resorts against Mr. Okada pending the resolution of the Redemption Action. 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On July 3, 2015, Wynn Macau, Limited announced that the Okada Parties filed a complaint in the Court of First Instance of Macau ("Macau Court") against Wynn Macau SA and certain individuals who are or were directors of Wynn Macau SA and or Wynn Macau, Limited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The Macau Court has served the complaint on the defendants and the Wynn Macau Parties filed their response on May 17, 2016.</w:t>
      </w:r>
    </w:p>
    <w:p>
      <w:pPr>
        <w:spacing w:after="0" w:line="16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Wynn Resorts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Development Foundation. Wynn Resorts has not received any target letter or subpoena in connection with such an investigation. Wynn Resorts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Development Foundation.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firstLine="8"/>
        <w:spacing w:after="0" w:line="285"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Development Foundation;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7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Member's Equity</w:t>
      </w:r>
    </w:p>
    <w:p>
      <w:pPr>
        <w:spacing w:after="0" w:line="229"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On December 28, 2016, Wynn Resorts formed a joint venture (the "Retail Joint Venture") with Crown Acquisitions Inc. ("Crown") to own and operate approximately 88,000 square feet of existing retail space at Wynn Las Vegas. In connection with the transaction, the Company distributed $59.7 million in net assets associated with its retail operations to Wynn Resorts. These retail net assets include building and improvements, retail inventory for stores operated by the Company and other related assets and liabilities. The Company transferred all interests as lessor in third-party retail store leases to the Retail Joint Venture as part of the transaction and the majority of the retail stores previously operated by the Company are now operated under a master lease agreement between Wynn Retail, as lessee, and the Retail Joint Venture, as lessor (the "Master Lease"). As a result of the transaction, the Company's financial results will no longer reflect the retail operations associated with the distributed retail net assets. The income before income taxes from the retail operations was $27.4 million during the year ended December 31, 2016.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Also in December 2016, Wynn Resorts entered into an agreement with Crown to form a joint venture that will own and operate approximately 73,000 square feet of additional retail space that is currently under construction at Wynn Las Vegas. The Company expects to transfer certain assets and liabilities associated with the additional retail space to Wynn Resorts prior to opening for business in the first quarter of 2018. As of December 31, 2016, the Company has $19.5 million in construction progress associated with the additional retail space under construction.</w:t>
      </w:r>
    </w:p>
    <w:p>
      <w:pPr>
        <w:spacing w:after="0" w:line="171" w:lineRule="exact"/>
        <w:rPr>
          <w:sz w:val="20"/>
          <w:szCs w:val="20"/>
          <w:color w:val="auto"/>
        </w:rPr>
      </w:pPr>
    </w:p>
    <w:p>
      <w:pPr>
        <w:ind w:right="140" w:firstLine="405"/>
        <w:spacing w:after="0" w:line="308" w:lineRule="auto"/>
        <w:rPr>
          <w:sz w:val="20"/>
          <w:szCs w:val="20"/>
          <w:color w:val="auto"/>
        </w:rPr>
      </w:pPr>
      <w:r>
        <w:rPr>
          <w:rFonts w:ascii="Arial" w:cs="Arial" w:eastAsia="Arial" w:hAnsi="Arial"/>
          <w:sz w:val="17"/>
          <w:szCs w:val="17"/>
          <w:color w:val="auto"/>
        </w:rPr>
        <w:t>In connection with the Retail Joint Venture, Wynn Las Vegas, LLC agreed to guarantee the full and timely payment of all amounts due by Wynn Retail to the Retail Joint Venture under the Master Lease, not to exceed $75 million, and expenses relating to the enforcement of lessor's rights.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December 31, 2015, the Company distributed cash of $170.0 million to Wynn Resorts.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During the year ended December 31, 2014, the Company distributed cash of $74.9 million and its equity interest of $3.6 million in Las Vegas Jet, LLC, a wholly owned subsidiary, to Wynn Resorts.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Quarterly Financial Information (Unaudited)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presents selected quarterly financial information for 2016 and 2015, as previously reported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2016</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389,435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427,103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1,616,519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45,012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46,361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46,960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39,960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178,293</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6,729</w:t>
            </w:r>
          </w:p>
        </w:tc>
      </w:tr>
      <w:tr>
        <w:trPr>
          <w:trHeight w:val="399"/>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2015</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387,030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423,436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1,612,831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47,600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58,502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52,692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60,072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218,866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(85,622)</w:t>
            </w:r>
          </w:p>
        </w:tc>
      </w:tr>
      <w:tr>
        <w:trPr>
          <w:trHeight w:val="675"/>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440"/>
        <w:spacing w:after="0" w:line="269" w:lineRule="auto"/>
        <w:tabs>
          <w:tab w:leader="none" w:pos="857"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2016,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82" w:lineRule="exact"/>
        <w:rPr>
          <w:rFonts w:ascii="Arial" w:cs="Arial" w:eastAsia="Arial" w:hAnsi="Arial"/>
          <w:sz w:val="17"/>
          <w:szCs w:val="17"/>
          <w:color w:val="auto"/>
        </w:rPr>
      </w:pPr>
    </w:p>
    <w:p>
      <w:pPr>
        <w:ind w:right="220" w:firstLine="440"/>
        <w:spacing w:after="0" w:line="277" w:lineRule="auto"/>
        <w:tabs>
          <w:tab w:leader="none" w:pos="68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2016. In making this assessment, management used the criteria set forth by the Committee of Sponsoring Organizations of the Treadway Commission (2013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our assessment, management believes that, as of December 31, 2016, the Company's internal control over financial reporting was effective.</w:t>
      </w:r>
    </w:p>
    <w:p>
      <w:pPr>
        <w:spacing w:after="0" w:line="2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81" w:lineRule="exact"/>
        <w:rPr>
          <w:sz w:val="20"/>
          <w:szCs w:val="20"/>
          <w:color w:val="auto"/>
        </w:rPr>
      </w:pPr>
    </w:p>
    <w:p>
      <w:pPr>
        <w:ind w:right="160" w:firstLine="440"/>
        <w:spacing w:after="0" w:line="286" w:lineRule="auto"/>
        <w:tabs>
          <w:tab w:leader="none" w:pos="857"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have not been any changes in the Company's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Aggregate Fees</w:t>
            </w:r>
          </w:p>
        </w:tc>
        <w:tc>
          <w:tcPr>
            <w:tcW w:w="9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years ended December 31, 2016 and 2015. "Audit fees" also includes amounts billed for services provided in connection with debt offerings in 2015. "Tax fees" include amounts billed for domestic tax planning.</w:t>
      </w:r>
    </w:p>
    <w:p>
      <w:pPr>
        <w:spacing w:after="0" w:line="181"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All of the principal accounting fees and services were pre-approved by the Audit Committee in 2016 and 2015. The Audit Committee pre-approves services either by: (1) approving a request from management to engage our principal auditors for a specific project at a specific fee or rate or (2) pre-approving certain types of services that would comprise the fees within each of the above categories at our principal auditor's usual and customary rates.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70" w:lineRule="exact"/>
        <w:rPr>
          <w:sz w:val="20"/>
          <w:szCs w:val="20"/>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Balance Sheets as of December 31, 2016 and 2015</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2016, 2015 and 2014</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Member's Deficit for the years ended December 31, 2016, 2015 and 2014</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2016, 2015 and 2014</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25" w:lineRule="exact"/>
        <w:rPr>
          <w:sz w:val="20"/>
          <w:szCs w:val="20"/>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122" w:right="29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Provisions for</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4"/>
                <w:szCs w:val="14"/>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29,560</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Provisions for</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3"/>
                <w:szCs w:val="13"/>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January 1,</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Provisions for</w:t>
            </w:r>
          </w:p>
        </w:tc>
        <w:tc>
          <w:tcPr>
            <w:tcW w:w="13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Write-offs,</w:t>
            </w:r>
          </w:p>
        </w:tc>
        <w:tc>
          <w:tcPr>
            <w:tcW w:w="120" w:type="dxa"/>
            <w:vAlign w:val="bottom"/>
          </w:tcPr>
          <w:p>
            <w:pPr>
              <w:spacing w:after="0"/>
              <w:rPr>
                <w:sz w:val="13"/>
                <w:szCs w:val="13"/>
                <w:color w:val="auto"/>
              </w:rPr>
            </w:pPr>
          </w:p>
        </w:tc>
        <w:tc>
          <w:tcPr>
            <w:tcW w:w="102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Doubtful</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Net of</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Accounts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675"/>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8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122" w:right="13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r>
      <w:tr>
        <w:trPr>
          <w:trHeight w:val="250"/>
        </w:trPr>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 No.</w:t>
            </w:r>
          </w:p>
        </w:tc>
        <w:tc>
          <w:tcPr>
            <w:tcW w:w="8040" w:type="dxa"/>
            <w:vAlign w:val="bottom"/>
          </w:tcPr>
          <w:p>
            <w:pPr>
              <w:ind w:left="3600"/>
              <w:spacing w:after="0"/>
              <w:rPr>
                <w:sz w:val="20"/>
                <w:szCs w:val="20"/>
                <w:color w:val="auto"/>
              </w:rPr>
            </w:pPr>
            <w:r>
              <w:rPr>
                <w:rFonts w:ascii="Arial" w:cs="Arial" w:eastAsia="Arial" w:hAnsi="Arial"/>
                <w:sz w:val="14"/>
                <w:szCs w:val="14"/>
                <w:b w:val="1"/>
                <w:bCs w:val="1"/>
                <w:color w:val="auto"/>
              </w:rPr>
              <w:t>Description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Filing Date</w:t>
            </w:r>
          </w:p>
        </w:tc>
      </w:tr>
      <w:tr>
        <w:trPr>
          <w:trHeight w:val="378"/>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8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Fourth Restated Articles of Organization of Wynn Las Vegas, LLC.</w:t>
            </w: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9/3/2015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Third Amended and Restated Operating Agreement of Wynn Las Vegas,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9/3/2015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6"/>
              </w:rPr>
              <w:t>Certificate of Second Amended and Restated Articles of Incorporation of Wynn Las Vegas Capital Corp.</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2/29/2016</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First Amended and Restated Bylaws of Wynn Las Vegas Capital Corp.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First Amendment to the First Amended and Restated Bylaws of Wynn Las Vegas Capital Corp.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Second Amendment to the First Amended and Restated Bylaws of Wynn Las Vegas Capital Corp.</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Certificate of Second Amended and Restated Articles of Organization of Kevyn,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Third Amended and Restated Operating Agreement of Kevyn,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2/22/2008</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Certificate of Amended and Restated Articles of Organization of Wynn Sunrise,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3.10</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First Amended and Restated Operating Agreement of Wynn Sunrise, LLC.</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Certificate of Third Amended and Restated Articles of Organization of World Travel,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Second Amended and Restated Operating Agreement of World Travel, LLC.</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3.13</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7"/>
              </w:rPr>
              <w:t>Certificate of Second Amended and Restated Articles of Organization of Wynn Show Performers, LLC.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3.14</w:t>
            </w:r>
          </w:p>
        </w:tc>
        <w:tc>
          <w:tcPr>
            <w:tcW w:w="120" w:type="dxa"/>
            <w:vAlign w:val="bottom"/>
          </w:tcPr>
          <w:p>
            <w:pPr>
              <w:spacing w:after="0"/>
              <w:rPr>
                <w:sz w:val="23"/>
                <w:szCs w:val="23"/>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First Amended and Restated Operating Agreement of Wynn Show Performers, LLC.</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S-4</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4/13/2005</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7"/>
              </w:rPr>
              <w:t>Indenture, dated as of March 12, 2012, by and among Wynn Las Vegas, LLC, Wynn Las Vegas Capital</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3/13/2012</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Corp., the Guarantors named therein and U.S. Bank National Association, as trustee.</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2"/>
              </w:rPr>
              <w:t>Indenture, dated as of May 22, 2013, by and among Wynn Las Vegas, LLC, Wynn Las Vegas Capital Corp.,</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5/22/2013</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the Guarantors named therein and the U.S. Bank National Association, as trustee.</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4"/>
              </w:rPr>
              <w:t>Indenture, dated as of February 18, 2015, by and among Wynn Las Vegas, LLC, Wynn Las Vegas Capital</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2/18/2015</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Corp., the Guarantors named therein and U.S. Bank National Association, as trustee.</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as of February 18, 2015, to Indenture, dated as of March 12, 2012, by and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2"/>
              </w:rPr>
              <w:t>among Wynn Las Vegas, LLC, Wynn Las Vegas Capital Corp., the Guarantors named therein and U.S. Bank</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National Association, as trustee.</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6"/>
              </w:rPr>
              <w:t>Supplemental Indenture, dated as of February 18, 2015, to Indenture, dated as of May 22, 2013, by and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2/27/2015</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2"/>
              </w:rPr>
              <w:t>among Wynn Las Vegas, LLC, Wynn Las Vegas Capital Corp., the Guarantors named therein and U.S. Bank</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National Association, as trustee.</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6"/>
              </w:rPr>
              <w:t>Amended and Restated Master Disbursement Agreement, dated as of October 25, 2007, by and among</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10/31/2007</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4"/>
              </w:rPr>
              <w:t>Wynn Las Vegas, LLC, Deutsche Bank Trust Company Americas, as the initial Bank Agent, and Deutsche</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Bank Trust Company Americas, as the initial disbursement agent.</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1"/>
              </w:rPr>
              <w:t>First Amendment to Amended and Restated Master Disbursement Agreement, dated as of October 31, 2007,</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11/1/2007</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4"/>
              </w:rPr>
              <w:t>by and among Wynn Las Vegas, LLC, Deutsche Bank Trust Company Americas, as the initial Bank Agent,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and Deutsche Bank Trust Company Americas, as the initial disbursement agent.</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2"/>
                <w:szCs w:val="22"/>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3"/>
              </w:rPr>
              <w:t>Second Amendment to Amended and Restated Master Disbursement Agreement, dated as of November 6,</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11/13/2007</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w w:val="93"/>
              </w:rPr>
              <w:t>2007, by and among Wynn Las Vegas, LLC, Deutsche Bank Trust Company Americas, as the Bank Agent,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Arial" w:cs="Arial" w:eastAsia="Arial" w:hAnsi="Arial"/>
                <w:sz w:val="18"/>
                <w:szCs w:val="18"/>
                <w:color w:val="auto"/>
              </w:rPr>
              <w:t>and Deutsche Bank Trust Company Americas, as the disbursement agent.</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8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40" w:type="dxa"/>
            <w:vAlign w:val="bottom"/>
          </w:tcPr>
          <w:p>
            <w:pPr>
              <w:ind w:left="4460"/>
              <w:spacing w:after="0"/>
              <w:rPr>
                <w:sz w:val="20"/>
                <w:szCs w:val="20"/>
                <w:color w:val="auto"/>
              </w:rPr>
            </w:pPr>
            <w:r>
              <w:rPr>
                <w:rFonts w:ascii="Arial" w:cs="Arial" w:eastAsia="Arial" w:hAnsi="Arial"/>
                <w:sz w:val="18"/>
                <w:szCs w:val="18"/>
                <w:color w:val="auto"/>
              </w:rPr>
              <w:t>62</w:t>
            </w: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80" w:hanging="825"/>
        <w:spacing w:after="0" w:line="286" w:lineRule="auto"/>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Third Amendment to Amended and Restated Master Disbursement Agreement, dated as of October 19, 2009, by and among Wynn Las Vegas, LLC, Deutsche Bank Trust Company Americas, as the Bank Agent, and Deutsche Bank Trust Company Americas, as the disbursement agent.</w:t>
      </w:r>
    </w:p>
    <w:p>
      <w:pPr>
        <w:spacing w:after="0" w:line="3" w:lineRule="exact"/>
        <w:rPr>
          <w:sz w:val="20"/>
          <w:szCs w:val="20"/>
          <w:color w:val="auto"/>
        </w:rPr>
      </w:pPr>
    </w:p>
    <w:p>
      <w:pPr>
        <w:ind w:left="1200" w:right="20" w:hanging="825"/>
        <w:spacing w:after="0" w:line="264" w:lineRule="auto"/>
        <w:tabs>
          <w:tab w:leader="none" w:pos="11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Fourth Amendment to Amended and Restated Master Disbursement Agreement, dated as of April 28, 2010, by and among Wynn Las Vegas, LLC, Deutsche Bank Trust Company Americas, as the Bank Agent, and Deutsche Bank Trust Company Americas, as the disbursement agent.</w:t>
      </w:r>
    </w:p>
    <w:p>
      <w:pPr>
        <w:spacing w:after="0" w:line="19" w:lineRule="exact"/>
        <w:rPr>
          <w:sz w:val="20"/>
          <w:szCs w:val="20"/>
          <w:color w:val="auto"/>
        </w:rPr>
      </w:pPr>
    </w:p>
    <w:p>
      <w:pPr>
        <w:ind w:left="1200" w:right="100" w:hanging="825"/>
        <w:spacing w:after="0" w:line="286" w:lineRule="auto"/>
        <w:tabs>
          <w:tab w:leader="none" w:pos="11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Fifth Amendment to Amended and Restated Master Disbursement Agreement, dated as of August 4, 2010, by and among Wynn Las Vegas, LLC, Deutsche Bank Trust Company Americas, as the Bank Agent, and Deutsche Bank Trust Company Americas, as the disbursement agent.</w:t>
      </w:r>
    </w:p>
    <w:p>
      <w:pPr>
        <w:spacing w:after="0" w:line="3" w:lineRule="exact"/>
        <w:rPr>
          <w:sz w:val="20"/>
          <w:szCs w:val="20"/>
          <w:color w:val="auto"/>
        </w:rPr>
      </w:pPr>
    </w:p>
    <w:p>
      <w:pPr>
        <w:ind w:left="1200" w:right="40" w:hanging="825"/>
        <w:spacing w:after="0" w:line="286" w:lineRule="auto"/>
        <w:tabs>
          <w:tab w:leader="none" w:pos="11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Sixth Amendment to Amended and Restated Master Disbursement Agreement, dated as of March 12, 2012, by and among Wynn Las Vegas, LLC, Deutsche Bank Trust Company Americas, as the Bank Agent, and Deutsche Bank Trust Company Americas, as the disbursement agent.</w:t>
      </w:r>
    </w:p>
    <w:p>
      <w:pPr>
        <w:spacing w:after="0" w:line="3" w:lineRule="exact"/>
        <w:rPr>
          <w:sz w:val="20"/>
          <w:szCs w:val="20"/>
          <w:color w:val="auto"/>
        </w:rPr>
      </w:pPr>
    </w:p>
    <w:p>
      <w:pPr>
        <w:ind w:left="1200" w:right="500" w:hanging="825"/>
        <w:spacing w:after="0" w:line="277" w:lineRule="auto"/>
        <w:tabs>
          <w:tab w:leader="none" w:pos="11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Sixth Amended and Restated Art Rental and Licensing Agreement, dated as of July 1, 2012, between Stephen A. Wynn, as lessor, and Wynn Las Vegas, LLC, as lessee.</w:t>
      </w:r>
    </w:p>
    <w:p>
      <w:pPr>
        <w:spacing w:after="0" w:line="8" w:lineRule="exact"/>
        <w:rPr>
          <w:sz w:val="20"/>
          <w:szCs w:val="20"/>
          <w:color w:val="auto"/>
        </w:rPr>
      </w:pPr>
    </w:p>
    <w:p>
      <w:pPr>
        <w:ind w:left="1200" w:hanging="825"/>
        <w:spacing w:after="0" w:line="277" w:lineRule="auto"/>
        <w:tabs>
          <w:tab w:leader="none" w:pos="11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Management Fee and Corporate Allocation Agreement, dated as of February 26, 2015, by and among Wynn Las Vegas, LLC and Wynn Resorts, Limited.</w:t>
      </w:r>
    </w:p>
    <w:p>
      <w:pPr>
        <w:spacing w:after="0" w:line="8" w:lineRule="exact"/>
        <w:rPr>
          <w:sz w:val="20"/>
          <w:szCs w:val="20"/>
          <w:color w:val="auto"/>
        </w:rPr>
      </w:pPr>
    </w:p>
    <w:p>
      <w:pPr>
        <w:ind w:left="1200" w:right="360" w:hanging="870"/>
        <w:spacing w:after="0" w:line="277" w:lineRule="auto"/>
        <w:tabs>
          <w:tab w:leader="none" w:pos="11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LLC, Wynn Resorts, Limited and Wynn Las Vegas, LLC.</w:t>
      </w:r>
    </w:p>
    <w:p>
      <w:pPr>
        <w:spacing w:after="0" w:line="8" w:lineRule="exact"/>
        <w:rPr>
          <w:sz w:val="20"/>
          <w:szCs w:val="20"/>
          <w:color w:val="auto"/>
        </w:rPr>
      </w:pPr>
    </w:p>
    <w:p>
      <w:pPr>
        <w:ind w:left="1200" w:right="40" w:hanging="867"/>
        <w:spacing w:after="0" w:line="277" w:lineRule="auto"/>
        <w:tabs>
          <w:tab w:leader="none" w:pos="11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2015 Intellectual Property License Agreement, dated as of February 26, 2015, by and among Wynn Resorts Holdings, LLC, Wynn Resorts, Limited and Wynn Las Vegas, LLC.</w:t>
      </w:r>
    </w:p>
    <w:p>
      <w:pPr>
        <w:spacing w:after="0" w:line="8" w:lineRule="exact"/>
        <w:rPr>
          <w:sz w:val="20"/>
          <w:szCs w:val="20"/>
          <w:color w:val="auto"/>
        </w:rPr>
      </w:pPr>
    </w:p>
    <w:p>
      <w:pPr>
        <w:ind w:left="1200" w:right="160" w:hanging="870"/>
        <w:spacing w:after="0" w:line="277" w:lineRule="auto"/>
        <w:tabs>
          <w:tab w:leader="none" w:pos="11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2013 Second Amended and Restated Agreement of Lease, dated as of November 7, 2013, by and between Wynn Las Vegas, LLC and Stephen A. Wynn.</w:t>
      </w:r>
    </w:p>
    <w:p>
      <w:pPr>
        <w:spacing w:after="0" w:line="8" w:lineRule="exact"/>
        <w:rPr>
          <w:sz w:val="20"/>
          <w:szCs w:val="20"/>
          <w:color w:val="auto"/>
        </w:rPr>
      </w:pPr>
    </w:p>
    <w:p>
      <w:pPr>
        <w:ind w:left="320"/>
        <w:spacing w:after="0"/>
        <w:tabs>
          <w:tab w:leader="none" w:pos="11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First Amendment to 2013 Second Amended and Restated Agreement of Lease, dated as of February 25,</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2015, by and between Wynn Las Vegas, LLC and Stephen A. Wynn.</w:t>
      </w:r>
    </w:p>
    <w:p>
      <w:pPr>
        <w:spacing w:after="0" w:line="49" w:lineRule="exact"/>
        <w:rPr>
          <w:sz w:val="20"/>
          <w:szCs w:val="20"/>
          <w:color w:val="auto"/>
        </w:rPr>
      </w:pPr>
    </w:p>
    <w:p>
      <w:pPr>
        <w:ind w:left="1200" w:right="240" w:hanging="870"/>
        <w:spacing w:after="0" w:line="277" w:lineRule="auto"/>
        <w:tabs>
          <w:tab w:leader="none" w:pos="11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Third Amended and Restated Agreement of Lease, dated as of December 1, 2016, by and between Wynn Las Vegas, LLC and Stephen A. Wynn.</w:t>
      </w:r>
    </w:p>
    <w:p>
      <w:pPr>
        <w:spacing w:after="0" w:line="8" w:lineRule="exact"/>
        <w:rPr>
          <w:sz w:val="20"/>
          <w:szCs w:val="20"/>
          <w:color w:val="auto"/>
        </w:rPr>
      </w:pPr>
    </w:p>
    <w:p>
      <w:pPr>
        <w:ind w:left="1200" w:right="180" w:hanging="870"/>
        <w:spacing w:after="0" w:line="279" w:lineRule="auto"/>
        <w:tabs>
          <w:tab w:leader="none" w:pos="11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w:t>
      </w:r>
    </w:p>
    <w:p>
      <w:pPr>
        <w:spacing w:after="0" w:line="9" w:lineRule="exact"/>
        <w:rPr>
          <w:sz w:val="20"/>
          <w:szCs w:val="20"/>
          <w:color w:val="auto"/>
        </w:rPr>
      </w:pPr>
    </w:p>
    <w:p>
      <w:pPr>
        <w:ind w:left="1200" w:hanging="870"/>
        <w:spacing w:after="0" w:line="253" w:lineRule="auto"/>
        <w:tabs>
          <w:tab w:leader="none" w:pos="11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w:t>
      </w:r>
    </w:p>
    <w:p>
      <w:pPr>
        <w:spacing w:after="0" w:line="35" w:lineRule="exact"/>
        <w:rPr>
          <w:sz w:val="20"/>
          <w:szCs w:val="20"/>
          <w:color w:val="auto"/>
        </w:rPr>
      </w:pPr>
    </w:p>
    <w:p>
      <w:pPr>
        <w:ind w:left="1200" w:hanging="870"/>
        <w:spacing w:after="0" w:line="279" w:lineRule="auto"/>
        <w:tabs>
          <w:tab w:leader="none" w:pos="11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7"/>
          <w:szCs w:val="17"/>
          <w:color w:val="auto"/>
        </w:rPr>
        <w:t>First Amendment to Credit Agreement, dated as of November 5, 2015, by and among Wynn America, LLC, as borrower, the Guarantors listed therein, Deutsche Bank AG New York Branch, as administrative agent on behalf of the several banks and other financial institutions or entities from time to time party to Wynn America, LLC's Credit Agreement, dated as of November 20, 2014.</w:t>
      </w:r>
    </w:p>
    <w:p>
      <w:pPr>
        <w:spacing w:after="0" w:line="9" w:lineRule="exact"/>
        <w:rPr>
          <w:sz w:val="20"/>
          <w:szCs w:val="20"/>
          <w:color w:val="auto"/>
        </w:rPr>
      </w:pPr>
    </w:p>
    <w:p>
      <w:pPr>
        <w:ind w:left="1200" w:right="180" w:hanging="870"/>
        <w:spacing w:after="0" w:line="279" w:lineRule="auto"/>
        <w:tabs>
          <w:tab w:leader="none" w:pos="11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Second Amendment to Credit Agreement, dated as of December 21, 2015, by and among Wynn America, LLC, as borrower, the Guarantors listed therein, Deutsche Bank AG New York Branch, as administrative agent on behalf of the several banks and other financial institutions or entities from time to time party to Wynn America, LLC's Credit Agreement, dated as of November 20, 2014.</w:t>
      </w:r>
    </w:p>
    <w:p>
      <w:pPr>
        <w:spacing w:after="0" w:line="9" w:lineRule="exact"/>
        <w:rPr>
          <w:sz w:val="20"/>
          <w:szCs w:val="20"/>
          <w:color w:val="auto"/>
        </w:rPr>
      </w:pPr>
    </w:p>
    <w:p>
      <w:pPr>
        <w:ind w:left="1200" w:right="80" w:hanging="870"/>
        <w:spacing w:after="0" w:line="279" w:lineRule="auto"/>
        <w:tabs>
          <w:tab w:leader="none" w:pos="11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Third Amendment to Credit Agreement, dated as of June 21,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10/20/2009</w:t>
            </w:r>
          </w:p>
        </w:tc>
      </w:tr>
      <w:tr>
        <w:trPr>
          <w:trHeight w:val="70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4/28/2010</w:t>
            </w:r>
          </w:p>
        </w:tc>
      </w:tr>
      <w:tr>
        <w:trPr>
          <w:trHeight w:val="702"/>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3/1/2013</w:t>
            </w:r>
          </w:p>
        </w:tc>
      </w:tr>
      <w:tr>
        <w:trPr>
          <w:trHeight w:val="702"/>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3/13/2012</w:t>
            </w:r>
          </w:p>
        </w:tc>
      </w:tr>
      <w:tr>
        <w:trPr>
          <w:trHeight w:val="702"/>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11/9/2012</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2/27/2015</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5/15/2005</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5/8/2015</w:t>
            </w:r>
          </w:p>
        </w:tc>
      </w:tr>
      <w:tr>
        <w:trPr>
          <w:trHeight w:val="486"/>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11/14/2013</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2/27/2015</w:t>
            </w:r>
          </w:p>
        </w:tc>
      </w:tr>
      <w:tr>
        <w:trPr>
          <w:trHeight w:val="486"/>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rPr>
              <w:t>*</w:t>
            </w:r>
          </w:p>
        </w:tc>
      </w:tr>
      <w:tr>
        <w:trPr>
          <w:trHeight w:val="486"/>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3/13/2012</w:t>
            </w:r>
          </w:p>
        </w:tc>
      </w:tr>
      <w:tr>
        <w:trPr>
          <w:trHeight w:val="91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2/27/2015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6"/>
          <w:szCs w:val="16"/>
          <w:color w:val="auto"/>
        </w:rPr>
        <w:t>2/29/2016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6"/>
          <w:szCs w:val="16"/>
          <w:color w:val="auto"/>
        </w:rPr>
        <w:t>2/29/2016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6"/>
          <w:szCs w:val="16"/>
          <w:color w:val="auto"/>
        </w:rPr>
        <w:t>8/9/2016</w:t>
      </w:r>
    </w:p>
    <w:p>
      <w:pPr>
        <w:sectPr>
          <w:pgSz w:w="11900" w:h="16838" w:orient="portrait"/>
          <w:cols w:equalWidth="0" w:num="2">
            <w:col w:w="8980" w:space="440"/>
            <w:col w:w="1780"/>
          </w:cols>
          <w:pgMar w:left="240" w:top="122" w:right="4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120" w:hanging="870"/>
        <w:spacing w:after="0" w:line="279" w:lineRule="auto"/>
        <w:tabs>
          <w:tab w:leader="none" w:pos="11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7"/>
          <w:szCs w:val="17"/>
          <w:color w:val="auto"/>
        </w:rPr>
        <w:t>Fourth Amendment to Credit Agreement, dated as of July 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9" w:lineRule="exact"/>
        <w:rPr>
          <w:sz w:val="20"/>
          <w:szCs w:val="20"/>
          <w:color w:val="auto"/>
        </w:rPr>
      </w:pPr>
    </w:p>
    <w:p>
      <w:pPr>
        <w:jc w:val="both"/>
        <w:ind w:left="1200" w:hanging="870"/>
        <w:spacing w:after="0" w:line="277" w:lineRule="auto"/>
        <w:tabs>
          <w:tab w:leader="none" w:pos="11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Completion Guaranty, dated as of November 20, 2014, by and among Wynn Resorts, Limited, and Deutsche Bank AG New York Branch, as administrative agent.</w:t>
      </w:r>
    </w:p>
    <w:p>
      <w:pPr>
        <w:spacing w:after="0" w:line="8" w:lineRule="exact"/>
        <w:rPr>
          <w:sz w:val="20"/>
          <w:szCs w:val="20"/>
          <w:color w:val="auto"/>
        </w:rPr>
      </w:pPr>
    </w:p>
    <w:p>
      <w:pPr>
        <w:jc w:val="both"/>
        <w:ind w:left="1200" w:hanging="870"/>
        <w:spacing w:after="0" w:line="264" w:lineRule="auto"/>
        <w:tabs>
          <w:tab w:leader="none" w:pos="11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Security Agreement, dated as of November 20, 2014, by and among Wynn America, LLC, Wynn Las Vegas Holdings, LLC, Everett Property, LLC and Wynn MA, LLC, as pledgors, and Deutsche Bank AG New York Branch, as collateral agent.</w:t>
      </w:r>
    </w:p>
    <w:p>
      <w:pPr>
        <w:spacing w:after="0" w:line="19"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63"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63"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200" w:right="160" w:hanging="807"/>
        <w:spacing w:after="0" w:line="272" w:lineRule="auto"/>
        <w:tabs>
          <w:tab w:leader="none" w:pos="12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Annual Report on Form 10-K for the year ended December 31, 2015, filed with the SEC on February 28, 2017 formatted in Extensible Business Reporting Language (XBRL): (i) the Consolidated Balance Sheets as of December 31, 2016 and 2015, (ii) the Consolidated Statements of Comprehensive Loss for the years ended December 31, 2016, 2015 and 2014, (iii) the Consolidated Statements of Member's Deficit as of December 31, 2016, 2015 and 2014, (iv) the Consolidated Statements of Cash Flows for the years ended December 31, 2016, 2015 and 2014, and (iv) Notes to Consolidated Financial Statements.</w:t>
      </w:r>
    </w:p>
    <w:p>
      <w:pPr>
        <w:spacing w:after="0" w:line="30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10-Q</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91"/>
              </w:rPr>
              <w:t>8/9/2016</w:t>
            </w:r>
          </w:p>
        </w:tc>
      </w:tr>
      <w:tr>
        <w:trPr>
          <w:trHeight w:val="918"/>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89"/>
              </w:rPr>
              <w:t>2/27/2015</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w w:val="89"/>
              </w:rPr>
              <w:t>2/27/2015</w:t>
            </w:r>
          </w:p>
        </w:tc>
      </w:tr>
      <w:tr>
        <w:trPr>
          <w:trHeight w:val="702"/>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1040" w:type="dxa"/>
            <w:vAlign w:val="bottom"/>
          </w:tcPr>
          <w:p>
            <w:pPr>
              <w:jc w:val="center"/>
              <w:ind w:left="2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9000" w:space="420"/>
            <w:col w:w="1740"/>
          </w:cols>
          <w:pgMar w:left="240" w:top="122" w:right="49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122" w:right="439" w:bottom="1440" w:gutter="0" w:footer="0" w:header="0"/>
        </w:sect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Dated: February 24, 2017</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WYNN LAS VEGAS, LLC</w:t>
      </w:r>
    </w:p>
    <w:p>
      <w:pPr>
        <w:spacing w:after="0" w:line="200" w:lineRule="exact"/>
        <w:rPr>
          <w:sz w:val="20"/>
          <w:szCs w:val="20"/>
          <w:color w:val="auto"/>
        </w:rPr>
      </w:pPr>
    </w:p>
    <w:p>
      <w:pPr>
        <w:sectPr>
          <w:pgSz w:w="11900" w:h="16838" w:orient="portrait"/>
          <w:cols w:equalWidth="0" w:num="2">
            <w:col w:w="5860" w:space="720"/>
            <w:col w:w="4640"/>
          </w:cols>
          <w:pgMar w:left="240" w:top="122" w:right="439" w:bottom="1440" w:gutter="0" w:footer="0" w:header="0"/>
          <w:type w:val="continuous"/>
        </w:sect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31750</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780" w:space="460"/>
            <w:col w:w="3980"/>
          </w:cols>
          <w:pgMar w:left="240" w:top="122" w:right="43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Title</w:t>
            </w:r>
          </w:p>
        </w:tc>
        <w:tc>
          <w:tcPr>
            <w:tcW w:w="1620" w:type="dxa"/>
            <w:vAlign w:val="bottom"/>
            <w:gridSpan w:val="3"/>
          </w:tcPr>
          <w:p>
            <w:pPr>
              <w:ind w:left="1200"/>
              <w:spacing w:after="0"/>
              <w:rPr>
                <w:sz w:val="20"/>
                <w:szCs w:val="20"/>
                <w:color w:val="auto"/>
              </w:rPr>
            </w:pPr>
            <w:r>
              <w:rPr>
                <w:rFonts w:ascii="Arial" w:cs="Arial" w:eastAsia="Arial" w:hAnsi="Arial"/>
                <w:sz w:val="14"/>
                <w:szCs w:val="14"/>
                <w:color w:val="auto"/>
              </w:rPr>
              <w:t>Date</w:t>
            </w:r>
          </w:p>
        </w:tc>
      </w:tr>
      <w:tr>
        <w:trPr>
          <w:trHeight w:val="20"/>
        </w:trPr>
        <w:tc>
          <w:tcPr>
            <w:tcW w:w="1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840" w:type="dxa"/>
            <w:vAlign w:val="bottom"/>
          </w:tcPr>
          <w:p>
            <w:pPr>
              <w:ind w:left="280"/>
              <w:spacing w:after="0"/>
              <w:rPr>
                <w:sz w:val="20"/>
                <w:szCs w:val="20"/>
                <w:color w:val="auto"/>
              </w:rPr>
            </w:pPr>
            <w:r>
              <w:rPr>
                <w:rFonts w:ascii="Arial" w:cs="Arial" w:eastAsia="Arial" w:hAnsi="Arial"/>
                <w:sz w:val="18"/>
                <w:szCs w:val="18"/>
                <w:color w:val="auto"/>
                <w:w w:val="93"/>
              </w:rPr>
              <w:t>/s/ Stephen A. Wynn</w:t>
            </w: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Stephen A. Wynn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John J. Hagenbuch</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John J. Hagenbuch</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Dr. Ray R. Irani</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Jay L. Johnson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Jay L. Johnson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Maurice Wooden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President (Principal Executive Officer)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Maurice Wooden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7"/>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w w:val="97"/>
              </w:rPr>
              <w:t>Senior Vice President and Chief Financial Officer (Principal</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24, 2017</w:t>
            </w:r>
          </w:p>
        </w:tc>
      </w:tr>
      <w:tr>
        <w:trPr>
          <w:trHeight w:val="230"/>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Dean Lawrence</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Dean Lawrence</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38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122" w:right="4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AMENDED AND RESTATED AGREEMENT OF LEASE</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THIS THIRD AMENDED AND RESTATED AGREEMENT OF LEASE (this "</w:t>
      </w:r>
      <w:r>
        <w:rPr>
          <w:rFonts w:ascii="Arial" w:cs="Arial" w:eastAsia="Arial" w:hAnsi="Arial"/>
          <w:sz w:val="22"/>
          <w:szCs w:val="22"/>
          <w:u w:val="single" w:color="auto"/>
          <w:color w:val="auto"/>
        </w:rPr>
        <w:t>Lease</w:t>
      </w:r>
      <w:r>
        <w:rPr>
          <w:rFonts w:ascii="Arial" w:cs="Arial" w:eastAsia="Arial" w:hAnsi="Arial"/>
          <w:sz w:val="22"/>
          <w:szCs w:val="22"/>
          <w:color w:val="auto"/>
        </w:rPr>
        <w:t>") is entered into on the 1st day of December, 2016,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22"/>
          <w:szCs w:val="22"/>
          <w:u w:val="single" w:color="auto"/>
          <w:color w:val="auto"/>
        </w:rPr>
        <w:t>Lessor</w:t>
      </w:r>
      <w:r>
        <w:rPr>
          <w:rFonts w:ascii="Arial" w:cs="Arial" w:eastAsia="Arial" w:hAnsi="Arial"/>
          <w:sz w:val="22"/>
          <w:szCs w:val="22"/>
          <w:color w:val="auto"/>
        </w:rPr>
        <w:t>"), and Stephen A. Wynn, an individual, having his current residence at 3131 Las Vegas Boulevard South, Las Vegas, Nevada 89109, as lessee ("</w:t>
      </w:r>
      <w:r>
        <w:rPr>
          <w:rFonts w:ascii="Arial" w:cs="Arial" w:eastAsia="Arial" w:hAnsi="Arial"/>
          <w:sz w:val="22"/>
          <w:szCs w:val="22"/>
          <w:u w:val="single" w:color="auto"/>
          <w:color w:val="auto"/>
        </w:rPr>
        <w:t>Lessee</w:t>
      </w:r>
      <w:r>
        <w:rPr>
          <w:rFonts w:ascii="Arial" w:cs="Arial" w:eastAsia="Arial" w:hAnsi="Arial"/>
          <w:sz w:val="22"/>
          <w:szCs w:val="22"/>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56"/>
        <w:spacing w:after="0" w:line="246" w:lineRule="auto"/>
        <w:tabs>
          <w:tab w:leader="none" w:pos="1161" w:val="left"/>
        </w:tabs>
        <w:numPr>
          <w:ilvl w:val="0"/>
          <w:numId w:val="30"/>
        </w:numPr>
        <w:rPr>
          <w:rFonts w:ascii="Arial" w:cs="Arial" w:eastAsia="Arial" w:hAnsi="Arial"/>
          <w:sz w:val="22"/>
          <w:szCs w:val="22"/>
          <w:color w:val="auto"/>
        </w:rPr>
      </w:pPr>
      <w:r>
        <w:rPr>
          <w:rFonts w:ascii="Arial" w:cs="Arial" w:eastAsia="Arial" w:hAnsi="Arial"/>
          <w:sz w:val="22"/>
          <w:szCs w:val="22"/>
          <w:color w:val="auto"/>
        </w:rPr>
        <w:t>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22"/>
          <w:szCs w:val="22"/>
          <w:u w:val="single" w:color="auto"/>
          <w:color w:val="auto"/>
        </w:rPr>
        <w:t>Resort</w:t>
      </w:r>
      <w:r>
        <w:rPr>
          <w:rFonts w:ascii="Arial" w:cs="Arial" w:eastAsia="Arial" w:hAnsi="Arial"/>
          <w:sz w:val="22"/>
          <w:szCs w:val="22"/>
          <w:color w:val="auto"/>
        </w:rPr>
        <w:t>").</w:t>
      </w:r>
    </w:p>
    <w:p>
      <w:pPr>
        <w:spacing w:after="0" w:line="208" w:lineRule="exact"/>
        <w:rPr>
          <w:rFonts w:ascii="Arial" w:cs="Arial" w:eastAsia="Arial" w:hAnsi="Arial"/>
          <w:sz w:val="22"/>
          <w:szCs w:val="22"/>
          <w:color w:val="auto"/>
        </w:rPr>
      </w:pPr>
    </w:p>
    <w:p>
      <w:pPr>
        <w:ind w:right="20" w:firstLine="656"/>
        <w:spacing w:after="0" w:line="249" w:lineRule="auto"/>
        <w:tabs>
          <w:tab w:leader="none" w:pos="1128" w:val="left"/>
        </w:tabs>
        <w:numPr>
          <w:ilvl w:val="0"/>
          <w:numId w:val="30"/>
        </w:numPr>
        <w:rPr>
          <w:rFonts w:ascii="Arial" w:cs="Arial" w:eastAsia="Arial" w:hAnsi="Arial"/>
          <w:sz w:val="22"/>
          <w:szCs w:val="22"/>
          <w:color w:val="auto"/>
        </w:rPr>
      </w:pPr>
      <w:r>
        <w:rPr>
          <w:rFonts w:ascii="Arial" w:cs="Arial" w:eastAsia="Arial" w:hAnsi="Arial"/>
          <w:sz w:val="22"/>
          <w:szCs w:val="22"/>
          <w:color w:val="auto"/>
        </w:rPr>
        <w:t>Lessee is a principal shareholder, Chairman of the Board of Directors and Chief Executive Officer of Wynn Resorts, Limited.</w:t>
      </w:r>
    </w:p>
    <w:p>
      <w:pPr>
        <w:spacing w:after="0" w:line="204" w:lineRule="exact"/>
        <w:rPr>
          <w:rFonts w:ascii="Arial" w:cs="Arial" w:eastAsia="Arial" w:hAnsi="Arial"/>
          <w:sz w:val="22"/>
          <w:szCs w:val="22"/>
          <w:color w:val="auto"/>
        </w:rPr>
      </w:pPr>
    </w:p>
    <w:p>
      <w:pPr>
        <w:ind w:firstLine="656"/>
        <w:spacing w:after="0" w:line="249" w:lineRule="auto"/>
        <w:tabs>
          <w:tab w:leader="none" w:pos="1161" w:val="left"/>
        </w:tabs>
        <w:numPr>
          <w:ilvl w:val="0"/>
          <w:numId w:val="30"/>
        </w:numPr>
        <w:rPr>
          <w:rFonts w:ascii="Arial" w:cs="Arial" w:eastAsia="Arial" w:hAnsi="Arial"/>
          <w:sz w:val="22"/>
          <w:szCs w:val="22"/>
          <w:color w:val="auto"/>
        </w:rPr>
      </w:pPr>
      <w:r>
        <w:rPr>
          <w:rFonts w:ascii="Arial" w:cs="Arial" w:eastAsia="Arial" w:hAnsi="Arial"/>
          <w:sz w:val="22"/>
          <w:szCs w:val="22"/>
          <w:color w:val="auto"/>
        </w:rPr>
        <w:t>Lessor and Lessee believe it is in Lessor’s best interests for Lessee to live in the Resort and that Lessee pay fair market value for his accommodations as set forth herein.</w:t>
      </w:r>
    </w:p>
    <w:p>
      <w:pPr>
        <w:spacing w:after="0" w:line="204" w:lineRule="exact"/>
        <w:rPr>
          <w:rFonts w:ascii="Arial" w:cs="Arial" w:eastAsia="Arial" w:hAnsi="Arial"/>
          <w:sz w:val="22"/>
          <w:szCs w:val="22"/>
          <w:color w:val="auto"/>
        </w:rPr>
      </w:pPr>
    </w:p>
    <w:p>
      <w:pPr>
        <w:jc w:val="both"/>
        <w:ind w:firstLine="656"/>
        <w:spacing w:after="0" w:line="246" w:lineRule="auto"/>
        <w:tabs>
          <w:tab w:leader="none" w:pos="11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Parties have entered into that certain 2013 Second Amended and Restated Agreement of Lease, dated as of November 7, 2013, as amended (the “</w:t>
      </w:r>
      <w:r>
        <w:rPr>
          <w:rFonts w:ascii="Arial" w:cs="Arial" w:eastAsia="Arial" w:hAnsi="Arial"/>
          <w:sz w:val="22"/>
          <w:szCs w:val="22"/>
          <w:u w:val="single" w:color="auto"/>
          <w:color w:val="auto"/>
        </w:rPr>
        <w:t>Existing Lease</w:t>
      </w:r>
      <w:r>
        <w:rPr>
          <w:rFonts w:ascii="Arial" w:cs="Arial" w:eastAsia="Arial" w:hAnsi="Arial"/>
          <w:sz w:val="22"/>
          <w:szCs w:val="22"/>
          <w:color w:val="auto"/>
        </w:rPr>
        <w:t>”), pursuant to which Lessee leases luxury villas in the Resort.</w:t>
      </w:r>
    </w:p>
    <w:p>
      <w:pPr>
        <w:spacing w:after="0" w:line="208" w:lineRule="exact"/>
        <w:rPr>
          <w:rFonts w:ascii="Arial" w:cs="Arial" w:eastAsia="Arial" w:hAnsi="Arial"/>
          <w:sz w:val="22"/>
          <w:szCs w:val="22"/>
          <w:color w:val="auto"/>
        </w:rPr>
      </w:pPr>
    </w:p>
    <w:p>
      <w:pPr>
        <w:ind w:firstLine="656"/>
        <w:spacing w:after="0" w:line="249" w:lineRule="auto"/>
        <w:tabs>
          <w:tab w:leader="none" w:pos="111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Parties desire to amend and restate the Existing Lease in its entirety to set forth their agreements with respect to Lessee’s lease of luxury villas in the Resort.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 as follows:</w:t>
      </w:r>
    </w:p>
    <w:p>
      <w:pPr>
        <w:spacing w:after="0" w:line="260" w:lineRule="exact"/>
        <w:rPr>
          <w:sz w:val="20"/>
          <w:szCs w:val="20"/>
          <w:color w:val="auto"/>
        </w:rPr>
      </w:pPr>
    </w:p>
    <w:p>
      <w:pPr>
        <w:jc w:val="both"/>
        <w:ind w:firstLine="656"/>
        <w:spacing w:after="0" w:line="245" w:lineRule="auto"/>
        <w:tabs>
          <w:tab w:leader="none" w:pos="1477"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Demise</w:t>
      </w:r>
      <w:r>
        <w:rPr>
          <w:rFonts w:ascii="Arial" w:cs="Arial" w:eastAsia="Arial" w:hAnsi="Arial"/>
          <w:sz w:val="22"/>
          <w:szCs w:val="22"/>
          <w:color w:val="auto"/>
        </w:rPr>
        <w:t>. Subject to the terms and conditions that follow, Lessor leases to Lessee, and Lessee leases from Lessor, two (2) luxury villas located in the Resort known as Fairway Villa Unit No. 200 and Fairway Villa Unit No. 300, with a combined total square footage of approximately 6,223 square feet, as currently improved, including all furniture and furnishings contained therein (collectively, the "</w:t>
      </w:r>
      <w:r>
        <w:rPr>
          <w:rFonts w:ascii="Arial" w:cs="Arial" w:eastAsia="Arial" w:hAnsi="Arial"/>
          <w:sz w:val="22"/>
          <w:szCs w:val="22"/>
          <w:u w:val="single" w:color="auto"/>
          <w:color w:val="auto"/>
        </w:rPr>
        <w:t>Villas</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jc w:val="both"/>
        <w:ind w:firstLine="656"/>
        <w:spacing w:after="0" w:line="252" w:lineRule="auto"/>
        <w:tabs>
          <w:tab w:leader="none" w:pos="1103"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Lease shall be effective as of November 3, 2016 (“</w:t>
      </w:r>
      <w:r>
        <w:rPr>
          <w:rFonts w:ascii="Arial" w:cs="Arial" w:eastAsia="Arial" w:hAnsi="Arial"/>
          <w:sz w:val="22"/>
          <w:szCs w:val="22"/>
          <w:u w:val="single" w:color="auto"/>
          <w:color w:val="auto"/>
        </w:rPr>
        <w:t>Effective Date</w:t>
      </w:r>
      <w:r>
        <w:rPr>
          <w:rFonts w:ascii="Arial" w:cs="Arial" w:eastAsia="Arial" w:hAnsi="Arial"/>
          <w:sz w:val="22"/>
          <w:szCs w:val="22"/>
          <w:color w:val="auto"/>
        </w:rPr>
        <w:t>”) and terminate concurrently with the term of Lessee’s Employment Agreement with Wynn Resorts, Limited (the “</w:t>
      </w:r>
      <w:r>
        <w:rPr>
          <w:rFonts w:ascii="Arial" w:cs="Arial" w:eastAsia="Arial" w:hAnsi="Arial"/>
          <w:sz w:val="22"/>
          <w:szCs w:val="22"/>
          <w:u w:val="single" w:color="auto"/>
          <w:color w:val="auto"/>
        </w:rPr>
        <w:t>Term</w:t>
      </w:r>
      <w:r>
        <w:rPr>
          <w:rFonts w:ascii="Arial" w:cs="Arial" w:eastAsia="Arial" w:hAnsi="Arial"/>
          <w:sz w:val="22"/>
          <w:szCs w:val="22"/>
          <w:color w:val="auto"/>
        </w:rPr>
        <w:t>”); provided that, either party may terminate the Lease upon ninety (90) days prior written notice to the other.</w:t>
      </w:r>
    </w:p>
    <w:p>
      <w:pPr>
        <w:spacing w:after="0" w:line="202" w:lineRule="exact"/>
        <w:rPr>
          <w:rFonts w:ascii="Arial" w:cs="Arial" w:eastAsia="Arial" w:hAnsi="Arial"/>
          <w:sz w:val="22"/>
          <w:szCs w:val="22"/>
          <w:color w:val="auto"/>
        </w:rPr>
      </w:pPr>
    </w:p>
    <w:p>
      <w:pPr>
        <w:ind w:left="1020" w:hanging="364"/>
        <w:spacing w:after="0"/>
        <w:tabs>
          <w:tab w:leader="none" w:pos="102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Rental Value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47" w:lineRule="auto"/>
        <w:tabs>
          <w:tab w:leader="none" w:pos="1809"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Commencing on the Effective Date and ending on November 2, 2018, Lessee shall pay to Lessor rent for the Villas of Three Hundred and Five Thousand Six Hundred Eighty Dollars ($305,680) per year (the “</w:t>
      </w:r>
      <w:r>
        <w:rPr>
          <w:rFonts w:ascii="Arial" w:cs="Arial" w:eastAsia="Arial" w:hAnsi="Arial"/>
          <w:sz w:val="22"/>
          <w:szCs w:val="22"/>
          <w:u w:val="single" w:color="auto"/>
          <w:color w:val="auto"/>
        </w:rPr>
        <w:t>Rental Value</w:t>
      </w:r>
      <w:r>
        <w:rPr>
          <w:rFonts w:ascii="Arial" w:cs="Arial" w:eastAsia="Arial" w:hAnsi="Arial"/>
          <w:sz w:val="22"/>
          <w:szCs w:val="22"/>
          <w:color w:val="auto"/>
        </w:rPr>
        <w:t>”). The Rental Value shall be equal to the fair market value of the accommodations provided. The Rental Value of the Villas shall be re-determined every two (2) years during the Term, based upon a valuation completed by an independent real estate expert practicing in the greater Las Vegas area or other qualified independent expert approved by the Audit Committee.</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33" w:right="239" w:bottom="1440" w:gutter="0" w:footer="0" w:header="0"/>
          <w:type w:val="continuous"/>
        </w:sectPr>
      </w:pPr>
    </w:p>
    <w:bookmarkStart w:id="66" w:name="page67"/>
    <w:bookmarkEnd w:id="66"/>
    <w:p>
      <w:pPr>
        <w:jc w:val="both"/>
        <w:ind w:left="660" w:firstLine="645"/>
        <w:spacing w:after="0" w:line="247" w:lineRule="auto"/>
        <w:tabs>
          <w:tab w:leader="none" w:pos="1781" w:val="left"/>
        </w:tabs>
        <w:numPr>
          <w:ilvl w:val="1"/>
          <w:numId w:val="32"/>
        </w:numPr>
        <w:rPr>
          <w:rFonts w:ascii="Arial" w:cs="Arial" w:eastAsia="Arial" w:hAnsi="Arial"/>
          <w:sz w:val="22"/>
          <w:szCs w:val="22"/>
          <w:color w:val="auto"/>
        </w:rPr>
      </w:pPr>
      <w:r>
        <w:rPr>
          <w:rFonts w:ascii="Arial" w:cs="Arial" w:eastAsia="Arial" w:hAnsi="Arial"/>
          <w:sz w:val="22"/>
          <w:szCs w:val="22"/>
          <w:color w:val="auto"/>
        </w:rPr>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207" w:lineRule="exact"/>
        <w:rPr>
          <w:rFonts w:ascii="Arial" w:cs="Arial" w:eastAsia="Arial" w:hAnsi="Arial"/>
          <w:sz w:val="22"/>
          <w:szCs w:val="22"/>
          <w:color w:val="auto"/>
        </w:rPr>
      </w:pPr>
    </w:p>
    <w:p>
      <w:pPr>
        <w:jc w:val="both"/>
        <w:ind w:left="660" w:firstLine="645"/>
        <w:spacing w:after="0" w:line="252" w:lineRule="auto"/>
        <w:tabs>
          <w:tab w:leader="none" w:pos="1917"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202" w:lineRule="exact"/>
        <w:rPr>
          <w:rFonts w:ascii="Arial" w:cs="Arial" w:eastAsia="Arial" w:hAnsi="Arial"/>
          <w:sz w:val="22"/>
          <w:szCs w:val="22"/>
          <w:color w:val="auto"/>
        </w:rPr>
      </w:pPr>
    </w:p>
    <w:p>
      <w:pPr>
        <w:jc w:val="both"/>
        <w:ind w:firstLine="656"/>
        <w:spacing w:after="0" w:line="252" w:lineRule="auto"/>
        <w:tabs>
          <w:tab w:leader="none" w:pos="1103"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Capital Improvements</w:t>
      </w:r>
      <w:r>
        <w:rPr>
          <w:rFonts w:ascii="Arial" w:cs="Arial" w:eastAsia="Arial" w:hAnsi="Arial"/>
          <w:sz w:val="22"/>
          <w:szCs w:val="22"/>
          <w:color w:val="auto"/>
        </w:rPr>
        <w:t>. Lessor shall pay for all capital improvements to the Villas. Lessor shall reimburse Lessee for all amounts paid by Lessee for capital improvements to the Villas. All Capital Improvements to the Villas shall be approved in advance by Lessor.</w:t>
      </w:r>
    </w:p>
    <w:p>
      <w:pPr>
        <w:spacing w:after="0" w:line="202" w:lineRule="exact"/>
        <w:rPr>
          <w:rFonts w:ascii="Arial" w:cs="Arial" w:eastAsia="Arial" w:hAnsi="Arial"/>
          <w:sz w:val="22"/>
          <w:szCs w:val="22"/>
          <w:color w:val="auto"/>
        </w:rPr>
      </w:pPr>
    </w:p>
    <w:p>
      <w:pPr>
        <w:jc w:val="both"/>
        <w:ind w:firstLine="656"/>
        <w:spacing w:after="0" w:line="258" w:lineRule="auto"/>
        <w:tabs>
          <w:tab w:leader="none" w:pos="1022"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Maintenance and Services</w:t>
      </w:r>
      <w:r>
        <w:rPr>
          <w:rFonts w:ascii="Arial" w:cs="Arial" w:eastAsia="Arial" w:hAnsi="Arial"/>
          <w:sz w:val="21"/>
          <w:szCs w:val="21"/>
          <w:color w:val="auto"/>
        </w:rPr>
        <w:t xml:space="preserve">. Lessor shall maintain the Villas and provide all services and utilities with respect thereto in a manner consistent with the Resort’s standards;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 Lessee shall also be permitted to use certain warehouse space owned by Lessor as part of Lessee’s rental of the Villas. All taxes and utilities with respect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202" w:lineRule="exact"/>
        <w:rPr>
          <w:rFonts w:ascii="Arial" w:cs="Arial" w:eastAsia="Arial" w:hAnsi="Arial"/>
          <w:sz w:val="21"/>
          <w:szCs w:val="21"/>
          <w:color w:val="auto"/>
        </w:rPr>
      </w:pPr>
    </w:p>
    <w:p>
      <w:pPr>
        <w:jc w:val="both"/>
        <w:ind w:firstLine="656"/>
        <w:spacing w:after="0" w:line="252" w:lineRule="auto"/>
        <w:tabs>
          <w:tab w:leader="none" w:pos="103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Alterations</w:t>
      </w:r>
      <w:r>
        <w:rPr>
          <w:rFonts w:ascii="Arial" w:cs="Arial" w:eastAsia="Arial" w:hAnsi="Arial"/>
          <w:sz w:val="22"/>
          <w:szCs w:val="22"/>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202" w:lineRule="exact"/>
        <w:rPr>
          <w:rFonts w:ascii="Arial" w:cs="Arial" w:eastAsia="Arial" w:hAnsi="Arial"/>
          <w:sz w:val="22"/>
          <w:szCs w:val="22"/>
          <w:color w:val="auto"/>
        </w:rPr>
      </w:pPr>
    </w:p>
    <w:p>
      <w:pPr>
        <w:ind w:firstLine="656"/>
        <w:spacing w:after="0" w:line="262" w:lineRule="auto"/>
        <w:tabs>
          <w:tab w:leader="none" w:pos="1009"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No Assignment or Subletting</w:t>
      </w:r>
      <w:r>
        <w:rPr>
          <w:rFonts w:ascii="Arial" w:cs="Arial" w:eastAsia="Arial" w:hAnsi="Arial"/>
          <w:sz w:val="22"/>
          <w:szCs w:val="22"/>
          <w:color w:val="auto"/>
        </w:rPr>
        <w:t>. Lessee shall have no right to assign his interest in this Lease or to sublet all or any portion of the Villas for any period.</w:t>
      </w:r>
    </w:p>
    <w:p>
      <w:pPr>
        <w:spacing w:after="0" w:line="190" w:lineRule="exact"/>
        <w:rPr>
          <w:rFonts w:ascii="Arial" w:cs="Arial" w:eastAsia="Arial" w:hAnsi="Arial"/>
          <w:sz w:val="22"/>
          <w:szCs w:val="22"/>
          <w:color w:val="auto"/>
        </w:rPr>
      </w:pPr>
    </w:p>
    <w:p>
      <w:pPr>
        <w:ind w:firstLine="656"/>
        <w:spacing w:after="0" w:line="262" w:lineRule="auto"/>
        <w:tabs>
          <w:tab w:leader="none" w:pos="102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Termination of Existing Lease</w:t>
      </w:r>
      <w:r>
        <w:rPr>
          <w:rFonts w:ascii="Arial" w:cs="Arial" w:eastAsia="Arial" w:hAnsi="Arial"/>
          <w:sz w:val="22"/>
          <w:szCs w:val="22"/>
          <w:color w:val="auto"/>
        </w:rPr>
        <w:t>. As of the Effective Date, the Existing Lease is terminated in its entirety and of no further force or effect.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90" w:right="239" w:bottom="1440" w:gutter="0" w:footer="0" w:header="0"/>
        </w:sectPr>
      </w:pPr>
    </w:p>
    <w:bookmarkStart w:id="67" w:name="page68"/>
    <w:bookmarkEnd w:id="67"/>
    <w:p>
      <w:pPr>
        <w:ind w:firstLine="648"/>
        <w:spacing w:after="0" w:line="249" w:lineRule="auto"/>
        <w:rPr>
          <w:sz w:val="20"/>
          <w:szCs w:val="20"/>
          <w:color w:val="auto"/>
        </w:rPr>
      </w:pPr>
      <w:r>
        <w:rPr>
          <w:rFonts w:ascii="Arial" w:cs="Arial" w:eastAsia="Arial" w:hAnsi="Arial"/>
          <w:sz w:val="22"/>
          <w:szCs w:val="22"/>
          <w:color w:val="auto"/>
        </w:rPr>
        <w:t>IN WITNESS WHEREOF, the parties have executed this Lease as of the day and year first written above. This Lease is subject to and shall become effective only upon approval by the Audit Committee.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Maurice Wooden</w:t>
            </w:r>
          </w:p>
        </w:tc>
        <w:tc>
          <w:tcPr>
            <w:tcW w:w="4240" w:type="dxa"/>
            <w:vAlign w:val="bottom"/>
          </w:tcPr>
          <w:p>
            <w:pPr>
              <w:spacing w:after="0"/>
              <w:rPr>
                <w:sz w:val="21"/>
                <w:szCs w:val="21"/>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Stephen A. Wynn</w:t>
            </w:r>
          </w:p>
        </w:tc>
      </w:tr>
      <w:tr>
        <w:trPr>
          <w:trHeight w:val="328"/>
        </w:trPr>
        <w:tc>
          <w:tcPr>
            <w:tcW w:w="1920" w:type="dxa"/>
            <w:vAlign w:val="bottom"/>
          </w:tcPr>
          <w:p>
            <w:pPr>
              <w:spacing w:after="0"/>
              <w:rPr>
                <w:sz w:val="20"/>
                <w:szCs w:val="20"/>
                <w:color w:val="auto"/>
              </w:rPr>
            </w:pPr>
            <w:r>
              <w:rPr>
                <w:rFonts w:ascii="Arial" w:cs="Arial" w:eastAsia="Arial" w:hAnsi="Arial"/>
                <w:sz w:val="22"/>
                <w:szCs w:val="22"/>
                <w:color w:val="auto"/>
              </w:rPr>
              <w:t>Maurice Wooden</w:t>
            </w:r>
          </w:p>
        </w:tc>
        <w:tc>
          <w:tcPr>
            <w:tcW w:w="424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2"/>
                <w:szCs w:val="22"/>
                <w:color w:val="auto"/>
              </w:rPr>
              <w:t>Stephen A. Wynn</w:t>
            </w:r>
          </w:p>
        </w:tc>
      </w:tr>
      <w:tr>
        <w:trPr>
          <w:trHeight w:val="297"/>
        </w:trPr>
        <w:tc>
          <w:tcPr>
            <w:tcW w:w="1920" w:type="dxa"/>
            <w:vAlign w:val="bottom"/>
          </w:tcPr>
          <w:p>
            <w:pPr>
              <w:spacing w:after="0"/>
              <w:rPr>
                <w:sz w:val="20"/>
                <w:szCs w:val="20"/>
                <w:color w:val="auto"/>
              </w:rPr>
            </w:pPr>
            <w:r>
              <w:rPr>
                <w:rFonts w:ascii="Arial" w:cs="Arial" w:eastAsia="Arial" w:hAnsi="Arial"/>
                <w:sz w:val="22"/>
                <w:szCs w:val="22"/>
                <w:color w:val="auto"/>
              </w:rPr>
              <w:t>President</w:t>
            </w:r>
          </w:p>
        </w:tc>
        <w:tc>
          <w:tcPr>
            <w:tcW w:w="4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783"/>
        </w:trPr>
        <w:tc>
          <w:tcPr>
            <w:tcW w:w="1920" w:type="dxa"/>
            <w:vAlign w:val="bottom"/>
          </w:tcPr>
          <w:p>
            <w:pPr>
              <w:spacing w:after="0"/>
              <w:rPr>
                <w:sz w:val="24"/>
                <w:szCs w:val="24"/>
                <w:color w:val="auto"/>
              </w:rPr>
            </w:pPr>
          </w:p>
        </w:tc>
        <w:tc>
          <w:tcPr>
            <w:tcW w:w="4240" w:type="dxa"/>
            <w:vAlign w:val="bottom"/>
          </w:tcPr>
          <w:p>
            <w:pPr>
              <w:jc w:val="right"/>
              <w:ind w:right="1232"/>
              <w:spacing w:after="0"/>
              <w:rPr>
                <w:sz w:val="20"/>
                <w:szCs w:val="20"/>
                <w:color w:val="auto"/>
              </w:rPr>
            </w:pPr>
            <w:r>
              <w:rPr>
                <w:rFonts w:ascii="Arial" w:cs="Arial" w:eastAsia="Arial" w:hAnsi="Arial"/>
                <w:sz w:val="22"/>
                <w:szCs w:val="22"/>
                <w:color w:val="auto"/>
              </w:rPr>
              <w:t>3</w:t>
            </w:r>
          </w:p>
        </w:tc>
        <w:tc>
          <w:tcPr>
            <w:tcW w:w="1960" w:type="dxa"/>
            <w:vAlign w:val="bottom"/>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980" w:hanging="97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 w:leader="none" w:pos="6660" w:val="left"/>
        </w:tabs>
        <w:rPr>
          <w:sz w:val="20"/>
          <w:szCs w:val="20"/>
          <w:color w:val="auto"/>
        </w:rPr>
      </w:pPr>
      <w:r>
        <w:rPr>
          <w:rFonts w:ascii="Arial" w:cs="Arial" w:eastAsia="Arial" w:hAnsi="Arial"/>
          <w:sz w:val="18"/>
          <w:szCs w:val="18"/>
          <w:color w:val="auto"/>
        </w:rPr>
        <w:t>Dated: February 24,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Maurice Wooden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Dean Lawrence, certify that:</w:t>
      </w:r>
    </w:p>
    <w:p>
      <w:pPr>
        <w:spacing w:after="0" w:line="90" w:lineRule="exact"/>
        <w:rPr>
          <w:sz w:val="20"/>
          <w:szCs w:val="20"/>
          <w:color w:val="auto"/>
        </w:rPr>
      </w:pPr>
    </w:p>
    <w:p>
      <w:pPr>
        <w:ind w:left="980" w:hanging="97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200" w:val="left"/>
          <w:tab w:leader="none" w:pos="6560" w:val="left"/>
        </w:tabs>
        <w:rPr>
          <w:sz w:val="20"/>
          <w:szCs w:val="20"/>
          <w:color w:val="auto"/>
        </w:rPr>
      </w:pPr>
      <w:r>
        <w:rPr>
          <w:rFonts w:ascii="Arial" w:cs="Arial" w:eastAsia="Arial" w:hAnsi="Arial"/>
          <w:sz w:val="18"/>
          <w:szCs w:val="18"/>
          <w:color w:val="auto"/>
        </w:rPr>
        <w:t>Dated: February 24,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Dean Lawrence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2016 as filed with the Securities and Exchange Commission on the date hereof (the “Report”), Maurice Wooden, as President of the Company, and Dean Lawrence, as Chief Financial Officer of the Company, each hereby certifies, pursuant to 18 U.S.C. Section 1350, as adopted pursuant to Section 906 of the Sarbanes-Oxley Act of 2002, that, to the best of his knowledge:</w:t>
      </w:r>
    </w:p>
    <w:p>
      <w:pPr>
        <w:spacing w:after="0" w:line="160" w:lineRule="exact"/>
        <w:rPr>
          <w:sz w:val="20"/>
          <w:szCs w:val="20"/>
          <w:color w:val="auto"/>
        </w:rPr>
      </w:pPr>
    </w:p>
    <w:p>
      <w:pPr>
        <w:ind w:left="1440" w:hanging="352"/>
        <w:spacing w:after="0"/>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440" w:hanging="352"/>
        <w:spacing w:after="0"/>
        <w:tabs>
          <w:tab w:leader="none" w:pos="1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74"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Maurice Wooden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24, 2017</w:t>
      </w:r>
    </w:p>
    <w:p>
      <w:pPr>
        <w:spacing w:after="0" w:line="373"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Dean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Dean Lawrence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Senior Vice President and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24,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2"/>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decimal"/>
      <w:start w:val="3"/>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3"/>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2"/>
      <w:numFmt w:val="decimal"/>
      <w:start w:val="101"/>
    </w:lvl>
  </w:abstractNum>
  <w:abstractNum w:abstractNumId="29">
    <w:nsid w:val="4516DDE9"/>
    <w:multiLevelType w:val="hybridMultilevel"/>
    <w:lvl w:ilvl="0">
      <w:lvlJc w:val="left"/>
      <w:lvlText w:val="%1."/>
      <w:numFmt w:val="upp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2"/>
    </w:lvl>
  </w:abstractNum>
  <w:abstractNum w:abstractNumId="32">
    <w:nsid w:val="419AC241"/>
    <w:multiLevelType w:val="hybridMultilevel"/>
    <w:lvl w:ilvl="0">
      <w:lvlJc w:val="left"/>
      <w:lvlText w:val="%1."/>
      <w:numFmt w:val="decimal"/>
      <w:start w:val="4"/>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2019-12-29T08:00:02Z</dcterms:created>
  <dcterms:modified xsi:type="dcterms:W3CDTF">2019-12-29T08:00:02Z</dcterms:modified>
</cp:coreProperties>
</file>