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222250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ind w:right="-1100"/>
        <w:spacing w:after="0"/>
        <w:rPr>
          <w:sz w:val="20"/>
          <w:szCs w:val="20"/>
          <w:color w:val="auto"/>
        </w:rPr>
      </w:pPr>
      <w:r>
        <w:rPr>
          <w:rFonts w:ascii="Arial" w:cs="Arial" w:eastAsia="Arial" w:hAnsi="Arial"/>
          <w:sz w:val="21"/>
          <w:szCs w:val="21"/>
          <w:b w:val="1"/>
          <w:bCs w:val="1"/>
          <w:color w:val="auto"/>
        </w:rPr>
        <w:t>UNITED STATES</w:t>
      </w:r>
    </w:p>
    <w:p>
      <w:pPr>
        <w:spacing w:after="0" w:line="20" w:lineRule="exact"/>
        <w:rPr>
          <w:sz w:val="24"/>
          <w:szCs w:val="24"/>
          <w:color w:val="auto"/>
        </w:rPr>
      </w:pPr>
    </w:p>
    <w:p>
      <w:pPr>
        <w:jc w:val="center"/>
        <w:ind w:right="-1100"/>
        <w:spacing w:after="0"/>
        <w:rPr>
          <w:sz w:val="20"/>
          <w:szCs w:val="20"/>
          <w:color w:val="auto"/>
        </w:rPr>
      </w:pPr>
      <w:r>
        <w:rPr>
          <w:rFonts w:ascii="Arial" w:cs="Arial" w:eastAsia="Arial" w:hAnsi="Arial"/>
          <w:sz w:val="21"/>
          <w:szCs w:val="21"/>
          <w:b w:val="1"/>
          <w:bCs w:val="1"/>
          <w:color w:val="auto"/>
        </w:rPr>
        <w:t>SECURITIES AND EXCHANGE COMMISSION</w:t>
      </w:r>
    </w:p>
    <w:p>
      <w:pPr>
        <w:jc w:val="center"/>
        <w:ind w:right="-110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165100</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00"/>
        <w:spacing w:after="0"/>
        <w:rPr>
          <w:sz w:val="20"/>
          <w:szCs w:val="20"/>
          <w:color w:val="auto"/>
        </w:rPr>
      </w:pPr>
      <w:r>
        <w:rPr>
          <w:rFonts w:ascii="Arial" w:cs="Arial" w:eastAsia="Arial" w:hAnsi="Arial"/>
          <w:sz w:val="21"/>
          <w:szCs w:val="21"/>
          <w:b w:val="1"/>
          <w:bCs w:val="1"/>
          <w:color w:val="auto"/>
        </w:rPr>
        <w:t>SCHEDULE 14A</w:t>
      </w:r>
    </w:p>
    <w:p>
      <w:pPr>
        <w:spacing w:after="0" w:line="228"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19"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161925</wp:posOffset>
            </wp:positionV>
            <wp:extent cx="69297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160"/>
        <w:spacing w:after="0" w:line="184" w:lineRule="exact"/>
        <w:tabs>
          <w:tab w:leader="none" w:pos="314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66" w:lineRule="exact"/>
        <w:rPr>
          <w:sz w:val="24"/>
          <w:szCs w:val="24"/>
          <w:color w:val="auto"/>
        </w:rPr>
      </w:pPr>
    </w:p>
    <w:p>
      <w:pPr>
        <w:ind w:left="160"/>
        <w:spacing w:after="0"/>
        <w:rPr>
          <w:sz w:val="20"/>
          <w:szCs w:val="20"/>
          <w:color w:val="auto"/>
        </w:rPr>
      </w:pPr>
      <w:r>
        <w:rPr>
          <w:rFonts w:ascii="Arial" w:cs="Arial" w:eastAsia="Arial" w:hAnsi="Arial"/>
          <w:sz w:val="16"/>
          <w:szCs w:val="16"/>
          <w:color w:val="auto"/>
        </w:rPr>
        <w:t>Check the appropriate box:</w:t>
      </w:r>
    </w:p>
    <w:p>
      <w:pPr>
        <w:spacing w:after="0" w:line="257" w:lineRule="exact"/>
        <w:rPr>
          <w:sz w:val="24"/>
          <w:szCs w:val="24"/>
          <w:color w:val="auto"/>
        </w:rPr>
      </w:pPr>
    </w:p>
    <w:p>
      <w:pPr>
        <w:ind w:left="820" w:hanging="653"/>
        <w:spacing w:after="0"/>
        <w:tabs>
          <w:tab w:leader="none" w:pos="8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230" w:lineRule="exact"/>
        <w:rPr>
          <w:rFonts w:ascii="MS PGothic" w:cs="MS PGothic" w:eastAsia="MS PGothic" w:hAnsi="MS PGothic"/>
          <w:sz w:val="16"/>
          <w:szCs w:val="16"/>
          <w:color w:val="auto"/>
        </w:rPr>
      </w:pPr>
    </w:p>
    <w:p>
      <w:pPr>
        <w:ind w:left="820" w:hanging="653"/>
        <w:spacing w:after="0"/>
        <w:tabs>
          <w:tab w:leader="none" w:pos="8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Confidential, For Use of the Commission Only (as permitted by Rule 14a-6(e)(2))</w:t>
      </w:r>
    </w:p>
    <w:p>
      <w:pPr>
        <w:spacing w:after="0" w:line="231" w:lineRule="exact"/>
        <w:rPr>
          <w:sz w:val="24"/>
          <w:szCs w:val="24"/>
          <w:color w:val="auto"/>
        </w:rPr>
      </w:pPr>
    </w:p>
    <w:p>
      <w:pPr>
        <w:ind w:left="820" w:hanging="653"/>
        <w:spacing w:after="0"/>
        <w:tabs>
          <w:tab w:leader="none" w:pos="8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231" w:lineRule="exact"/>
        <w:rPr>
          <w:sz w:val="24"/>
          <w:szCs w:val="24"/>
          <w:color w:val="auto"/>
        </w:rPr>
      </w:pPr>
    </w:p>
    <w:p>
      <w:pPr>
        <w:ind w:left="820" w:hanging="653"/>
        <w:spacing w:after="0"/>
        <w:tabs>
          <w:tab w:leader="none" w:pos="8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230" w:lineRule="exact"/>
        <w:rPr>
          <w:rFonts w:ascii="MS PGothic" w:cs="MS PGothic" w:eastAsia="MS PGothic" w:hAnsi="MS PGothic"/>
          <w:sz w:val="16"/>
          <w:szCs w:val="16"/>
          <w:color w:val="auto"/>
        </w:rPr>
      </w:pPr>
    </w:p>
    <w:p>
      <w:pPr>
        <w:ind w:left="820" w:hanging="653"/>
        <w:spacing w:after="0"/>
        <w:tabs>
          <w:tab w:leader="none" w:pos="8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 240.14a-12</w:t>
      </w:r>
    </w:p>
    <w:p>
      <w:pPr>
        <w:spacing w:after="0" w:line="203" w:lineRule="exact"/>
        <w:rPr>
          <w:sz w:val="24"/>
          <w:szCs w:val="24"/>
          <w:color w:val="auto"/>
        </w:rPr>
      </w:pPr>
    </w:p>
    <w:p>
      <w:pPr>
        <w:jc w:val="center"/>
        <w:ind w:right="-1100"/>
        <w:spacing w:after="0"/>
        <w:rPr>
          <w:sz w:val="20"/>
          <w:szCs w:val="20"/>
          <w:color w:val="auto"/>
        </w:rPr>
      </w:pPr>
      <w:r>
        <w:rPr>
          <w:rFonts w:ascii="Arial" w:cs="Arial" w:eastAsia="Arial" w:hAnsi="Arial"/>
          <w:sz w:val="21"/>
          <w:szCs w:val="21"/>
          <w:b w:val="1"/>
          <w:bCs w:val="1"/>
          <w:color w:val="auto"/>
        </w:rPr>
        <w:t>WYNN RESORTS, LIMITED</w:t>
      </w:r>
    </w:p>
    <w:p>
      <w:pPr>
        <w:spacing w:after="0" w:line="30"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217" w:lineRule="exact"/>
        <w:rPr>
          <w:sz w:val="24"/>
          <w:szCs w:val="24"/>
          <w:color w:val="auto"/>
        </w:rPr>
      </w:pPr>
    </w:p>
    <w:p>
      <w:pPr>
        <w:ind w:left="160"/>
        <w:spacing w:after="0"/>
        <w:rPr>
          <w:sz w:val="20"/>
          <w:szCs w:val="20"/>
          <w:color w:val="auto"/>
        </w:rPr>
      </w:pPr>
      <w:r>
        <w:rPr>
          <w:rFonts w:ascii="Arial" w:cs="Arial" w:eastAsia="Arial" w:hAnsi="Arial"/>
          <w:sz w:val="16"/>
          <w:szCs w:val="16"/>
          <w:color w:val="auto"/>
        </w:rPr>
        <w:t>Payment of Filing Fee (Check the appropriate box):</w:t>
      </w:r>
    </w:p>
    <w:p>
      <w:pPr>
        <w:spacing w:after="0" w:line="217" w:lineRule="exact"/>
        <w:rPr>
          <w:sz w:val="24"/>
          <w:szCs w:val="24"/>
          <w:color w:val="auto"/>
        </w:rPr>
      </w:pPr>
    </w:p>
    <w:p>
      <w:pPr>
        <w:ind w:left="820" w:hanging="653"/>
        <w:spacing w:after="0"/>
        <w:tabs>
          <w:tab w:leader="none" w:pos="82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31" w:lineRule="exact"/>
        <w:rPr>
          <w:sz w:val="24"/>
          <w:szCs w:val="24"/>
          <w:color w:val="auto"/>
        </w:rPr>
      </w:pPr>
    </w:p>
    <w:p>
      <w:pPr>
        <w:ind w:left="820" w:hanging="653"/>
        <w:spacing w:after="0"/>
        <w:tabs>
          <w:tab w:leader="none" w:pos="82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30" w:lineRule="exact"/>
        <w:rPr>
          <w:rFonts w:ascii="MS PGothic" w:cs="MS PGothic" w:eastAsia="MS PGothic" w:hAnsi="MS PGothic"/>
          <w:sz w:val="16"/>
          <w:szCs w:val="16"/>
          <w:color w:val="auto"/>
        </w:rPr>
      </w:pPr>
    </w:p>
    <w:p>
      <w:pPr>
        <w:ind w:left="820" w:hanging="653"/>
        <w:spacing w:after="0"/>
        <w:tabs>
          <w:tab w:leader="none" w:pos="82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14a-6(a)(I) and 0-11.</w:t>
      </w:r>
    </w:p>
    <w:p>
      <w:pPr>
        <w:sectPr>
          <w:pgSz w:w="11900" w:h="16838" w:orient="portrait"/>
          <w:cols w:equalWidth="0" w:num="1">
            <w:col w:w="10139"/>
          </w:cols>
          <w:pgMar w:left="320" w:top="224"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7094855" cy="9171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7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433705</wp:posOffset>
            </wp:positionV>
            <wp:extent cx="1052830" cy="1358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2830" cy="1358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color w:val="auto"/>
        </w:rPr>
        <w:t>Dear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-898525</wp:posOffset>
            </wp:positionV>
            <wp:extent cx="7176135" cy="55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70" w:lineRule="exact"/>
        <w:rPr>
          <w:sz w:val="20"/>
          <w:szCs w:val="20"/>
          <w:color w:val="auto"/>
        </w:rPr>
      </w:pPr>
    </w:p>
    <w:p>
      <w:pPr>
        <w:ind w:right="359"/>
        <w:spacing w:after="0" w:line="295" w:lineRule="auto"/>
        <w:rPr>
          <w:sz w:val="20"/>
          <w:szCs w:val="20"/>
          <w:color w:val="auto"/>
        </w:rPr>
      </w:pPr>
      <w:r>
        <w:rPr>
          <w:rFonts w:ascii="Arial" w:cs="Arial" w:eastAsia="Arial" w:hAnsi="Arial"/>
          <w:sz w:val="17"/>
          <w:szCs w:val="17"/>
          <w:color w:val="auto"/>
        </w:rPr>
        <w:t>Wynn Resorts experienced a record year—both financially and operationally— driven by the strength of our business and the solid leadership we have in place.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We doubled down on all that has made Wynn Resorts the gold standard in</w:t>
      </w:r>
    </w:p>
    <w:p>
      <w:pPr>
        <w:spacing w:after="0" w:line="12" w:lineRule="exact"/>
        <w:rPr>
          <w:sz w:val="20"/>
          <w:szCs w:val="20"/>
          <w:color w:val="auto"/>
        </w:rPr>
      </w:pPr>
    </w:p>
    <w:p>
      <w:pPr>
        <w:ind w:right="919"/>
        <w:spacing w:after="0" w:line="238" w:lineRule="auto"/>
        <w:rPr>
          <w:sz w:val="20"/>
          <w:szCs w:val="20"/>
          <w:color w:val="auto"/>
        </w:rPr>
      </w:pPr>
      <w:r>
        <w:rPr>
          <w:rFonts w:ascii="Arial" w:cs="Arial" w:eastAsia="Arial" w:hAnsi="Arial"/>
          <w:sz w:val="17"/>
          <w:szCs w:val="17"/>
          <w:color w:val="auto"/>
        </w:rPr>
        <w:t>luxury hospitality, with exciting developments in food and beverage and innovative new products and services at both our existing and developing</w:t>
      </w:r>
    </w:p>
    <w:p>
      <w:pPr>
        <w:ind w:right="399"/>
        <w:spacing w:after="0" w:line="244" w:lineRule="auto"/>
        <w:rPr>
          <w:sz w:val="20"/>
          <w:szCs w:val="20"/>
          <w:color w:val="auto"/>
        </w:rPr>
      </w:pPr>
      <w:r>
        <w:rPr>
          <w:rFonts w:ascii="Arial" w:cs="Arial" w:eastAsia="Arial" w:hAnsi="Arial"/>
          <w:sz w:val="18"/>
          <w:szCs w:val="18"/>
          <w:color w:val="auto"/>
        </w:rPr>
        <w:t>properties. We deployed our creative team at Wynn Design and Development in full force, with a particular focus on Wynn Al Marjan Island.</w:t>
      </w:r>
    </w:p>
    <w:p>
      <w:pPr>
        <w:spacing w:after="0" w:line="109" w:lineRule="exact"/>
        <w:rPr>
          <w:sz w:val="20"/>
          <w:szCs w:val="20"/>
          <w:color w:val="auto"/>
        </w:rPr>
      </w:pPr>
    </w:p>
    <w:p>
      <w:pPr>
        <w:ind w:right="359"/>
        <w:spacing w:after="0" w:line="257" w:lineRule="auto"/>
        <w:rPr>
          <w:sz w:val="20"/>
          <w:szCs w:val="20"/>
          <w:color w:val="auto"/>
        </w:rPr>
      </w:pPr>
      <w:r>
        <w:rPr>
          <w:rFonts w:ascii="Arial" w:cs="Arial" w:eastAsia="Arial" w:hAnsi="Arial"/>
          <w:sz w:val="17"/>
          <w:szCs w:val="17"/>
          <w:color w:val="auto"/>
        </w:rPr>
        <w:t>With this evident stability in our operations and financial results, our Nominating and Corporate Governance Committee had the ability to pause and examine our</w:t>
      </w:r>
    </w:p>
    <w:p>
      <w:pPr>
        <w:spacing w:after="0" w:line="1" w:lineRule="exact"/>
        <w:rPr>
          <w:sz w:val="20"/>
          <w:szCs w:val="20"/>
          <w:color w:val="auto"/>
        </w:rPr>
      </w:pPr>
    </w:p>
    <w:p>
      <w:pPr>
        <w:ind w:right="359"/>
        <w:spacing w:after="0" w:line="238" w:lineRule="auto"/>
        <w:rPr>
          <w:sz w:val="20"/>
          <w:szCs w:val="20"/>
          <w:color w:val="auto"/>
        </w:rPr>
      </w:pPr>
      <w:r>
        <w:rPr>
          <w:rFonts w:ascii="Arial" w:cs="Arial" w:eastAsia="Arial" w:hAnsi="Arial"/>
          <w:sz w:val="17"/>
          <w:szCs w:val="17"/>
          <w:color w:val="auto"/>
        </w:rPr>
        <w:t>Board composition to ensure we have a strong mix of directors who have the right skills and experience to provide effective oversight of our current and future</w:t>
      </w:r>
    </w:p>
    <w:p>
      <w:pPr>
        <w:spacing w:after="0" w:line="232" w:lineRule="auto"/>
        <w:rPr>
          <w:sz w:val="20"/>
          <w:szCs w:val="20"/>
          <w:color w:val="auto"/>
        </w:rPr>
      </w:pPr>
      <w:r>
        <w:rPr>
          <w:rFonts w:ascii="Arial" w:cs="Arial" w:eastAsia="Arial" w:hAnsi="Arial"/>
          <w:sz w:val="18"/>
          <w:szCs w:val="18"/>
          <w:color w:val="auto"/>
        </w:rPr>
        <w:t>strategy. We homed in on the idea of bringing in an individual who has deep</w:t>
      </w:r>
    </w:p>
    <w:p>
      <w:pPr>
        <w:spacing w:after="0" w:line="217" w:lineRule="auto"/>
        <w:rPr>
          <w:sz w:val="20"/>
          <w:szCs w:val="20"/>
          <w:color w:val="auto"/>
        </w:rPr>
      </w:pPr>
      <w:r>
        <w:rPr>
          <w:rFonts w:ascii="Arial" w:cs="Arial" w:eastAsia="Arial" w:hAnsi="Arial"/>
          <w:sz w:val="18"/>
          <w:szCs w:val="18"/>
          <w:color w:val="auto"/>
        </w:rPr>
        <w:t>gaming experience as we focus on growth and diversification around the world.</w:t>
      </w:r>
    </w:p>
    <w:p>
      <w:pPr>
        <w:spacing w:after="0" w:line="1" w:lineRule="exact"/>
        <w:rPr>
          <w:sz w:val="20"/>
          <w:szCs w:val="20"/>
          <w:color w:val="auto"/>
        </w:rPr>
      </w:pPr>
    </w:p>
    <w:p>
      <w:pPr>
        <w:ind w:right="739"/>
        <w:spacing w:after="0" w:line="239" w:lineRule="auto"/>
        <w:rPr>
          <w:sz w:val="20"/>
          <w:szCs w:val="20"/>
          <w:color w:val="auto"/>
        </w:rPr>
      </w:pPr>
      <w:r>
        <w:rPr>
          <w:rFonts w:ascii="Arial" w:cs="Arial" w:eastAsia="Arial" w:hAnsi="Arial"/>
          <w:sz w:val="18"/>
          <w:szCs w:val="18"/>
          <w:color w:val="auto"/>
        </w:rPr>
        <w:t>To that end, we are very pleased that Anthony Sanfilippo, former CEO and Chairman of Pinnacle Entertainment, has agreed to stand for election to our Board at this year’s Annual Meeting.</w:t>
      </w:r>
    </w:p>
    <w:p>
      <w:pPr>
        <w:spacing w:after="0" w:line="113" w:lineRule="exact"/>
        <w:rPr>
          <w:sz w:val="20"/>
          <w:szCs w:val="20"/>
          <w:color w:val="auto"/>
        </w:rPr>
      </w:pPr>
    </w:p>
    <w:p>
      <w:pPr>
        <w:ind w:right="339"/>
        <w:spacing w:after="0" w:line="243" w:lineRule="auto"/>
        <w:rPr>
          <w:sz w:val="20"/>
          <w:szCs w:val="20"/>
          <w:color w:val="auto"/>
        </w:rPr>
      </w:pPr>
      <w:r>
        <w:rPr>
          <w:rFonts w:ascii="Arial" w:cs="Arial" w:eastAsia="Arial" w:hAnsi="Arial"/>
          <w:sz w:val="18"/>
          <w:szCs w:val="18"/>
          <w:color w:val="auto"/>
        </w:rPr>
        <w:t>Anthony brings unrivaled experience in the hospitality and gaming industry. He is a seasoned executive with deep operational expertise—at Pinnacle</w:t>
      </w:r>
    </w:p>
    <w:p>
      <w:pPr>
        <w:ind w:right="339"/>
        <w:spacing w:after="0" w:line="238" w:lineRule="auto"/>
        <w:rPr>
          <w:sz w:val="20"/>
          <w:szCs w:val="20"/>
          <w:color w:val="auto"/>
        </w:rPr>
      </w:pPr>
      <w:r>
        <w:rPr>
          <w:rFonts w:ascii="Arial" w:cs="Arial" w:eastAsia="Arial" w:hAnsi="Arial"/>
          <w:sz w:val="17"/>
          <w:szCs w:val="17"/>
          <w:color w:val="auto"/>
        </w:rPr>
        <w:t>Entertainment, he led significant growth of the company. Prior to joining Pinnacle, Anthony served as President and CEO of Multimedia Games Inc., then</w:t>
      </w:r>
    </w:p>
    <w:p>
      <w:pPr>
        <w:spacing w:after="0" w:line="232" w:lineRule="auto"/>
        <w:rPr>
          <w:sz w:val="20"/>
          <w:szCs w:val="20"/>
          <w:color w:val="auto"/>
        </w:rPr>
      </w:pPr>
      <w:r>
        <w:rPr>
          <w:rFonts w:ascii="Arial" w:cs="Arial" w:eastAsia="Arial" w:hAnsi="Arial"/>
          <w:sz w:val="18"/>
          <w:szCs w:val="18"/>
          <w:color w:val="auto"/>
        </w:rPr>
        <w:t>a publicly traded creator and supplier of technology systems and electronic</w:t>
      </w:r>
    </w:p>
    <w:p>
      <w:pPr>
        <w:spacing w:after="0" w:line="1" w:lineRule="exact"/>
        <w:rPr>
          <w:sz w:val="20"/>
          <w:szCs w:val="20"/>
          <w:color w:val="auto"/>
        </w:rPr>
      </w:pPr>
    </w:p>
    <w:p>
      <w:pPr>
        <w:ind w:right="439"/>
        <w:spacing w:after="0" w:line="238" w:lineRule="auto"/>
        <w:rPr>
          <w:sz w:val="20"/>
          <w:szCs w:val="20"/>
          <w:color w:val="auto"/>
        </w:rPr>
      </w:pPr>
      <w:r>
        <w:rPr>
          <w:rFonts w:ascii="Arial" w:cs="Arial" w:eastAsia="Arial" w:hAnsi="Arial"/>
          <w:sz w:val="17"/>
          <w:szCs w:val="17"/>
          <w:color w:val="auto"/>
        </w:rPr>
        <w:t>gaming devices for the gaming industry and as a Division President at Caesar’s Entertainment. I had the great pleasure of working with Anthony for many years</w:t>
      </w:r>
    </w:p>
    <w:p>
      <w:pPr>
        <w:ind w:right="559"/>
        <w:spacing w:after="0" w:line="244" w:lineRule="auto"/>
        <w:rPr>
          <w:sz w:val="20"/>
          <w:szCs w:val="20"/>
          <w:color w:val="auto"/>
        </w:rPr>
      </w:pPr>
      <w:r>
        <w:rPr>
          <w:rFonts w:ascii="Arial" w:cs="Arial" w:eastAsia="Arial" w:hAnsi="Arial"/>
          <w:sz w:val="18"/>
          <w:szCs w:val="18"/>
          <w:color w:val="auto"/>
        </w:rPr>
        <w:t>and am thrilled to welcome him to the Wynn Board—I am confident his impact will be significant.</w:t>
      </w:r>
    </w:p>
    <w:p>
      <w:pPr>
        <w:spacing w:after="0" w:line="109" w:lineRule="exact"/>
        <w:rPr>
          <w:sz w:val="20"/>
          <w:szCs w:val="20"/>
          <w:color w:val="auto"/>
        </w:rPr>
      </w:pPr>
    </w:p>
    <w:p>
      <w:pPr>
        <w:ind w:right="499"/>
        <w:spacing w:after="0" w:line="257" w:lineRule="auto"/>
        <w:rPr>
          <w:sz w:val="20"/>
          <w:szCs w:val="20"/>
          <w:color w:val="auto"/>
        </w:rPr>
      </w:pPr>
      <w:r>
        <w:rPr>
          <w:rFonts w:ascii="Arial" w:cs="Arial" w:eastAsia="Arial" w:hAnsi="Arial"/>
          <w:sz w:val="17"/>
          <w:szCs w:val="17"/>
          <w:color w:val="auto"/>
        </w:rPr>
        <w:t>Anthony is seeking to step into the shoes of Margaret “Dee Dee” Myers, who informed the Board of her intention not to seek re-election at this year’s Annual</w:t>
      </w:r>
    </w:p>
    <w:p>
      <w:pPr>
        <w:spacing w:after="0" w:line="1" w:lineRule="exact"/>
        <w:rPr>
          <w:sz w:val="20"/>
          <w:szCs w:val="20"/>
          <w:color w:val="auto"/>
        </w:rPr>
      </w:pPr>
    </w:p>
    <w:p>
      <w:pPr>
        <w:ind w:right="539"/>
        <w:spacing w:after="0" w:line="238" w:lineRule="auto"/>
        <w:rPr>
          <w:sz w:val="20"/>
          <w:szCs w:val="20"/>
          <w:color w:val="auto"/>
        </w:rPr>
      </w:pPr>
      <w:r>
        <w:rPr>
          <w:rFonts w:ascii="Arial" w:cs="Arial" w:eastAsia="Arial" w:hAnsi="Arial"/>
          <w:sz w:val="17"/>
          <w:szCs w:val="17"/>
          <w:color w:val="auto"/>
        </w:rPr>
        <w:t>Meeting. We are deeply grateful to Dee Dee for all of her many contributions over the past eight years. Dee Dee joined Wynn Resorts in 2018 and provided</w:t>
      </w:r>
    </w:p>
    <w:p>
      <w:pPr>
        <w:spacing w:after="0" w:line="232" w:lineRule="auto"/>
        <w:rPr>
          <w:sz w:val="20"/>
          <w:szCs w:val="20"/>
          <w:color w:val="auto"/>
        </w:rPr>
      </w:pPr>
      <w:r>
        <w:rPr>
          <w:rFonts w:ascii="Arial" w:cs="Arial" w:eastAsia="Arial" w:hAnsi="Arial"/>
          <w:sz w:val="18"/>
          <w:szCs w:val="18"/>
          <w:color w:val="auto"/>
        </w:rPr>
        <w:t>invaluable counsel and leadership as we navigated a difficult time in our</w:t>
      </w:r>
    </w:p>
    <w:p>
      <w:pPr>
        <w:spacing w:after="0" w:line="1" w:lineRule="exact"/>
        <w:rPr>
          <w:sz w:val="20"/>
          <w:szCs w:val="20"/>
          <w:color w:val="auto"/>
        </w:rPr>
      </w:pPr>
    </w:p>
    <w:p>
      <w:pPr>
        <w:ind w:right="559"/>
        <w:spacing w:after="0" w:line="234" w:lineRule="auto"/>
        <w:rPr>
          <w:sz w:val="20"/>
          <w:szCs w:val="20"/>
          <w:color w:val="auto"/>
        </w:rPr>
      </w:pPr>
      <w:r>
        <w:rPr>
          <w:rFonts w:ascii="Arial" w:cs="Arial" w:eastAsia="Arial" w:hAnsi="Arial"/>
          <w:sz w:val="18"/>
          <w:szCs w:val="18"/>
          <w:color w:val="auto"/>
        </w:rPr>
        <w:t>company’s history. On behalf of the entire Wynn Resorts Board, I would like to thank Dee Dee for her service.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With these changes, our board tenure averages approximately 6 years, below</w:t>
      </w:r>
    </w:p>
    <w:p>
      <w:pPr>
        <w:spacing w:after="0" w:line="12" w:lineRule="exact"/>
        <w:rPr>
          <w:sz w:val="20"/>
          <w:szCs w:val="20"/>
          <w:color w:val="auto"/>
        </w:rPr>
      </w:pPr>
    </w:p>
    <w:p>
      <w:pPr>
        <w:ind w:right="539"/>
        <w:spacing w:after="0" w:line="238" w:lineRule="auto"/>
        <w:rPr>
          <w:sz w:val="20"/>
          <w:szCs w:val="20"/>
          <w:color w:val="auto"/>
        </w:rPr>
      </w:pPr>
      <w:r>
        <w:rPr>
          <w:rFonts w:ascii="Arial" w:cs="Arial" w:eastAsia="Arial" w:hAnsi="Arial"/>
          <w:sz w:val="17"/>
          <w:szCs w:val="17"/>
          <w:color w:val="auto"/>
        </w:rPr>
        <w:t>the S&amp;P average and in-line with our commitment to ensuring a balance of longer-tenured directors with deep institutional knowledge and newer directors</w:t>
      </w:r>
    </w:p>
    <w:p>
      <w:pPr>
        <w:spacing w:after="0"/>
        <w:rPr>
          <w:sz w:val="20"/>
          <w:szCs w:val="20"/>
          <w:color w:val="auto"/>
        </w:rPr>
      </w:pPr>
      <w:r>
        <w:rPr>
          <w:rFonts w:ascii="Arial" w:cs="Arial" w:eastAsia="Arial" w:hAnsi="Arial"/>
          <w:sz w:val="18"/>
          <w:szCs w:val="18"/>
          <w:color w:val="auto"/>
        </w:rPr>
        <w:t>that bring fresh and diverse perspectives.</w:t>
      </w:r>
    </w:p>
    <w:p>
      <w:pPr>
        <w:spacing w:after="0" w:line="123" w:lineRule="exact"/>
        <w:rPr>
          <w:sz w:val="20"/>
          <w:szCs w:val="20"/>
          <w:color w:val="auto"/>
        </w:rPr>
      </w:pPr>
    </w:p>
    <w:p>
      <w:pPr>
        <w:ind w:right="379"/>
        <w:spacing w:after="0" w:line="249" w:lineRule="auto"/>
        <w:rPr>
          <w:sz w:val="20"/>
          <w:szCs w:val="20"/>
          <w:color w:val="auto"/>
        </w:rPr>
      </w:pPr>
      <w:r>
        <w:rPr>
          <w:rFonts w:ascii="Arial" w:cs="Arial" w:eastAsia="Arial" w:hAnsi="Arial"/>
          <w:sz w:val="18"/>
          <w:szCs w:val="18"/>
          <w:color w:val="auto"/>
        </w:rPr>
        <w:t>Our Board is strong and we are highly confident that we have the right leadership team in place, led by our CEO Craig Billings, and the right strategy to drive long-term value during an incredibly exciting time for our company.</w:t>
      </w:r>
    </w:p>
    <w:p>
      <w:pPr>
        <w:spacing w:after="0" w:line="105" w:lineRule="exact"/>
        <w:rPr>
          <w:sz w:val="20"/>
          <w:szCs w:val="20"/>
          <w:color w:val="auto"/>
        </w:rPr>
      </w:pPr>
    </w:p>
    <w:p>
      <w:pPr>
        <w:ind w:right="719"/>
        <w:spacing w:after="0" w:line="265" w:lineRule="auto"/>
        <w:rPr>
          <w:sz w:val="20"/>
          <w:szCs w:val="20"/>
          <w:color w:val="auto"/>
        </w:rPr>
      </w:pPr>
      <w:r>
        <w:rPr>
          <w:rFonts w:ascii="Arial" w:cs="Arial" w:eastAsia="Arial" w:hAnsi="Arial"/>
          <w:sz w:val="18"/>
          <w:szCs w:val="18"/>
          <w:color w:val="auto"/>
        </w:rPr>
        <w:t>Thank you for your investment in Wynn Resorts. We deeply appreciate your continued trust and confidence in the Board.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160655</wp:posOffset>
            </wp:positionV>
            <wp:extent cx="1570990" cy="560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0990" cy="560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Philip G. Satre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Chair of the Board of Directors</w:t>
      </w:r>
    </w:p>
    <w:p>
      <w:pPr>
        <w:sectPr>
          <w:pgSz w:w="11900" w:h="16838" w:orient="portrait"/>
          <w:cols w:equalWidth="0" w:num="2">
            <w:col w:w="2720" w:space="720"/>
            <w:col w:w="6699"/>
          </w:cols>
          <w:pgMar w:left="320" w:top="47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433705</wp:posOffset>
            </wp:positionV>
            <wp:extent cx="1095375" cy="1443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95375" cy="1443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i w:val="1"/>
          <w:iCs w:val="1"/>
          <w:color w:val="auto"/>
        </w:rPr>
        <w:t xml:space="preserve">Dear </w:t>
      </w:r>
      <w:r>
        <w:rPr>
          <w:rFonts w:ascii="Times New Roman" w:cs="Times New Roman" w:eastAsia="Times New Roman" w:hAnsi="Times New Roman"/>
          <w:sz w:val="43"/>
          <w:szCs w:val="43"/>
          <w:color w:val="auto"/>
        </w:rPr>
        <w:t>Fellow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-893445</wp:posOffset>
            </wp:positionV>
            <wp:extent cx="717613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2024 was another incredible year for Wynn Resorts. We continue to raise the bar</w:t>
      </w:r>
    </w:p>
    <w:p>
      <w:pPr>
        <w:spacing w:after="0" w:line="12" w:lineRule="exact"/>
        <w:rPr>
          <w:sz w:val="20"/>
          <w:szCs w:val="20"/>
          <w:color w:val="auto"/>
        </w:rPr>
      </w:pPr>
    </w:p>
    <w:p>
      <w:pPr>
        <w:ind w:right="179"/>
        <w:spacing w:after="0" w:line="237" w:lineRule="auto"/>
        <w:rPr>
          <w:sz w:val="20"/>
          <w:szCs w:val="20"/>
          <w:color w:val="auto"/>
        </w:rPr>
      </w:pPr>
      <w:r>
        <w:rPr>
          <w:rFonts w:ascii="Arial" w:cs="Arial" w:eastAsia="Arial" w:hAnsi="Arial"/>
          <w:sz w:val="18"/>
          <w:szCs w:val="18"/>
          <w:color w:val="auto"/>
        </w:rPr>
        <w:t>— exceeding guest expectations with one-of-kind programming, service excellence, and innovation — all of which helped us to deliver record performance. We have evolved our business thoughtfully, further distinguishing ourselves from our competition.</w:t>
      </w:r>
    </w:p>
    <w:p>
      <w:pPr>
        <w:spacing w:after="0" w:line="101" w:lineRule="exact"/>
        <w:rPr>
          <w:sz w:val="20"/>
          <w:szCs w:val="20"/>
          <w:color w:val="auto"/>
        </w:rPr>
      </w:pPr>
    </w:p>
    <w:p>
      <w:pPr>
        <w:ind w:right="139"/>
        <w:spacing w:after="0" w:line="239" w:lineRule="auto"/>
        <w:rPr>
          <w:sz w:val="20"/>
          <w:szCs w:val="20"/>
          <w:color w:val="auto"/>
        </w:rPr>
      </w:pPr>
      <w:r>
        <w:rPr>
          <w:rFonts w:ascii="Arial" w:cs="Arial" w:eastAsia="Arial" w:hAnsi="Arial"/>
          <w:sz w:val="18"/>
          <w:szCs w:val="18"/>
          <w:color w:val="auto"/>
        </w:rPr>
        <w:t>At Wynn Las Vegas, we continue to advance our programing at the property, in general, and in food and beverage, in particular, to better cater to fun-seeking, aspirational customers. To that end, later this year, the much-anticipated opening of the popular members-only club Zero Bond as well as the restaurants Sartiano’s and PISCES will further fuel our growth in that segment and serve as draws to the property overall.</w:t>
      </w:r>
    </w:p>
    <w:p>
      <w:pPr>
        <w:spacing w:after="0" w:line="101" w:lineRule="exact"/>
        <w:rPr>
          <w:sz w:val="20"/>
          <w:szCs w:val="20"/>
          <w:color w:val="auto"/>
        </w:rPr>
      </w:pPr>
    </w:p>
    <w:p>
      <w:pPr>
        <w:ind w:right="159"/>
        <w:spacing w:after="0"/>
        <w:rPr>
          <w:sz w:val="20"/>
          <w:szCs w:val="20"/>
          <w:color w:val="auto"/>
        </w:rPr>
      </w:pPr>
      <w:r>
        <w:rPr>
          <w:rFonts w:ascii="Arial" w:cs="Arial" w:eastAsia="Arial" w:hAnsi="Arial"/>
          <w:sz w:val="18"/>
          <w:szCs w:val="18"/>
          <w:color w:val="auto"/>
        </w:rPr>
        <w:t>In Macau, our combination of unique rooms, products and services drove healthy market share in that incredibly competitive market. We made targeted investments, including further reinventing our food and beverage strategy and rolling out digital tables and data science and machine learning capabilities, all of which will strengthen our appeal and marketing capabilities in the future.</w:t>
      </w:r>
    </w:p>
    <w:p>
      <w:pPr>
        <w:spacing w:after="0" w:line="102" w:lineRule="exact"/>
        <w:rPr>
          <w:sz w:val="20"/>
          <w:szCs w:val="20"/>
          <w:color w:val="auto"/>
        </w:rPr>
      </w:pPr>
    </w:p>
    <w:p>
      <w:pPr>
        <w:ind w:right="139"/>
        <w:spacing w:after="0" w:line="243" w:lineRule="auto"/>
        <w:rPr>
          <w:sz w:val="20"/>
          <w:szCs w:val="20"/>
          <w:color w:val="auto"/>
        </w:rPr>
      </w:pPr>
      <w:r>
        <w:rPr>
          <w:rFonts w:ascii="Arial" w:cs="Arial" w:eastAsia="Arial" w:hAnsi="Arial"/>
          <w:sz w:val="18"/>
          <w:szCs w:val="18"/>
          <w:color w:val="auto"/>
        </w:rPr>
        <w:t>Encore Boston Harbor continues to execute well, delivering healthy and stable growth and a strong customer experience. The opening of Seamark restaurant with its hidden speakeasy has been well received by guests and is becoming a social dining destination.</w:t>
      </w:r>
    </w:p>
    <w:p>
      <w:pPr>
        <w:spacing w:after="0" w:line="98" w:lineRule="exact"/>
        <w:rPr>
          <w:sz w:val="20"/>
          <w:szCs w:val="20"/>
          <w:color w:val="auto"/>
        </w:rPr>
      </w:pPr>
    </w:p>
    <w:p>
      <w:pPr>
        <w:ind w:right="219"/>
        <w:spacing w:after="0" w:line="258" w:lineRule="auto"/>
        <w:rPr>
          <w:sz w:val="20"/>
          <w:szCs w:val="20"/>
          <w:color w:val="auto"/>
        </w:rPr>
      </w:pPr>
      <w:r>
        <w:rPr>
          <w:rFonts w:ascii="Arial" w:cs="Arial" w:eastAsia="Arial" w:hAnsi="Arial"/>
          <w:sz w:val="17"/>
          <w:szCs w:val="17"/>
          <w:color w:val="auto"/>
        </w:rPr>
        <w:t>We also continued to make exciting moves to further expand our global presence. In January, we announced that we will acquire Crown London (Aspinalls), a small, members-only casino in the heart of London’s upscale Mayfair district. This opportunistic step for Wynn Resorts in a global gateway city will support our Wynn Al Marjan Island resort under construction in the United Arab Emirates.</w:t>
      </w:r>
    </w:p>
    <w:p>
      <w:pPr>
        <w:spacing w:after="0" w:line="86" w:lineRule="exact"/>
        <w:rPr>
          <w:sz w:val="20"/>
          <w:szCs w:val="20"/>
          <w:color w:val="auto"/>
        </w:rPr>
      </w:pPr>
    </w:p>
    <w:p>
      <w:pPr>
        <w:ind w:right="339"/>
        <w:spacing w:after="0" w:line="239" w:lineRule="auto"/>
        <w:rPr>
          <w:sz w:val="20"/>
          <w:szCs w:val="20"/>
          <w:color w:val="auto"/>
        </w:rPr>
      </w:pPr>
      <w:r>
        <w:rPr>
          <w:rFonts w:ascii="Arial" w:cs="Arial" w:eastAsia="Arial" w:hAnsi="Arial"/>
          <w:sz w:val="18"/>
          <w:szCs w:val="18"/>
          <w:color w:val="auto"/>
        </w:rPr>
        <w:t>We made solid progress on Wynn Al Marjan Island in 2024 and expect to top off construction at the end of this year. We have a strong and experienced management team on the ground. We remain confident in the attractiveness and significance of the value creation opportunity it represents. We believe it will be a ‘must see’ tourism destination in the UAE and will support strong long-term free cash flow growth for our Company.</w:t>
      </w:r>
    </w:p>
    <w:p>
      <w:pPr>
        <w:spacing w:after="0" w:line="101" w:lineRule="exact"/>
        <w:rPr>
          <w:sz w:val="20"/>
          <w:szCs w:val="20"/>
          <w:color w:val="auto"/>
        </w:rPr>
      </w:pPr>
    </w:p>
    <w:p>
      <w:pPr>
        <w:jc w:val="both"/>
        <w:ind w:right="359"/>
        <w:spacing w:after="0" w:line="243" w:lineRule="auto"/>
        <w:rPr>
          <w:sz w:val="20"/>
          <w:szCs w:val="20"/>
          <w:color w:val="auto"/>
        </w:rPr>
      </w:pPr>
      <w:r>
        <w:rPr>
          <w:rFonts w:ascii="Arial" w:cs="Arial" w:eastAsia="Arial" w:hAnsi="Arial"/>
          <w:sz w:val="18"/>
          <w:szCs w:val="18"/>
          <w:color w:val="auto"/>
        </w:rPr>
        <w:t>We know that continuous evolution is the key to success, and this past year we took our efforts to the next level. While we keenly understand the importance of staying true to our legacy of excellence, we will continue to push the envelope to drive market leadership.</w:t>
      </w:r>
    </w:p>
    <w:p>
      <w:pPr>
        <w:spacing w:after="0" w:line="98" w:lineRule="exact"/>
        <w:rPr>
          <w:sz w:val="20"/>
          <w:szCs w:val="20"/>
          <w:color w:val="auto"/>
        </w:rPr>
      </w:pPr>
    </w:p>
    <w:p>
      <w:pPr>
        <w:ind w:right="179"/>
        <w:spacing w:after="0" w:line="249" w:lineRule="auto"/>
        <w:rPr>
          <w:sz w:val="20"/>
          <w:szCs w:val="20"/>
          <w:color w:val="auto"/>
        </w:rPr>
      </w:pPr>
      <w:r>
        <w:rPr>
          <w:rFonts w:ascii="Arial" w:cs="Arial" w:eastAsia="Arial" w:hAnsi="Arial"/>
          <w:sz w:val="18"/>
          <w:szCs w:val="18"/>
          <w:color w:val="auto"/>
        </w:rPr>
        <w:t>Finally, to our shareholders, I thank you for your continued support and input, and I encourage you to vote in support of the items we have described in this proxy statement.</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investment in Wynn Resorts.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163830</wp:posOffset>
            </wp:positionV>
            <wp:extent cx="1817370" cy="908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1737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Craig S. Billings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ectPr>
          <w:pgSz w:w="11900" w:h="16838" w:orient="portrait"/>
          <w:cols w:equalWidth="0" w:num="2">
            <w:col w:w="2720" w:space="720"/>
            <w:col w:w="6699"/>
          </w:cols>
          <w:pgMar w:left="320" w:top="478" w:right="1440" w:bottom="113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87" w:lineRule="exact"/>
        <w:rPr>
          <w:sz w:val="20"/>
          <w:szCs w:val="20"/>
          <w:color w:val="auto"/>
        </w:rPr>
      </w:pPr>
    </w:p>
    <w:p>
      <w:pPr>
        <w:ind w:left="160" w:right="420"/>
        <w:spacing w:after="0" w:line="275" w:lineRule="auto"/>
        <w:rPr>
          <w:sz w:val="20"/>
          <w:szCs w:val="20"/>
          <w:color w:val="auto"/>
        </w:rPr>
      </w:pPr>
      <w:r>
        <w:rPr>
          <w:rFonts w:ascii="Times New Roman" w:cs="Times New Roman" w:eastAsia="Times New Roman" w:hAnsi="Times New Roman"/>
          <w:sz w:val="43"/>
          <w:szCs w:val="43"/>
          <w:i w:val="1"/>
          <w:iCs w:val="1"/>
          <w:color w:val="351B3D"/>
        </w:rPr>
        <w:t xml:space="preserve">Notice of </w:t>
      </w:r>
      <w:r>
        <w:rPr>
          <w:rFonts w:ascii="Times New Roman" w:cs="Times New Roman" w:eastAsia="Times New Roman" w:hAnsi="Times New Roman"/>
          <w:sz w:val="43"/>
          <w:szCs w:val="43"/>
          <w:color w:val="351B3D"/>
        </w:rPr>
        <w:t>the 2025 Annual Meeting of Shareholders of Wynn</w:t>
      </w:r>
      <w:r>
        <w:rPr>
          <w:rFonts w:ascii="Times New Roman" w:cs="Times New Roman" w:eastAsia="Times New Roman" w:hAnsi="Times New Roman"/>
          <w:sz w:val="43"/>
          <w:szCs w:val="43"/>
          <w:i w:val="1"/>
          <w:iCs w:val="1"/>
          <w:color w:val="351B3D"/>
        </w:rPr>
        <w:t xml:space="preserve"> </w:t>
      </w:r>
      <w:r>
        <w:rPr>
          <w:rFonts w:ascii="Times New Roman" w:cs="Times New Roman" w:eastAsia="Times New Roman" w:hAnsi="Times New Roman"/>
          <w:sz w:val="43"/>
          <w:szCs w:val="43"/>
          <w:color w:val="351B3D"/>
        </w:rPr>
        <w:t>Resorts, Limited</w:t>
      </w:r>
    </w:p>
    <w:p>
      <w:pPr>
        <w:spacing w:after="0" w:line="240" w:lineRule="exact"/>
        <w:rPr>
          <w:sz w:val="20"/>
          <w:szCs w:val="20"/>
          <w:color w:val="auto"/>
        </w:rPr>
      </w:pPr>
    </w:p>
    <w:p>
      <w:pPr>
        <w:ind w:left="160"/>
        <w:spacing w:after="0"/>
        <w:rPr>
          <w:sz w:val="20"/>
          <w:szCs w:val="20"/>
          <w:color w:val="auto"/>
        </w:rPr>
      </w:pPr>
      <w:r>
        <w:rPr>
          <w:rFonts w:ascii="Arial" w:cs="Arial" w:eastAsia="Arial" w:hAnsi="Arial"/>
          <w:sz w:val="16"/>
          <w:szCs w:val="16"/>
          <w:color w:val="351B3D"/>
        </w:rPr>
        <w:t>The 2025 Annual Meeting of Shareholders (“Annual Meeting”) of Wynn Resorts, Limited (the “Company”) will be held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518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9755" cy="51816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sectPr>
      </w:pPr>
    </w:p>
    <w:p>
      <w:pPr>
        <w:spacing w:after="0" w:line="231" w:lineRule="exact"/>
        <w:rPr>
          <w:sz w:val="20"/>
          <w:szCs w:val="20"/>
          <w:color w:val="auto"/>
        </w:rPr>
      </w:pPr>
    </w:p>
    <w:p>
      <w:pPr>
        <w:ind w:left="400"/>
        <w:spacing w:after="0"/>
        <w:rPr>
          <w:sz w:val="20"/>
          <w:szCs w:val="20"/>
          <w:color w:val="auto"/>
        </w:rPr>
      </w:pPr>
      <w:r>
        <w:rPr>
          <w:rFonts w:ascii="Arial" w:cs="Arial" w:eastAsia="Arial" w:hAnsi="Arial"/>
          <w:sz w:val="16"/>
          <w:szCs w:val="16"/>
          <w:color w:val="FFFFFF"/>
        </w:rPr>
        <w:t> DATE AND TIME:</w:t>
      </w:r>
    </w:p>
    <w:p>
      <w:pPr>
        <w:spacing w:after="0" w:line="44" w:lineRule="exact"/>
        <w:rPr>
          <w:sz w:val="20"/>
          <w:szCs w:val="20"/>
          <w:color w:val="auto"/>
        </w:rPr>
      </w:pPr>
    </w:p>
    <w:p>
      <w:pPr>
        <w:ind w:left="400"/>
        <w:spacing w:after="0"/>
        <w:rPr>
          <w:sz w:val="20"/>
          <w:szCs w:val="20"/>
          <w:color w:val="auto"/>
        </w:rPr>
      </w:pPr>
      <w:r>
        <w:rPr>
          <w:rFonts w:ascii="Arial" w:cs="Arial" w:eastAsia="Arial" w:hAnsi="Arial"/>
          <w:sz w:val="21"/>
          <w:szCs w:val="21"/>
          <w:color w:val="FFFFFF"/>
        </w:rPr>
        <w:t>April 30, 2025</w:t>
      </w:r>
    </w:p>
    <w:p>
      <w:pPr>
        <w:spacing w:after="0" w:line="19" w:lineRule="exact"/>
        <w:rPr>
          <w:sz w:val="20"/>
          <w:szCs w:val="20"/>
          <w:color w:val="auto"/>
        </w:rPr>
      </w:pPr>
    </w:p>
    <w:p>
      <w:pPr>
        <w:ind w:left="400"/>
        <w:spacing w:after="0"/>
        <w:rPr>
          <w:sz w:val="20"/>
          <w:szCs w:val="20"/>
          <w:color w:val="auto"/>
        </w:rPr>
      </w:pPr>
      <w:r>
        <w:rPr>
          <w:rFonts w:ascii="Arial" w:cs="Arial" w:eastAsia="Arial" w:hAnsi="Arial"/>
          <w:sz w:val="21"/>
          <w:szCs w:val="21"/>
          <w:color w:val="FFFFFF"/>
        </w:rPr>
        <w:t>8:00 am ET</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FFFFFF"/>
        </w:rPr>
        <w:t>PLACE:</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FFFFFF"/>
        </w:rPr>
        <w:t>Virtual meeting conducted via live webcast accessed at this website: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FFFF"/>
        </w:rPr>
        <w:t>http://www.virtualshareholdermeeting.com/WYNN2025</w:t>
      </w:r>
    </w:p>
    <w:p>
      <w:pPr>
        <w:spacing w:after="0" w:line="221" w:lineRule="exact"/>
        <w:rPr>
          <w:sz w:val="20"/>
          <w:szCs w:val="20"/>
          <w:color w:val="auto"/>
        </w:rPr>
      </w:pPr>
    </w:p>
    <w:p>
      <w:pPr>
        <w:sectPr>
          <w:pgSz w:w="11900" w:h="16838" w:orient="portrait"/>
          <w:cols w:equalWidth="0" w:num="2">
            <w:col w:w="2840" w:space="720"/>
            <w:col w:w="7480"/>
          </w:cols>
          <w:pgMar w:left="320" w:top="478" w:right="539" w:bottom="1440" w:gutter="0" w:footer="0" w:header="0"/>
          <w:type w:val="continuous"/>
        </w:sectPr>
      </w:pPr>
    </w:p>
    <w:p>
      <w:pPr>
        <w:ind w:left="160"/>
        <w:spacing w:after="0" w:line="279" w:lineRule="auto"/>
        <w:rPr>
          <w:sz w:val="20"/>
          <w:szCs w:val="20"/>
          <w:color w:val="auto"/>
        </w:rPr>
      </w:pPr>
      <w:r>
        <w:rPr>
          <w:rFonts w:ascii="Arial" w:cs="Arial" w:eastAsia="Arial" w:hAnsi="Arial"/>
          <w:sz w:val="16"/>
          <w:szCs w:val="16"/>
          <w:color w:val="auto"/>
        </w:rPr>
        <w:t>The Board of Directors unanimously recommends that you vote as follows on each of the following proposals, which are more fully described in the Proxy Statement accompanying this Notice of Annual Meeting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68580</wp:posOffset>
            </wp:positionV>
            <wp:extent cx="6929755" cy="1528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9755" cy="1528445"/>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p>
      <w:pPr>
        <w:spacing w:after="0" w:line="174" w:lineRule="exact"/>
        <w:rPr>
          <w:sz w:val="20"/>
          <w:szCs w:val="20"/>
          <w:color w:val="auto"/>
        </w:rPr>
      </w:pPr>
    </w:p>
    <w:p>
      <w:pPr>
        <w:ind w:left="240"/>
        <w:spacing w:after="0"/>
        <w:rPr>
          <w:sz w:val="20"/>
          <w:szCs w:val="20"/>
          <w:color w:val="auto"/>
        </w:rPr>
      </w:pPr>
      <w:r>
        <w:rPr>
          <w:rFonts w:ascii="Arial" w:cs="Arial" w:eastAsia="Arial" w:hAnsi="Arial"/>
          <w:sz w:val="16"/>
          <w:szCs w:val="16"/>
          <w:color w:val="FFFFFF"/>
        </w:rPr>
        <w:t>THE ANNUAL MEETING WILL BE HELD FOR THE FOLLOWING PURPOSES: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color w:val="351B3D"/>
        </w:rPr>
        <w:t>1.    To elect three Class II directors to serve until the 2028 Annual Meeting of Shareholders</w:t>
      </w:r>
    </w:p>
    <w:p>
      <w:pPr>
        <w:spacing w:after="0" w:line="137" w:lineRule="exact"/>
        <w:rPr>
          <w:sz w:val="20"/>
          <w:szCs w:val="20"/>
          <w:color w:val="auto"/>
        </w:rPr>
      </w:pPr>
    </w:p>
    <w:p>
      <w:pPr>
        <w:ind w:left="480" w:hanging="240"/>
        <w:spacing w:after="0" w:line="279" w:lineRule="auto"/>
        <w:rPr>
          <w:sz w:val="20"/>
          <w:szCs w:val="20"/>
          <w:color w:val="auto"/>
        </w:rPr>
      </w:pPr>
      <w:r>
        <w:rPr>
          <w:rFonts w:ascii="Arial" w:cs="Arial" w:eastAsia="Arial" w:hAnsi="Arial"/>
          <w:sz w:val="16"/>
          <w:szCs w:val="16"/>
          <w:color w:val="351B3D"/>
        </w:rPr>
        <w:t>2.   To ratify the appointment of Ernst &amp; Young LLP as our independent registered public accounting firm for the fiscal year ending December 31, 2025</w:t>
      </w:r>
    </w:p>
    <w:p>
      <w:pPr>
        <w:spacing w:after="0" w:line="80" w:lineRule="exact"/>
        <w:rPr>
          <w:sz w:val="20"/>
          <w:szCs w:val="20"/>
          <w:color w:val="auto"/>
        </w:rPr>
      </w:pPr>
    </w:p>
    <w:p>
      <w:pPr>
        <w:ind w:left="480" w:right="360" w:hanging="240"/>
        <w:spacing w:after="0" w:line="279" w:lineRule="auto"/>
        <w:rPr>
          <w:sz w:val="20"/>
          <w:szCs w:val="20"/>
          <w:color w:val="auto"/>
        </w:rPr>
      </w:pPr>
      <w:r>
        <w:rPr>
          <w:rFonts w:ascii="Arial" w:cs="Arial" w:eastAsia="Arial" w:hAnsi="Arial"/>
          <w:sz w:val="16"/>
          <w:szCs w:val="16"/>
          <w:color w:val="351B3D"/>
        </w:rPr>
        <w:t>3.   To approve, on a non-binding advisory basis, the compensation of our named executive officers as described in the Proxy Statement</w:t>
      </w:r>
    </w:p>
    <w:p>
      <w:pPr>
        <w:spacing w:after="0" w:line="80" w:lineRule="exact"/>
        <w:rPr>
          <w:sz w:val="20"/>
          <w:szCs w:val="20"/>
          <w:color w:val="auto"/>
        </w:rPr>
      </w:pPr>
    </w:p>
    <w:p>
      <w:pPr>
        <w:ind w:left="480" w:right="40" w:hanging="240"/>
        <w:spacing w:after="0" w:line="262" w:lineRule="auto"/>
        <w:rPr>
          <w:sz w:val="20"/>
          <w:szCs w:val="20"/>
          <w:color w:val="auto"/>
        </w:rPr>
      </w:pPr>
      <w:r>
        <w:rPr>
          <w:rFonts w:ascii="Arial" w:cs="Arial" w:eastAsia="Arial" w:hAnsi="Arial"/>
          <w:sz w:val="16"/>
          <w:szCs w:val="16"/>
          <w:color w:val="351B3D"/>
        </w:rPr>
        <w:t>4.   To consider and vote on a shareholder proposal requesting that the Board of Directors commission and disclose a report on the potential cost savings through the adoption of a smokefree policy for the Company’s properties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6"/>
          <w:szCs w:val="16"/>
          <w:color w:val="FFFFFF"/>
        </w:rPr>
        <w:t>BOARD RECOMMENDATION</w:t>
      </w:r>
    </w:p>
    <w:p>
      <w:pPr>
        <w:spacing w:after="0" w:line="177"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FOR EACH DIRECTOR NOMINEE</w:t>
      </w:r>
    </w:p>
    <w:p>
      <w:pPr>
        <w:spacing w:after="0" w:line="23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FOR</w:t>
      </w:r>
    </w:p>
    <w:p>
      <w:pPr>
        <w:spacing w:after="0" w:line="32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FOR</w:t>
      </w:r>
    </w:p>
    <w:p>
      <w:pPr>
        <w:spacing w:after="0" w:line="200" w:lineRule="exact"/>
        <w:rPr>
          <w:sz w:val="20"/>
          <w:szCs w:val="20"/>
          <w:color w:val="auto"/>
        </w:rPr>
      </w:pPr>
    </w:p>
    <w:p>
      <w:pPr>
        <w:spacing w:after="0" w:line="21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AGAINST</w:t>
      </w:r>
    </w:p>
    <w:p>
      <w:pPr>
        <w:spacing w:after="0" w:line="404" w:lineRule="exact"/>
        <w:rPr>
          <w:sz w:val="20"/>
          <w:szCs w:val="20"/>
          <w:color w:val="auto"/>
        </w:rPr>
      </w:pPr>
    </w:p>
    <w:p>
      <w:pPr>
        <w:sectPr>
          <w:pgSz w:w="11900" w:h="16838" w:orient="portrait"/>
          <w:cols w:equalWidth="0" w:num="2">
            <w:col w:w="7820" w:space="520"/>
            <w:col w:w="2700"/>
          </w:cols>
          <w:pgMar w:left="320" w:top="478" w:right="539" w:bottom="1440" w:gutter="0" w:footer="0" w:header="0"/>
          <w:type w:val="continuous"/>
        </w:sectPr>
      </w:pPr>
    </w:p>
    <w:p>
      <w:pPr>
        <w:ind w:left="160"/>
        <w:spacing w:after="0"/>
        <w:rPr>
          <w:sz w:val="20"/>
          <w:szCs w:val="20"/>
          <w:color w:val="auto"/>
        </w:rPr>
      </w:pPr>
      <w:r>
        <w:rPr>
          <w:rFonts w:ascii="Arial" w:cs="Arial" w:eastAsia="Arial" w:hAnsi="Arial"/>
          <w:sz w:val="16"/>
          <w:szCs w:val="16"/>
          <w:color w:val="auto"/>
        </w:rPr>
        <w:t>And to consider and transact such other business as may properly come before the Annual Meeting, or any adjournments or postponements thereof.</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WHO CAN VOTE AND PARTICIPATE</w:t>
      </w:r>
    </w:p>
    <w:p>
      <w:pPr>
        <w:spacing w:after="0" w:line="19" w:lineRule="exact"/>
        <w:rPr>
          <w:sz w:val="20"/>
          <w:szCs w:val="20"/>
          <w:color w:val="auto"/>
        </w:rPr>
      </w:pPr>
    </w:p>
    <w:p>
      <w:pPr>
        <w:ind w:left="160" w:right="180"/>
        <w:spacing w:after="0" w:line="251" w:lineRule="auto"/>
        <w:rPr>
          <w:sz w:val="20"/>
          <w:szCs w:val="20"/>
          <w:color w:val="auto"/>
        </w:rPr>
      </w:pPr>
      <w:r>
        <w:rPr>
          <w:rFonts w:ascii="Arial" w:cs="Arial" w:eastAsia="Arial" w:hAnsi="Arial"/>
          <w:sz w:val="16"/>
          <w:szCs w:val="16"/>
          <w:color w:val="auto"/>
        </w:rPr>
        <w:t>Only the Company’s shareholders of record at the close of business on March 5, 2025, the record date fixed by the Board of Directors, are entitled to notice of, and to vote at, the Annual Meeting, and at any adjournments or postponements thereof. Only such shareholders, their proxy holders, and our invited guests may attend the Annual Meeting.</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HOW TO PARTICIPATE IN THE VIRTUAL ANNUAL MEETING</w:t>
      </w:r>
    </w:p>
    <w:p>
      <w:pPr>
        <w:spacing w:after="0" w:line="19" w:lineRule="exact"/>
        <w:rPr>
          <w:sz w:val="20"/>
          <w:szCs w:val="20"/>
          <w:color w:val="auto"/>
        </w:rPr>
      </w:pPr>
    </w:p>
    <w:p>
      <w:pPr>
        <w:ind w:left="160" w:right="400"/>
        <w:spacing w:after="0" w:line="258" w:lineRule="auto"/>
        <w:rPr>
          <w:sz w:val="20"/>
          <w:szCs w:val="20"/>
          <w:color w:val="auto"/>
        </w:rPr>
      </w:pPr>
      <w:r>
        <w:rPr>
          <w:rFonts w:ascii="Arial" w:cs="Arial" w:eastAsia="Arial" w:hAnsi="Arial"/>
          <w:sz w:val="16"/>
          <w:szCs w:val="16"/>
          <w:color w:val="auto"/>
        </w:rPr>
        <w:t>To participate in the virtual Annual Meeting, visit http://www.virtualshareholdermeeting.com/WYNN2025, and log in using the 16-digit control number printed in the box marked by the arrow on your Notice of Internet Availability, proxy card or voter instruction form.</w:t>
      </w:r>
    </w:p>
    <w:p>
      <w:pPr>
        <w:spacing w:after="0" w:line="97"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HOW TO VOTE</w:t>
      </w:r>
    </w:p>
    <w:p>
      <w:pPr>
        <w:spacing w:after="0" w:line="19" w:lineRule="exact"/>
        <w:rPr>
          <w:sz w:val="20"/>
          <w:szCs w:val="20"/>
          <w:color w:val="auto"/>
        </w:rPr>
      </w:pPr>
    </w:p>
    <w:p>
      <w:pPr>
        <w:ind w:left="160" w:right="80"/>
        <w:spacing w:after="0" w:line="258" w:lineRule="auto"/>
        <w:rPr>
          <w:sz w:val="20"/>
          <w:szCs w:val="20"/>
          <w:color w:val="auto"/>
        </w:rPr>
      </w:pPr>
      <w:r>
        <w:rPr>
          <w:rFonts w:ascii="Arial" w:cs="Arial" w:eastAsia="Arial" w:hAnsi="Arial"/>
          <w:sz w:val="16"/>
          <w:szCs w:val="16"/>
          <w:color w:val="auto"/>
        </w:rPr>
        <w:t>Further information and instructions regarding the Annual Meeting, the voting process, the quorum and the required votes for the approval of each of the proposals can be found in the “General Information” section starting on page 83.</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YOUR VOTE IS IMPORTANT</w:t>
      </w:r>
    </w:p>
    <w:p>
      <w:pPr>
        <w:spacing w:after="0" w:line="19" w:lineRule="exact"/>
        <w:rPr>
          <w:sz w:val="20"/>
          <w:szCs w:val="20"/>
          <w:color w:val="auto"/>
        </w:rPr>
      </w:pPr>
    </w:p>
    <w:p>
      <w:pPr>
        <w:ind w:left="160" w:right="240"/>
        <w:spacing w:after="0" w:line="258" w:lineRule="auto"/>
        <w:rPr>
          <w:sz w:val="20"/>
          <w:szCs w:val="20"/>
          <w:color w:val="auto"/>
        </w:rPr>
      </w:pPr>
      <w:r>
        <w:rPr>
          <w:rFonts w:ascii="Arial" w:cs="Arial" w:eastAsia="Arial" w:hAnsi="Arial"/>
          <w:sz w:val="16"/>
          <w:szCs w:val="16"/>
          <w:color w:val="auto"/>
        </w:rPr>
        <w:t>Whether or not you plan to attend the Annual Meeting, it is important to read the Proxy Statement in its entirety and then cast your vote as promptly as possible.</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IMPORTANT NOTICE REGARDING THE AVAILABILITY OF PROXY MATERIALS FOR THIS MEETING</w:t>
      </w:r>
    </w:p>
    <w:p>
      <w:pPr>
        <w:spacing w:after="0" w:line="19" w:lineRule="exact"/>
        <w:rPr>
          <w:sz w:val="20"/>
          <w:szCs w:val="20"/>
          <w:color w:val="auto"/>
        </w:rPr>
      </w:pPr>
    </w:p>
    <w:p>
      <w:pPr>
        <w:ind w:left="160" w:right="780"/>
        <w:spacing w:after="0" w:line="258" w:lineRule="auto"/>
        <w:rPr>
          <w:sz w:val="20"/>
          <w:szCs w:val="20"/>
          <w:color w:val="auto"/>
        </w:rPr>
      </w:pPr>
      <w:r>
        <w:rPr>
          <w:rFonts w:ascii="Arial" w:cs="Arial" w:eastAsia="Arial" w:hAnsi="Arial"/>
          <w:sz w:val="16"/>
          <w:szCs w:val="16"/>
          <w:color w:val="auto"/>
        </w:rPr>
        <w:t>The Proxy Statement and our Annual Report for the fiscal year ended December 31, 2024, are available at http://www.wynnresorts.com on the ”COMPANY INFO” page under the “Annual Meeting” heading.</w:t>
      </w:r>
    </w:p>
    <w:p>
      <w:pPr>
        <w:spacing w:after="0" w:line="97" w:lineRule="exact"/>
        <w:rPr>
          <w:sz w:val="20"/>
          <w:szCs w:val="20"/>
          <w:color w:val="auto"/>
        </w:rPr>
      </w:pPr>
    </w:p>
    <w:p>
      <w:pPr>
        <w:ind w:left="160" w:right="600"/>
        <w:spacing w:after="0" w:line="279" w:lineRule="auto"/>
        <w:rPr>
          <w:sz w:val="20"/>
          <w:szCs w:val="20"/>
          <w:color w:val="auto"/>
        </w:rPr>
      </w:pPr>
      <w:r>
        <w:rPr>
          <w:rFonts w:ascii="Arial" w:cs="Arial" w:eastAsia="Arial" w:hAnsi="Arial"/>
          <w:sz w:val="16"/>
          <w:szCs w:val="16"/>
          <w:color w:val="auto"/>
        </w:rPr>
        <w:t>Beginning on or about March 19, 2025, we sent to our shareholders either a printed copy of our proxy materials or a Notice of Internet Availability containing instructions on how to access our proxy materials electronically.</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925830" cy="288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25830" cy="28892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Jacqui Krum</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Secretary</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Las Vegas, Nevada</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March 19, 2025</w:t>
      </w:r>
    </w:p>
    <w:p>
      <w:pPr>
        <w:sectPr>
          <w:pgSz w:w="11900" w:h="16838" w:orient="portrait"/>
          <w:cols w:equalWidth="0" w:num="1">
            <w:col w:w="11040"/>
          </w:cols>
          <w:pgMar w:left="320" w:top="478" w:right="5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45"/>
          <w:szCs w:val="45"/>
          <w:color w:val="140F21"/>
        </w:rPr>
        <w:t xml:space="preserve">Table </w:t>
      </w:r>
      <w:r>
        <w:rPr>
          <w:rFonts w:ascii="Times New Roman" w:cs="Times New Roman" w:eastAsia="Times New Roman" w:hAnsi="Times New Roman"/>
          <w:sz w:val="45"/>
          <w:szCs w:val="45"/>
          <w:i w:val="1"/>
          <w:iCs w:val="1"/>
          <w:color w:val="140F21"/>
        </w:rPr>
        <w:t>of</w:t>
      </w:r>
      <w:r>
        <w:rPr>
          <w:rFonts w:ascii="Times New Roman" w:cs="Times New Roman" w:eastAsia="Times New Roman" w:hAnsi="Times New Roman"/>
          <w:sz w:val="45"/>
          <w:szCs w:val="45"/>
          <w:color w:val="140F21"/>
        </w:rPr>
        <w:t xml:space="preserve"> Contents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6"/>
          <w:szCs w:val="16"/>
          <w:u w:val="single" w:color="auto"/>
          <w:color w:val="0000EE"/>
        </w:rPr>
        <w:t>2024 Highlights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2"/>
          <w:szCs w:val="12"/>
          <w:u w:val="single" w:color="auto"/>
          <w:color w:val="0000EE"/>
        </w:rPr>
        <w:t>OUR BOARD AND CORPORATE</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12"/>
          <w:szCs w:val="12"/>
          <w:u w:val="single" w:color="auto"/>
          <w:color w:val="0000EE"/>
        </w:rPr>
        <w:t>GOVERNANCE</w:t>
      </w:r>
    </w:p>
    <w:p>
      <w:pPr>
        <w:spacing w:after="0" w:line="4" w:lineRule="exact"/>
        <w:rPr>
          <w:sz w:val="20"/>
          <w:szCs w:val="20"/>
          <w:color w:val="auto"/>
        </w:rPr>
      </w:pPr>
    </w:p>
    <w:p>
      <w:pPr>
        <w:ind w:left="280" w:hanging="108"/>
        <w:spacing w:after="0"/>
        <w:tabs>
          <w:tab w:leader="none" w:pos="280" w:val="left"/>
        </w:tabs>
        <w:numPr>
          <w:ilvl w:val="0"/>
          <w:numId w:val="7"/>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Governance</w:t>
      </w:r>
    </w:p>
    <w:p>
      <w:pPr>
        <w:spacing w:after="0" w:line="3" w:lineRule="exact"/>
        <w:rPr>
          <w:rFonts w:ascii="Arial" w:cs="Arial" w:eastAsia="Arial" w:hAnsi="Arial"/>
          <w:sz w:val="16"/>
          <w:szCs w:val="16"/>
          <w:u w:val="single" w:color="auto"/>
          <w:color w:val="0000EE"/>
        </w:rPr>
      </w:pPr>
    </w:p>
    <w:p>
      <w:pPr>
        <w:ind w:left="280" w:hanging="108"/>
        <w:spacing w:after="0"/>
        <w:tabs>
          <w:tab w:leader="none" w:pos="280" w:val="left"/>
        </w:tabs>
        <w:numPr>
          <w:ilvl w:val="0"/>
          <w:numId w:val="7"/>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Board Composition</w:t>
      </w:r>
    </w:p>
    <w:p>
      <w:pPr>
        <w:spacing w:after="0" w:line="3" w:lineRule="exact"/>
        <w:rPr>
          <w:rFonts w:ascii="Arial" w:cs="Arial" w:eastAsia="Arial" w:hAnsi="Arial"/>
          <w:sz w:val="16"/>
          <w:szCs w:val="16"/>
          <w:u w:val="single" w:color="auto"/>
          <w:color w:val="0000EE"/>
        </w:rPr>
      </w:pPr>
    </w:p>
    <w:p>
      <w:pPr>
        <w:ind w:left="280" w:hanging="108"/>
        <w:spacing w:after="0"/>
        <w:tabs>
          <w:tab w:leader="none" w:pos="280" w:val="left"/>
        </w:tabs>
        <w:numPr>
          <w:ilvl w:val="0"/>
          <w:numId w:val="7"/>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Director Biographies</w:t>
      </w:r>
    </w:p>
    <w:p>
      <w:pPr>
        <w:spacing w:after="0" w:line="3" w:lineRule="exact"/>
        <w:rPr>
          <w:rFonts w:ascii="Arial" w:cs="Arial" w:eastAsia="Arial" w:hAnsi="Arial"/>
          <w:sz w:val="16"/>
          <w:szCs w:val="16"/>
          <w:u w:val="single" w:color="auto"/>
          <w:color w:val="0000EE"/>
        </w:rPr>
      </w:pPr>
    </w:p>
    <w:p>
      <w:pPr>
        <w:ind w:left="280" w:hanging="108"/>
        <w:spacing w:after="0"/>
        <w:tabs>
          <w:tab w:leader="none" w:pos="280" w:val="left"/>
        </w:tabs>
        <w:numPr>
          <w:ilvl w:val="0"/>
          <w:numId w:val="7"/>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Board Independence</w:t>
      </w:r>
    </w:p>
    <w:p>
      <w:pPr>
        <w:spacing w:after="0" w:line="3" w:lineRule="exact"/>
        <w:rPr>
          <w:rFonts w:ascii="Arial" w:cs="Arial" w:eastAsia="Arial" w:hAnsi="Arial"/>
          <w:sz w:val="16"/>
          <w:szCs w:val="16"/>
          <w:u w:val="single" w:color="auto"/>
          <w:color w:val="0000EE"/>
        </w:rPr>
      </w:pPr>
    </w:p>
    <w:p>
      <w:pPr>
        <w:ind w:left="280" w:hanging="108"/>
        <w:spacing w:after="0"/>
        <w:tabs>
          <w:tab w:leader="none" w:pos="280" w:val="left"/>
        </w:tabs>
        <w:numPr>
          <w:ilvl w:val="0"/>
          <w:numId w:val="7"/>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Committees of the Board</w:t>
      </w:r>
    </w:p>
    <w:p>
      <w:pPr>
        <w:spacing w:after="0" w:line="3" w:lineRule="exact"/>
        <w:rPr>
          <w:rFonts w:ascii="Arial" w:cs="Arial" w:eastAsia="Arial" w:hAnsi="Arial"/>
          <w:sz w:val="16"/>
          <w:szCs w:val="16"/>
          <w:u w:val="single" w:color="auto"/>
          <w:color w:val="0000EE"/>
        </w:rPr>
      </w:pPr>
    </w:p>
    <w:p>
      <w:pPr>
        <w:ind w:left="280" w:hanging="108"/>
        <w:spacing w:after="0"/>
        <w:tabs>
          <w:tab w:leader="none" w:pos="280" w:val="left"/>
        </w:tabs>
        <w:numPr>
          <w:ilvl w:val="0"/>
          <w:numId w:val="7"/>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Board Leadership</w:t>
      </w:r>
    </w:p>
    <w:p>
      <w:pPr>
        <w:spacing w:after="0" w:line="3" w:lineRule="exact"/>
        <w:rPr>
          <w:rFonts w:ascii="Arial" w:cs="Arial" w:eastAsia="Arial" w:hAnsi="Arial"/>
          <w:sz w:val="16"/>
          <w:szCs w:val="16"/>
          <w:u w:val="single" w:color="auto"/>
          <w:color w:val="0000EE"/>
        </w:rPr>
      </w:pPr>
    </w:p>
    <w:p>
      <w:pPr>
        <w:ind w:left="280" w:hanging="108"/>
        <w:spacing w:after="0"/>
        <w:tabs>
          <w:tab w:leader="none" w:pos="280" w:val="left"/>
        </w:tabs>
        <w:numPr>
          <w:ilvl w:val="0"/>
          <w:numId w:val="7"/>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Board Role in Risk Oversight</w:t>
      </w:r>
    </w:p>
    <w:p>
      <w:pPr>
        <w:spacing w:after="0" w:line="3" w:lineRule="exact"/>
        <w:rPr>
          <w:rFonts w:ascii="Arial" w:cs="Arial" w:eastAsia="Arial" w:hAnsi="Arial"/>
          <w:sz w:val="16"/>
          <w:szCs w:val="16"/>
          <w:u w:val="single" w:color="auto"/>
          <w:color w:val="0000EE"/>
        </w:rPr>
      </w:pPr>
    </w:p>
    <w:p>
      <w:pPr>
        <w:ind w:left="260" w:hanging="88"/>
        <w:spacing w:after="0"/>
        <w:tabs>
          <w:tab w:leader="none" w:pos="260" w:val="left"/>
        </w:tabs>
        <w:numPr>
          <w:ilvl w:val="0"/>
          <w:numId w:val="7"/>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Non-Employee Director Compensation Table</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2"/>
          <w:szCs w:val="12"/>
          <w:u w:val="single" w:color="auto"/>
          <w:color w:val="0000EE"/>
        </w:rPr>
        <w:t>OUR PEOPLE AND OUR STEWARDSHIP</w:t>
      </w:r>
    </w:p>
    <w:p>
      <w:pPr>
        <w:spacing w:after="0" w:line="16" w:lineRule="exact"/>
        <w:rPr>
          <w:sz w:val="20"/>
          <w:szCs w:val="20"/>
          <w:color w:val="auto"/>
        </w:rPr>
      </w:pPr>
    </w:p>
    <w:p>
      <w:pPr>
        <w:ind w:left="280" w:hanging="108"/>
        <w:spacing w:after="0"/>
        <w:tabs>
          <w:tab w:leader="none" w:pos="280" w:val="left"/>
        </w:tabs>
        <w:numPr>
          <w:ilvl w:val="0"/>
          <w:numId w:val="8"/>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Who We Are</w:t>
      </w:r>
    </w:p>
    <w:p>
      <w:pPr>
        <w:spacing w:after="0" w:line="3" w:lineRule="exact"/>
        <w:rPr>
          <w:rFonts w:ascii="Arial" w:cs="Arial" w:eastAsia="Arial" w:hAnsi="Arial"/>
          <w:sz w:val="16"/>
          <w:szCs w:val="16"/>
          <w:u w:val="single" w:color="auto"/>
          <w:color w:val="0000EE"/>
        </w:rPr>
      </w:pPr>
    </w:p>
    <w:p>
      <w:pPr>
        <w:ind w:left="280" w:hanging="108"/>
        <w:spacing w:after="0"/>
        <w:tabs>
          <w:tab w:leader="none" w:pos="280" w:val="left"/>
        </w:tabs>
        <w:numPr>
          <w:ilvl w:val="0"/>
          <w:numId w:val="8"/>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Our People and Our Properties</w:t>
      </w:r>
    </w:p>
    <w:p>
      <w:pPr>
        <w:spacing w:after="0" w:line="3" w:lineRule="exact"/>
        <w:rPr>
          <w:rFonts w:ascii="Arial" w:cs="Arial" w:eastAsia="Arial" w:hAnsi="Arial"/>
          <w:sz w:val="16"/>
          <w:szCs w:val="16"/>
          <w:u w:val="single" w:color="auto"/>
          <w:color w:val="0000EE"/>
        </w:rPr>
      </w:pPr>
    </w:p>
    <w:p>
      <w:pPr>
        <w:ind w:left="280" w:hanging="108"/>
        <w:spacing w:after="0"/>
        <w:tabs>
          <w:tab w:leader="none" w:pos="280" w:val="left"/>
        </w:tabs>
        <w:numPr>
          <w:ilvl w:val="0"/>
          <w:numId w:val="8"/>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Executive Officers</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2"/>
          <w:szCs w:val="12"/>
          <w:u w:val="single" w:color="auto"/>
          <w:color w:val="0000EE"/>
        </w:rPr>
        <w:t>COMPENSATION DISCUSSION AND ANALYSIS</w:t>
      </w:r>
    </w:p>
    <w:p>
      <w:pPr>
        <w:spacing w:after="0" w:line="16" w:lineRule="exact"/>
        <w:rPr>
          <w:sz w:val="20"/>
          <w:szCs w:val="20"/>
          <w:color w:val="auto"/>
        </w:rPr>
      </w:pPr>
    </w:p>
    <w:p>
      <w:pPr>
        <w:ind w:left="280" w:hanging="108"/>
        <w:spacing w:after="0"/>
        <w:tabs>
          <w:tab w:leader="none" w:pos="280" w:val="left"/>
        </w:tabs>
        <w:numPr>
          <w:ilvl w:val="0"/>
          <w:numId w:val="9"/>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How We Approach Executive Compensation</w:t>
      </w:r>
    </w:p>
    <w:p>
      <w:pPr>
        <w:spacing w:after="0" w:line="3" w:lineRule="exact"/>
        <w:rPr>
          <w:rFonts w:ascii="Arial" w:cs="Arial" w:eastAsia="Arial" w:hAnsi="Arial"/>
          <w:sz w:val="16"/>
          <w:szCs w:val="16"/>
          <w:u w:val="single" w:color="auto"/>
          <w:color w:val="0000EE"/>
        </w:rPr>
      </w:pPr>
    </w:p>
    <w:p>
      <w:pPr>
        <w:ind w:left="280" w:hanging="108"/>
        <w:spacing w:after="0"/>
        <w:tabs>
          <w:tab w:leader="none" w:pos="280" w:val="left"/>
        </w:tabs>
        <w:numPr>
          <w:ilvl w:val="0"/>
          <w:numId w:val="9"/>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How We Designed Incentives in 2024</w:t>
      </w:r>
    </w:p>
    <w:p>
      <w:pPr>
        <w:spacing w:after="0" w:line="3" w:lineRule="exact"/>
        <w:rPr>
          <w:rFonts w:ascii="Arial" w:cs="Arial" w:eastAsia="Arial" w:hAnsi="Arial"/>
          <w:sz w:val="16"/>
          <w:szCs w:val="16"/>
          <w:u w:val="single" w:color="auto"/>
          <w:color w:val="0000EE"/>
        </w:rPr>
      </w:pPr>
    </w:p>
    <w:p>
      <w:pPr>
        <w:ind w:left="280" w:hanging="108"/>
        <w:spacing w:after="0"/>
        <w:tabs>
          <w:tab w:leader="none" w:pos="280" w:val="left"/>
        </w:tabs>
        <w:numPr>
          <w:ilvl w:val="0"/>
          <w:numId w:val="9"/>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Executive compensation components</w:t>
      </w:r>
    </w:p>
    <w:p>
      <w:pPr>
        <w:spacing w:after="0" w:line="3" w:lineRule="exact"/>
        <w:rPr>
          <w:rFonts w:ascii="Arial" w:cs="Arial" w:eastAsia="Arial" w:hAnsi="Arial"/>
          <w:sz w:val="16"/>
          <w:szCs w:val="16"/>
          <w:u w:val="single" w:color="auto"/>
          <w:color w:val="0000EE"/>
        </w:rPr>
      </w:pPr>
    </w:p>
    <w:p>
      <w:pPr>
        <w:ind w:left="280" w:hanging="108"/>
        <w:spacing w:after="0"/>
        <w:tabs>
          <w:tab w:leader="none" w:pos="280" w:val="left"/>
        </w:tabs>
        <w:numPr>
          <w:ilvl w:val="0"/>
          <w:numId w:val="9"/>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2024 Compensation Design &amp; Decisions</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2"/>
          <w:szCs w:val="12"/>
          <w:u w:val="single" w:color="auto"/>
          <w:color w:val="0000EE"/>
        </w:rPr>
        <w:t>EXECUTIVE COMPENSATION TABLES</w:t>
      </w:r>
    </w:p>
    <w:p>
      <w:pPr>
        <w:spacing w:after="0" w:line="16" w:lineRule="exact"/>
        <w:rPr>
          <w:sz w:val="20"/>
          <w:szCs w:val="20"/>
          <w:color w:val="auto"/>
        </w:rPr>
      </w:pPr>
    </w:p>
    <w:p>
      <w:pPr>
        <w:ind w:left="280" w:hanging="108"/>
        <w:spacing w:after="0"/>
        <w:tabs>
          <w:tab w:leader="none" w:pos="280" w:val="left"/>
        </w:tabs>
        <w:numPr>
          <w:ilvl w:val="0"/>
          <w:numId w:val="10"/>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Summary Compensation Table</w:t>
      </w:r>
    </w:p>
    <w:p>
      <w:pPr>
        <w:spacing w:after="0" w:line="3" w:lineRule="exact"/>
        <w:rPr>
          <w:rFonts w:ascii="Arial" w:cs="Arial" w:eastAsia="Arial" w:hAnsi="Arial"/>
          <w:sz w:val="16"/>
          <w:szCs w:val="16"/>
          <w:u w:val="single" w:color="auto"/>
          <w:color w:val="0000EE"/>
        </w:rPr>
      </w:pPr>
    </w:p>
    <w:p>
      <w:pPr>
        <w:ind w:left="280" w:hanging="108"/>
        <w:spacing w:after="0"/>
        <w:tabs>
          <w:tab w:leader="none" w:pos="280" w:val="left"/>
        </w:tabs>
        <w:numPr>
          <w:ilvl w:val="0"/>
          <w:numId w:val="10"/>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2024 Grants of Plan-Based Awards Table</w:t>
      </w:r>
    </w:p>
    <w:p>
      <w:pPr>
        <w:spacing w:after="0" w:line="3" w:lineRule="exact"/>
        <w:rPr>
          <w:rFonts w:ascii="Arial" w:cs="Arial" w:eastAsia="Arial" w:hAnsi="Arial"/>
          <w:sz w:val="16"/>
          <w:szCs w:val="16"/>
          <w:u w:val="single" w:color="auto"/>
          <w:color w:val="0000EE"/>
        </w:rPr>
      </w:pPr>
    </w:p>
    <w:p>
      <w:pPr>
        <w:ind w:left="280" w:hanging="108"/>
        <w:spacing w:after="0"/>
        <w:tabs>
          <w:tab w:leader="none" w:pos="280" w:val="left"/>
        </w:tabs>
        <w:numPr>
          <w:ilvl w:val="0"/>
          <w:numId w:val="10"/>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Option Exercises and Stock Vested in 2024</w:t>
      </w:r>
    </w:p>
    <w:p>
      <w:pPr>
        <w:spacing w:after="0" w:line="3" w:lineRule="exact"/>
        <w:rPr>
          <w:rFonts w:ascii="Arial" w:cs="Arial" w:eastAsia="Arial" w:hAnsi="Arial"/>
          <w:sz w:val="16"/>
          <w:szCs w:val="16"/>
          <w:u w:val="single" w:color="auto"/>
          <w:color w:val="0000EE"/>
        </w:rPr>
      </w:pPr>
    </w:p>
    <w:p>
      <w:pPr>
        <w:ind w:left="180" w:hanging="8"/>
        <w:spacing w:after="0" w:line="258" w:lineRule="auto"/>
        <w:tabs>
          <w:tab w:leader="none" w:pos="278" w:val="left"/>
        </w:tabs>
        <w:numPr>
          <w:ilvl w:val="0"/>
          <w:numId w:val="10"/>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 xml:space="preserve">Potential Payments Upon Termination, Retirement or Change in </w:t>
      </w:r>
      <w:r>
        <w:rPr>
          <w:rFonts w:ascii="Arial" w:cs="Arial" w:eastAsia="Arial" w:hAnsi="Arial"/>
          <w:sz w:val="16"/>
          <w:szCs w:val="16"/>
          <w:color w:val="0000EE"/>
        </w:rPr>
        <w:t>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-31115</wp:posOffset>
            </wp:positionV>
            <wp:extent cx="3848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jc w:val="right"/>
              <w:ind w:right="320"/>
              <w:spacing w:after="0"/>
              <w:rPr>
                <w:sz w:val="20"/>
                <w:szCs w:val="20"/>
                <w:color w:val="auto"/>
              </w:rPr>
            </w:pPr>
            <w:r>
              <w:rPr>
                <w:rFonts w:ascii="Arial" w:cs="Arial" w:eastAsia="Arial" w:hAnsi="Arial"/>
                <w:sz w:val="16"/>
                <w:szCs w:val="16"/>
                <w:color w:val="auto"/>
              </w:rPr>
              <w:t>1</w:t>
            </w:r>
          </w:p>
        </w:tc>
        <w:tc>
          <w:tcPr>
            <w:tcW w:w="1860" w:type="dxa"/>
            <w:vAlign w:val="bottom"/>
            <w:tcBorders>
              <w:bottom w:val="single" w:sz="8" w:color="0000EE"/>
            </w:tcBorders>
            <w:gridSpan w:val="7"/>
          </w:tcPr>
          <w:p>
            <w:pPr>
              <w:spacing w:after="0"/>
              <w:rPr>
                <w:sz w:val="20"/>
                <w:szCs w:val="20"/>
                <w:color w:val="auto"/>
              </w:rPr>
            </w:pPr>
            <w:r>
              <w:rPr>
                <w:rFonts w:ascii="Arial" w:cs="Arial" w:eastAsia="Arial" w:hAnsi="Arial"/>
                <w:sz w:val="12"/>
                <w:szCs w:val="12"/>
                <w:color w:val="0000EE"/>
              </w:rPr>
              <w:t>CERTAIN RELATIONSHIPS AND</w:t>
            </w: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63</w:t>
            </w:r>
          </w:p>
        </w:tc>
        <w:tc>
          <w:tcPr>
            <w:tcW w:w="0" w:type="dxa"/>
            <w:vAlign w:val="bottom"/>
          </w:tcPr>
          <w:p>
            <w:pPr>
              <w:spacing w:after="0"/>
              <w:rPr>
                <w:sz w:val="1"/>
                <w:szCs w:val="1"/>
                <w:color w:val="auto"/>
              </w:rPr>
            </w:pPr>
          </w:p>
        </w:tc>
      </w:tr>
      <w:tr>
        <w:trPr>
          <w:trHeight w:val="114"/>
        </w:trPr>
        <w:tc>
          <w:tcPr>
            <w:tcW w:w="580" w:type="dxa"/>
            <w:vAlign w:val="bottom"/>
          </w:tcPr>
          <w:p>
            <w:pPr>
              <w:spacing w:after="0"/>
              <w:rPr>
                <w:sz w:val="9"/>
                <w:szCs w:val="9"/>
                <w:color w:val="auto"/>
              </w:rPr>
            </w:pPr>
          </w:p>
        </w:tc>
        <w:tc>
          <w:tcPr>
            <w:tcW w:w="980" w:type="dxa"/>
            <w:vAlign w:val="bottom"/>
            <w:tcBorders>
              <w:bottom w:val="single" w:sz="8" w:color="0000EE"/>
            </w:tcBorders>
          </w:tcPr>
          <w:p>
            <w:pPr>
              <w:spacing w:after="0" w:line="114" w:lineRule="exact"/>
              <w:rPr>
                <w:sz w:val="20"/>
                <w:szCs w:val="20"/>
                <w:color w:val="auto"/>
              </w:rPr>
            </w:pPr>
            <w:r>
              <w:rPr>
                <w:rFonts w:ascii="Arial" w:cs="Arial" w:eastAsia="Arial" w:hAnsi="Arial"/>
                <w:sz w:val="12"/>
                <w:szCs w:val="12"/>
                <w:color w:val="0000EE"/>
              </w:rPr>
              <w:t>TRANSACTIONS</w:t>
            </w:r>
          </w:p>
        </w:tc>
        <w:tc>
          <w:tcPr>
            <w:tcW w:w="2480" w:type="dxa"/>
            <w:vAlign w:val="bottom"/>
            <w:gridSpan w:val="10"/>
          </w:tcPr>
          <w:p>
            <w:pPr>
              <w:spacing w:after="0"/>
              <w:rPr>
                <w:sz w:val="9"/>
                <w:szCs w:val="9"/>
                <w:color w:val="auto"/>
              </w:rPr>
            </w:pPr>
          </w:p>
        </w:tc>
        <w:tc>
          <w:tcPr>
            <w:tcW w:w="1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8"/>
        </w:trPr>
        <w:tc>
          <w:tcPr>
            <w:tcW w:w="580" w:type="dxa"/>
            <w:vAlign w:val="bottom"/>
          </w:tcPr>
          <w:p>
            <w:pPr>
              <w:spacing w:after="0"/>
              <w:rPr>
                <w:sz w:val="24"/>
                <w:szCs w:val="24"/>
                <w:color w:val="auto"/>
              </w:rPr>
            </w:pPr>
          </w:p>
        </w:tc>
        <w:tc>
          <w:tcPr>
            <w:tcW w:w="1500" w:type="dxa"/>
            <w:vAlign w:val="bottom"/>
            <w:tcBorders>
              <w:bottom w:val="single" w:sz="8" w:color="0000EE"/>
            </w:tcBorders>
            <w:gridSpan w:val="4"/>
          </w:tcPr>
          <w:p>
            <w:pPr>
              <w:spacing w:after="0"/>
              <w:rPr>
                <w:sz w:val="20"/>
                <w:szCs w:val="20"/>
                <w:color w:val="auto"/>
              </w:rPr>
            </w:pPr>
            <w:r>
              <w:rPr>
                <w:rFonts w:ascii="Arial" w:cs="Arial" w:eastAsia="Arial" w:hAnsi="Arial"/>
                <w:sz w:val="12"/>
                <w:szCs w:val="12"/>
                <w:color w:val="0000EE"/>
              </w:rPr>
              <w:t>PAY RATIO DISCLOSURE</w:t>
            </w:r>
          </w:p>
        </w:tc>
        <w:tc>
          <w:tcPr>
            <w:tcW w:w="1960" w:type="dxa"/>
            <w:vAlign w:val="bottom"/>
            <w:gridSpan w:val="7"/>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2"/>
                <w:szCs w:val="12"/>
                <w:b w:val="1"/>
                <w:bCs w:val="1"/>
                <w:color w:val="auto"/>
              </w:rPr>
              <w:t>65</w:t>
            </w:r>
          </w:p>
        </w:tc>
        <w:tc>
          <w:tcPr>
            <w:tcW w:w="0" w:type="dxa"/>
            <w:vAlign w:val="bottom"/>
          </w:tcPr>
          <w:p>
            <w:pPr>
              <w:spacing w:after="0"/>
              <w:rPr>
                <w:sz w:val="1"/>
                <w:szCs w:val="1"/>
                <w:color w:val="auto"/>
              </w:rPr>
            </w:pPr>
          </w:p>
        </w:tc>
      </w:tr>
      <w:tr>
        <w:trPr>
          <w:trHeight w:val="220"/>
        </w:trPr>
        <w:tc>
          <w:tcPr>
            <w:tcW w:w="580" w:type="dxa"/>
            <w:vAlign w:val="bottom"/>
          </w:tcPr>
          <w:p>
            <w:pPr>
              <w:jc w:val="right"/>
              <w:ind w:right="320"/>
              <w:spacing w:after="0"/>
              <w:rPr>
                <w:sz w:val="20"/>
                <w:szCs w:val="20"/>
                <w:color w:val="auto"/>
              </w:rPr>
            </w:pPr>
            <w:r>
              <w:rPr>
                <w:rFonts w:ascii="Arial" w:cs="Arial" w:eastAsia="Arial" w:hAnsi="Arial"/>
                <w:sz w:val="16"/>
                <w:szCs w:val="16"/>
                <w:color w:val="auto"/>
              </w:rPr>
              <w:t>3</w:t>
            </w:r>
          </w:p>
        </w:tc>
        <w:tc>
          <w:tcPr>
            <w:tcW w:w="3460" w:type="dxa"/>
            <w:vAlign w:val="bottom"/>
            <w:gridSpan w:val="11"/>
            <w:vMerge w:val="restart"/>
          </w:tcPr>
          <w:p>
            <w:pPr>
              <w:spacing w:after="0"/>
              <w:rPr>
                <w:sz w:val="20"/>
                <w:szCs w:val="20"/>
                <w:color w:val="auto"/>
              </w:rPr>
            </w:pPr>
            <w:r>
              <w:rPr>
                <w:rFonts w:ascii="Arial" w:cs="Arial" w:eastAsia="Arial" w:hAnsi="Arial"/>
                <w:sz w:val="12"/>
                <w:szCs w:val="12"/>
                <w:color w:val="0000EE"/>
              </w:rPr>
              <w:t>PAY VS. PERFORMANCE</w:t>
            </w:r>
          </w:p>
        </w:tc>
        <w:tc>
          <w:tcPr>
            <w:tcW w:w="18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66</w:t>
            </w:r>
          </w:p>
        </w:tc>
        <w:tc>
          <w:tcPr>
            <w:tcW w:w="0" w:type="dxa"/>
            <w:vAlign w:val="bottom"/>
          </w:tcPr>
          <w:p>
            <w:pPr>
              <w:spacing w:after="0"/>
              <w:rPr>
                <w:sz w:val="1"/>
                <w:szCs w:val="1"/>
                <w:color w:val="auto"/>
              </w:rPr>
            </w:pPr>
          </w:p>
        </w:tc>
      </w:tr>
      <w:tr>
        <w:trPr>
          <w:trHeight w:val="68"/>
        </w:trPr>
        <w:tc>
          <w:tcPr>
            <w:tcW w:w="580" w:type="dxa"/>
            <w:vAlign w:val="bottom"/>
            <w:vMerge w:val="restart"/>
          </w:tcPr>
          <w:p>
            <w:pPr>
              <w:jc w:val="right"/>
              <w:ind w:right="320"/>
              <w:spacing w:after="0"/>
              <w:rPr>
                <w:sz w:val="20"/>
                <w:szCs w:val="20"/>
                <w:color w:val="auto"/>
              </w:rPr>
            </w:pPr>
            <w:r>
              <w:rPr>
                <w:rFonts w:ascii="Arial" w:cs="Arial" w:eastAsia="Arial" w:hAnsi="Arial"/>
                <w:sz w:val="16"/>
                <w:szCs w:val="16"/>
                <w:color w:val="auto"/>
              </w:rPr>
              <w:t>4</w:t>
            </w:r>
          </w:p>
        </w:tc>
        <w:tc>
          <w:tcPr>
            <w:tcW w:w="3460" w:type="dxa"/>
            <w:vAlign w:val="bottom"/>
            <w:gridSpan w:val="11"/>
            <w:vMerge w:val="continue"/>
          </w:tcPr>
          <w:p>
            <w:pPr>
              <w:spacing w:after="0"/>
              <w:rPr>
                <w:sz w:val="5"/>
                <w:szCs w:val="5"/>
                <w:color w:val="auto"/>
              </w:rPr>
            </w:pP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580" w:type="dxa"/>
            <w:vAlign w:val="bottom"/>
            <w:vMerge w:val="continue"/>
          </w:tcPr>
          <w:p>
            <w:pPr>
              <w:spacing w:after="0"/>
              <w:rPr>
                <w:sz w:val="8"/>
                <w:szCs w:val="8"/>
                <w:color w:val="auto"/>
              </w:rPr>
            </w:pPr>
          </w:p>
        </w:tc>
        <w:tc>
          <w:tcPr>
            <w:tcW w:w="98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580" w:type="dxa"/>
            <w:vAlign w:val="bottom"/>
          </w:tcPr>
          <w:p>
            <w:pPr>
              <w:jc w:val="right"/>
              <w:ind w:right="320"/>
              <w:spacing w:after="0"/>
              <w:rPr>
                <w:sz w:val="20"/>
                <w:szCs w:val="20"/>
                <w:color w:val="auto"/>
              </w:rPr>
            </w:pPr>
            <w:r>
              <w:rPr>
                <w:rFonts w:ascii="Arial" w:cs="Arial" w:eastAsia="Arial" w:hAnsi="Arial"/>
                <w:sz w:val="16"/>
                <w:szCs w:val="16"/>
                <w:color w:val="auto"/>
              </w:rPr>
              <w:t>6</w:t>
            </w:r>
          </w:p>
        </w:tc>
        <w:tc>
          <w:tcPr>
            <w:tcW w:w="3460" w:type="dxa"/>
            <w:vAlign w:val="bottom"/>
            <w:gridSpan w:val="11"/>
          </w:tcPr>
          <w:p>
            <w:pPr>
              <w:spacing w:after="0"/>
              <w:rPr>
                <w:sz w:val="20"/>
                <w:szCs w:val="20"/>
                <w:color w:val="auto"/>
              </w:rPr>
            </w:pPr>
            <w:r>
              <w:rPr>
                <w:rFonts w:ascii="Arial" w:cs="Arial" w:eastAsia="Arial" w:hAnsi="Arial"/>
                <w:sz w:val="12"/>
                <w:szCs w:val="12"/>
                <w:color w:val="0000EE"/>
              </w:rPr>
              <w:t>SECURITY OWNERSHIP</w:t>
            </w: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80" w:type="dxa"/>
            <w:vAlign w:val="bottom"/>
          </w:tcPr>
          <w:p>
            <w:pPr>
              <w:jc w:val="right"/>
              <w:ind w:right="320"/>
              <w:spacing w:after="0" w:line="154" w:lineRule="exact"/>
              <w:rPr>
                <w:sz w:val="20"/>
                <w:szCs w:val="20"/>
                <w:color w:val="auto"/>
              </w:rPr>
            </w:pPr>
            <w:r>
              <w:rPr>
                <w:rFonts w:ascii="Arial" w:cs="Arial" w:eastAsia="Arial" w:hAnsi="Arial"/>
                <w:sz w:val="16"/>
                <w:szCs w:val="16"/>
                <w:color w:val="auto"/>
                <w:w w:val="89"/>
              </w:rPr>
              <w:t>15</w:t>
            </w:r>
          </w:p>
        </w:tc>
        <w:tc>
          <w:tcPr>
            <w:tcW w:w="1440" w:type="dxa"/>
            <w:vAlign w:val="bottom"/>
            <w:tcBorders>
              <w:top w:val="single" w:sz="8" w:color="0000EE"/>
              <w:bottom w:val="single" w:sz="8" w:color="0000EE"/>
            </w:tcBorders>
            <w:gridSpan w:val="2"/>
          </w:tcPr>
          <w:p>
            <w:pPr>
              <w:spacing w:after="0" w:line="154" w:lineRule="exact"/>
              <w:rPr>
                <w:sz w:val="20"/>
                <w:szCs w:val="20"/>
                <w:color w:val="auto"/>
              </w:rPr>
            </w:pPr>
            <w:r>
              <w:rPr>
                <w:rFonts w:ascii="Arial" w:cs="Arial" w:eastAsia="Arial" w:hAnsi="Arial"/>
                <w:sz w:val="16"/>
                <w:szCs w:val="16"/>
                <w:color w:val="0000EE"/>
              </w:rPr>
              <w:t>- Certain Beneficial</w:t>
            </w:r>
          </w:p>
        </w:tc>
        <w:tc>
          <w:tcPr>
            <w:tcW w:w="2020" w:type="dxa"/>
            <w:vAlign w:val="bottom"/>
            <w:tcBorders>
              <w:bottom w:val="single" w:sz="8" w:color="0000EE"/>
            </w:tcBorders>
            <w:gridSpan w:val="9"/>
          </w:tcPr>
          <w:p>
            <w:pPr>
              <w:spacing w:after="0" w:line="154" w:lineRule="exact"/>
              <w:rPr>
                <w:sz w:val="20"/>
                <w:szCs w:val="20"/>
                <w:color w:val="auto"/>
              </w:rPr>
            </w:pPr>
            <w:r>
              <w:rPr>
                <w:rFonts w:ascii="Arial" w:cs="Arial" w:eastAsia="Arial" w:hAnsi="Arial"/>
                <w:sz w:val="16"/>
                <w:szCs w:val="16"/>
                <w:color w:val="0000EE"/>
                <w:w w:val="97"/>
              </w:rPr>
              <w:t>Ownership and Management</w:t>
            </w:r>
          </w:p>
        </w:tc>
        <w:tc>
          <w:tcPr>
            <w:tcW w:w="1820" w:type="dxa"/>
            <w:vAlign w:val="bottom"/>
          </w:tcPr>
          <w:p>
            <w:pPr>
              <w:jc w:val="right"/>
              <w:spacing w:after="0" w:line="154" w:lineRule="exact"/>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80"/>
        </w:trPr>
        <w:tc>
          <w:tcPr>
            <w:tcW w:w="580" w:type="dxa"/>
            <w:vAlign w:val="bottom"/>
          </w:tcPr>
          <w:p>
            <w:pPr>
              <w:jc w:val="right"/>
              <w:ind w:right="320"/>
              <w:spacing w:after="0" w:line="180" w:lineRule="exact"/>
              <w:rPr>
                <w:sz w:val="20"/>
                <w:szCs w:val="20"/>
                <w:color w:val="auto"/>
              </w:rPr>
            </w:pPr>
            <w:r>
              <w:rPr>
                <w:rFonts w:ascii="Arial" w:cs="Arial" w:eastAsia="Arial" w:hAnsi="Arial"/>
                <w:sz w:val="16"/>
                <w:szCs w:val="16"/>
                <w:color w:val="auto"/>
                <w:w w:val="89"/>
              </w:rPr>
              <w:t>16</w:t>
            </w:r>
          </w:p>
        </w:tc>
        <w:tc>
          <w:tcPr>
            <w:tcW w:w="1480" w:type="dxa"/>
            <w:vAlign w:val="bottom"/>
            <w:gridSpan w:val="3"/>
            <w:vMerge w:val="restart"/>
          </w:tcPr>
          <w:p>
            <w:pPr>
              <w:spacing w:after="0"/>
              <w:rPr>
                <w:sz w:val="20"/>
                <w:szCs w:val="20"/>
                <w:color w:val="auto"/>
              </w:rPr>
            </w:pPr>
            <w:r>
              <w:rPr>
                <w:rFonts w:ascii="Arial" w:cs="Arial" w:eastAsia="Arial" w:hAnsi="Arial"/>
                <w:sz w:val="12"/>
                <w:szCs w:val="12"/>
                <w:color w:val="0000EE"/>
              </w:rPr>
              <w:t>ITEMS TO BE VOTED ON</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580" w:type="dxa"/>
            <w:vAlign w:val="bottom"/>
            <w:vMerge w:val="restart"/>
          </w:tcPr>
          <w:p>
            <w:pPr>
              <w:jc w:val="right"/>
              <w:ind w:right="320"/>
              <w:spacing w:after="0"/>
              <w:rPr>
                <w:sz w:val="20"/>
                <w:szCs w:val="20"/>
                <w:color w:val="auto"/>
              </w:rPr>
            </w:pPr>
            <w:r>
              <w:rPr>
                <w:rFonts w:ascii="Arial" w:cs="Arial" w:eastAsia="Arial" w:hAnsi="Arial"/>
                <w:sz w:val="16"/>
                <w:szCs w:val="16"/>
                <w:color w:val="auto"/>
                <w:w w:val="89"/>
              </w:rPr>
              <w:t>20</w:t>
            </w:r>
          </w:p>
        </w:tc>
        <w:tc>
          <w:tcPr>
            <w:tcW w:w="1480" w:type="dxa"/>
            <w:vAlign w:val="bottom"/>
            <w:tcBorders>
              <w:bottom w:val="single" w:sz="8" w:color="0000EE"/>
            </w:tcBorders>
            <w:gridSpan w:val="3"/>
            <w:vMerge w:val="continue"/>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20" w:type="dxa"/>
            <w:vAlign w:val="bottom"/>
            <w:vMerge w:val="restart"/>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46"/>
        </w:trPr>
        <w:tc>
          <w:tcPr>
            <w:tcW w:w="580" w:type="dxa"/>
            <w:vAlign w:val="bottom"/>
            <w:vMerge w:val="continue"/>
          </w:tcPr>
          <w:p>
            <w:pPr>
              <w:spacing w:after="0"/>
              <w:rPr>
                <w:sz w:val="4"/>
                <w:szCs w:val="4"/>
                <w:color w:val="auto"/>
              </w:rPr>
            </w:pPr>
          </w:p>
        </w:tc>
        <w:tc>
          <w:tcPr>
            <w:tcW w:w="2300" w:type="dxa"/>
            <w:vAlign w:val="bottom"/>
            <w:gridSpan w:val="9"/>
            <w:vMerge w:val="restart"/>
          </w:tcPr>
          <w:p>
            <w:pPr>
              <w:spacing w:after="0" w:line="154" w:lineRule="exact"/>
              <w:rPr>
                <w:sz w:val="20"/>
                <w:szCs w:val="20"/>
                <w:color w:val="auto"/>
              </w:rPr>
            </w:pPr>
            <w:r>
              <w:rPr>
                <w:rFonts w:ascii="Arial" w:cs="Arial" w:eastAsia="Arial" w:hAnsi="Arial"/>
                <w:sz w:val="16"/>
                <w:szCs w:val="16"/>
                <w:color w:val="0000EE"/>
                <w:w w:val="99"/>
              </w:rPr>
              <w:t>Proposal 1: Election of Directors</w:t>
            </w:r>
          </w:p>
        </w:tc>
        <w:tc>
          <w:tcPr>
            <w:tcW w:w="1160" w:type="dxa"/>
            <w:vAlign w:val="bottom"/>
            <w:gridSpan w:val="2"/>
            <w:vMerge w:val="restart"/>
          </w:tcPr>
          <w:p>
            <w:pPr>
              <w:spacing w:after="0"/>
              <w:rPr>
                <w:sz w:val="4"/>
                <w:szCs w:val="4"/>
                <w:color w:val="auto"/>
              </w:rPr>
            </w:pPr>
          </w:p>
        </w:tc>
        <w:tc>
          <w:tcPr>
            <w:tcW w:w="1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580" w:type="dxa"/>
            <w:vAlign w:val="bottom"/>
            <w:vMerge w:val="restart"/>
          </w:tcPr>
          <w:p>
            <w:pPr>
              <w:jc w:val="right"/>
              <w:ind w:right="320"/>
              <w:spacing w:after="0"/>
              <w:rPr>
                <w:sz w:val="20"/>
                <w:szCs w:val="20"/>
                <w:color w:val="auto"/>
              </w:rPr>
            </w:pPr>
            <w:r>
              <w:rPr>
                <w:rFonts w:ascii="Arial" w:cs="Arial" w:eastAsia="Arial" w:hAnsi="Arial"/>
                <w:sz w:val="16"/>
                <w:szCs w:val="16"/>
                <w:color w:val="auto"/>
                <w:w w:val="89"/>
              </w:rPr>
              <w:t>20</w:t>
            </w:r>
          </w:p>
        </w:tc>
        <w:tc>
          <w:tcPr>
            <w:tcW w:w="2300" w:type="dxa"/>
            <w:vAlign w:val="bottom"/>
            <w:tcBorders>
              <w:bottom w:val="single" w:sz="8" w:color="0000EE"/>
            </w:tcBorders>
            <w:gridSpan w:val="9"/>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580" w:type="dxa"/>
            <w:vAlign w:val="bottom"/>
            <w:vMerge w:val="continue"/>
          </w:tcPr>
          <w:p>
            <w:pPr>
              <w:spacing w:after="0"/>
              <w:rPr>
                <w:sz w:val="5"/>
                <w:szCs w:val="5"/>
                <w:color w:val="auto"/>
              </w:rPr>
            </w:pPr>
          </w:p>
        </w:tc>
        <w:tc>
          <w:tcPr>
            <w:tcW w:w="2960" w:type="dxa"/>
            <w:vAlign w:val="bottom"/>
            <w:gridSpan w:val="10"/>
            <w:vMerge w:val="restart"/>
          </w:tcPr>
          <w:p>
            <w:pPr>
              <w:spacing w:after="0" w:line="168" w:lineRule="exact"/>
              <w:rPr>
                <w:sz w:val="20"/>
                <w:szCs w:val="20"/>
                <w:color w:val="auto"/>
              </w:rPr>
            </w:pPr>
            <w:r>
              <w:rPr>
                <w:rFonts w:ascii="Arial" w:cs="Arial" w:eastAsia="Arial" w:hAnsi="Arial"/>
                <w:sz w:val="16"/>
                <w:szCs w:val="16"/>
                <w:color w:val="0000EE"/>
                <w:w w:val="99"/>
              </w:rPr>
              <w:t>Proposal 2: Ratification of Appointment of</w:t>
            </w:r>
          </w:p>
        </w:tc>
        <w:tc>
          <w:tcPr>
            <w:tcW w:w="500" w:type="dxa"/>
            <w:vAlign w:val="bottom"/>
            <w:vMerge w:val="restart"/>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580" w:type="dxa"/>
            <w:vAlign w:val="bottom"/>
            <w:vMerge w:val="restart"/>
          </w:tcPr>
          <w:p>
            <w:pPr>
              <w:jc w:val="right"/>
              <w:ind w:right="320"/>
              <w:spacing w:after="0"/>
              <w:rPr>
                <w:sz w:val="20"/>
                <w:szCs w:val="20"/>
                <w:color w:val="auto"/>
              </w:rPr>
            </w:pPr>
            <w:r>
              <w:rPr>
                <w:rFonts w:ascii="Arial" w:cs="Arial" w:eastAsia="Arial" w:hAnsi="Arial"/>
                <w:sz w:val="16"/>
                <w:szCs w:val="16"/>
                <w:color w:val="auto"/>
                <w:w w:val="89"/>
              </w:rPr>
              <w:t>24</w:t>
            </w:r>
          </w:p>
        </w:tc>
        <w:tc>
          <w:tcPr>
            <w:tcW w:w="2960" w:type="dxa"/>
            <w:vAlign w:val="bottom"/>
            <w:tcBorders>
              <w:bottom w:val="single" w:sz="8" w:color="0000EE"/>
            </w:tcBorders>
            <w:gridSpan w:val="10"/>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580" w:type="dxa"/>
            <w:vAlign w:val="bottom"/>
            <w:vMerge w:val="continue"/>
          </w:tcPr>
          <w:p>
            <w:pPr>
              <w:spacing w:after="0"/>
              <w:rPr>
                <w:sz w:val="7"/>
                <w:szCs w:val="7"/>
                <w:color w:val="auto"/>
              </w:rPr>
            </w:pPr>
          </w:p>
        </w:tc>
        <w:tc>
          <w:tcPr>
            <w:tcW w:w="3460" w:type="dxa"/>
            <w:vAlign w:val="bottom"/>
            <w:gridSpan w:val="11"/>
            <w:vMerge w:val="restart"/>
          </w:tcPr>
          <w:p>
            <w:pPr>
              <w:spacing w:after="0" w:line="168" w:lineRule="exact"/>
              <w:rPr>
                <w:sz w:val="20"/>
                <w:szCs w:val="20"/>
                <w:color w:val="auto"/>
              </w:rPr>
            </w:pPr>
            <w:r>
              <w:rPr>
                <w:rFonts w:ascii="Arial" w:cs="Arial" w:eastAsia="Arial" w:hAnsi="Arial"/>
                <w:sz w:val="16"/>
                <w:szCs w:val="16"/>
                <w:color w:val="0000EE"/>
              </w:rPr>
              <w:t>Independent Auditors</w:t>
            </w:r>
          </w:p>
        </w:tc>
        <w:tc>
          <w:tcPr>
            <w:tcW w:w="1820" w:type="dxa"/>
            <w:vAlign w:val="bottom"/>
            <w:vMerge w:val="restart"/>
          </w:tcPr>
          <w:p>
            <w:pPr>
              <w:jc w:val="right"/>
              <w:spacing w:after="0" w:line="168"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84"/>
        </w:trPr>
        <w:tc>
          <w:tcPr>
            <w:tcW w:w="580" w:type="dxa"/>
            <w:vAlign w:val="bottom"/>
          </w:tcPr>
          <w:p>
            <w:pPr>
              <w:spacing w:after="0"/>
              <w:rPr>
                <w:sz w:val="7"/>
                <w:szCs w:val="7"/>
                <w:color w:val="auto"/>
              </w:rPr>
            </w:pPr>
          </w:p>
        </w:tc>
        <w:tc>
          <w:tcPr>
            <w:tcW w:w="3460" w:type="dxa"/>
            <w:vAlign w:val="bottom"/>
            <w:gridSpan w:val="11"/>
            <w:vMerge w:val="continue"/>
          </w:tcPr>
          <w:p>
            <w:pPr>
              <w:spacing w:after="0"/>
              <w:rPr>
                <w:sz w:val="7"/>
                <w:szCs w:val="7"/>
                <w:color w:val="auto"/>
              </w:rPr>
            </w:pPr>
          </w:p>
        </w:tc>
        <w:tc>
          <w:tcPr>
            <w:tcW w:w="1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820" w:type="dxa"/>
            <w:vAlign w:val="bottom"/>
            <w:vMerge w:val="restart"/>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line="20" w:lineRule="exact"/>
              <w:rPr>
                <w:sz w:val="1"/>
                <w:szCs w:val="1"/>
                <w:color w:val="auto"/>
              </w:rPr>
            </w:pPr>
          </w:p>
        </w:tc>
      </w:tr>
      <w:tr>
        <w:trPr>
          <w:trHeight w:val="167"/>
        </w:trPr>
        <w:tc>
          <w:tcPr>
            <w:tcW w:w="580" w:type="dxa"/>
            <w:vAlign w:val="bottom"/>
          </w:tcPr>
          <w:p>
            <w:pPr>
              <w:spacing w:after="0"/>
              <w:rPr>
                <w:sz w:val="14"/>
                <w:szCs w:val="14"/>
                <w:color w:val="auto"/>
              </w:rPr>
            </w:pPr>
          </w:p>
        </w:tc>
        <w:tc>
          <w:tcPr>
            <w:tcW w:w="3460" w:type="dxa"/>
            <w:vAlign w:val="bottom"/>
            <w:gridSpan w:val="11"/>
          </w:tcPr>
          <w:p>
            <w:pPr>
              <w:spacing w:after="0" w:line="168" w:lineRule="exact"/>
              <w:rPr>
                <w:sz w:val="20"/>
                <w:szCs w:val="20"/>
                <w:color w:val="auto"/>
              </w:rPr>
            </w:pPr>
            <w:r>
              <w:rPr>
                <w:rFonts w:ascii="Arial" w:cs="Arial" w:eastAsia="Arial" w:hAnsi="Arial"/>
                <w:sz w:val="16"/>
                <w:szCs w:val="16"/>
                <w:color w:val="0000EE"/>
              </w:rPr>
              <w:t>- Audit and Other Fees</w:t>
            </w:r>
          </w:p>
        </w:tc>
        <w:tc>
          <w:tcPr>
            <w:tcW w:w="1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80" w:type="dxa"/>
            <w:vAlign w:val="bottom"/>
          </w:tcPr>
          <w:p>
            <w:pPr>
              <w:jc w:val="right"/>
              <w:ind w:right="320"/>
              <w:spacing w:after="0" w:line="168" w:lineRule="exact"/>
              <w:rPr>
                <w:sz w:val="20"/>
                <w:szCs w:val="20"/>
                <w:color w:val="auto"/>
              </w:rPr>
            </w:pPr>
            <w:r>
              <w:rPr>
                <w:rFonts w:ascii="Arial" w:cs="Arial" w:eastAsia="Arial" w:hAnsi="Arial"/>
                <w:sz w:val="16"/>
                <w:szCs w:val="16"/>
                <w:color w:val="auto"/>
                <w:w w:val="89"/>
              </w:rPr>
              <w:t>27</w:t>
            </w:r>
          </w:p>
        </w:tc>
        <w:tc>
          <w:tcPr>
            <w:tcW w:w="1620" w:type="dxa"/>
            <w:vAlign w:val="bottom"/>
            <w:tcBorders>
              <w:top w:val="single" w:sz="8" w:color="0000EE"/>
              <w:bottom w:val="single" w:sz="8" w:color="0000EE"/>
            </w:tcBorders>
            <w:gridSpan w:val="6"/>
          </w:tcPr>
          <w:p>
            <w:pPr>
              <w:spacing w:after="0" w:line="168" w:lineRule="exact"/>
              <w:rPr>
                <w:sz w:val="20"/>
                <w:szCs w:val="20"/>
                <w:color w:val="auto"/>
              </w:rPr>
            </w:pPr>
            <w:r>
              <w:rPr>
                <w:rFonts w:ascii="Arial" w:cs="Arial" w:eastAsia="Arial" w:hAnsi="Arial"/>
                <w:sz w:val="16"/>
                <w:szCs w:val="16"/>
                <w:color w:val="0000EE"/>
              </w:rPr>
              <w:t>- Report of the Audit</w:t>
            </w:r>
          </w:p>
        </w:tc>
        <w:tc>
          <w:tcPr>
            <w:tcW w:w="640" w:type="dxa"/>
            <w:vAlign w:val="bottom"/>
            <w:tcBorders>
              <w:bottom w:val="single" w:sz="8" w:color="0000EE"/>
            </w:tcBorders>
            <w:gridSpan w:val="2"/>
          </w:tcPr>
          <w:p>
            <w:pPr>
              <w:spacing w:after="0" w:line="168" w:lineRule="exact"/>
              <w:rPr>
                <w:sz w:val="20"/>
                <w:szCs w:val="20"/>
                <w:color w:val="auto"/>
              </w:rPr>
            </w:pPr>
            <w:r>
              <w:rPr>
                <w:rFonts w:ascii="Arial" w:cs="Arial" w:eastAsia="Arial" w:hAnsi="Arial"/>
                <w:sz w:val="16"/>
                <w:szCs w:val="16"/>
                <w:color w:val="0000EE"/>
                <w:w w:val="80"/>
              </w:rPr>
              <w:t>Committee</w:t>
            </w:r>
          </w:p>
        </w:tc>
        <w:tc>
          <w:tcPr>
            <w:tcW w:w="1200" w:type="dxa"/>
            <w:vAlign w:val="bottom"/>
            <w:gridSpan w:val="3"/>
          </w:tcPr>
          <w:p>
            <w:pPr>
              <w:spacing w:after="0"/>
              <w:rPr>
                <w:sz w:val="14"/>
                <w:szCs w:val="14"/>
                <w:color w:val="auto"/>
              </w:rPr>
            </w:pPr>
          </w:p>
        </w:tc>
        <w:tc>
          <w:tcPr>
            <w:tcW w:w="1820" w:type="dxa"/>
            <w:vAlign w:val="bottom"/>
          </w:tcPr>
          <w:p>
            <w:pPr>
              <w:jc w:val="right"/>
              <w:spacing w:after="0" w:line="168" w:lineRule="exact"/>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-3284220</wp:posOffset>
            </wp:positionH>
            <wp:positionV relativeFrom="paragraph">
              <wp:posOffset>-2649220</wp:posOffset>
            </wp:positionV>
            <wp:extent cx="717613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ind w:left="580" w:hanging="571"/>
        <w:spacing w:after="0" w:line="226"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0000EE"/>
        </w:rPr>
        <w:t>Proposal 3: Advisory Vote to Approve the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8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80" w:type="dxa"/>
            <w:vAlign w:val="bottom"/>
          </w:tcPr>
          <w:p>
            <w:pPr>
              <w:jc w:val="right"/>
              <w:ind w:right="320"/>
              <w:spacing w:after="0" w:line="148" w:lineRule="exact"/>
              <w:rPr>
                <w:sz w:val="20"/>
                <w:szCs w:val="20"/>
                <w:color w:val="auto"/>
              </w:rPr>
            </w:pPr>
            <w:r>
              <w:rPr>
                <w:rFonts w:ascii="Arial" w:cs="Arial" w:eastAsia="Arial" w:hAnsi="Arial"/>
                <w:sz w:val="16"/>
                <w:szCs w:val="16"/>
                <w:color w:val="auto"/>
                <w:w w:val="89"/>
              </w:rPr>
              <w:t>28</w:t>
            </w:r>
          </w:p>
        </w:tc>
        <w:tc>
          <w:tcPr>
            <w:tcW w:w="4540" w:type="dxa"/>
            <w:vAlign w:val="bottom"/>
            <w:gridSpan w:val="12"/>
          </w:tcPr>
          <w:p>
            <w:pPr>
              <w:spacing w:after="0" w:line="148" w:lineRule="exact"/>
              <w:rPr>
                <w:sz w:val="20"/>
                <w:szCs w:val="20"/>
                <w:color w:val="auto"/>
              </w:rPr>
            </w:pPr>
            <w:r>
              <w:rPr>
                <w:rFonts w:ascii="Arial" w:cs="Arial" w:eastAsia="Arial" w:hAnsi="Arial"/>
                <w:sz w:val="16"/>
                <w:szCs w:val="16"/>
                <w:color w:val="0000EE"/>
              </w:rPr>
              <w:t>Compensation of Named Executive Officers</w:t>
            </w:r>
          </w:p>
        </w:tc>
        <w:tc>
          <w:tcPr>
            <w:tcW w:w="740" w:type="dxa"/>
            <w:vAlign w:val="bottom"/>
          </w:tcPr>
          <w:p>
            <w:pPr>
              <w:jc w:val="right"/>
              <w:spacing w:after="0" w:line="148" w:lineRule="exact"/>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67"/>
        </w:trPr>
        <w:tc>
          <w:tcPr>
            <w:tcW w:w="580" w:type="dxa"/>
            <w:vAlign w:val="bottom"/>
          </w:tcPr>
          <w:p>
            <w:pPr>
              <w:spacing w:after="0"/>
              <w:rPr>
                <w:sz w:val="14"/>
                <w:szCs w:val="14"/>
                <w:color w:val="auto"/>
              </w:rPr>
            </w:pPr>
          </w:p>
        </w:tc>
        <w:tc>
          <w:tcPr>
            <w:tcW w:w="3100" w:type="dxa"/>
            <w:vAlign w:val="bottom"/>
            <w:tcBorders>
              <w:top w:val="single" w:sz="8" w:color="0000EE"/>
              <w:bottom w:val="single" w:sz="8" w:color="0000EE"/>
            </w:tcBorders>
            <w:gridSpan w:val="9"/>
          </w:tcPr>
          <w:p>
            <w:pPr>
              <w:spacing w:after="0" w:line="168" w:lineRule="exact"/>
              <w:rPr>
                <w:sz w:val="20"/>
                <w:szCs w:val="20"/>
                <w:color w:val="auto"/>
              </w:rPr>
            </w:pPr>
            <w:r>
              <w:rPr>
                <w:rFonts w:ascii="Arial" w:cs="Arial" w:eastAsia="Arial" w:hAnsi="Arial"/>
                <w:sz w:val="16"/>
                <w:szCs w:val="16"/>
                <w:color w:val="0000EE"/>
                <w:w w:val="96"/>
              </w:rPr>
              <w:t>Proposal 4: Shareholder proposal requesting</w:t>
            </w:r>
          </w:p>
        </w:tc>
        <w:tc>
          <w:tcPr>
            <w:tcW w:w="1320" w:type="dxa"/>
            <w:vAlign w:val="bottom"/>
            <w:tcBorders>
              <w:bottom w:val="single" w:sz="8" w:color="0000EE"/>
            </w:tcBorders>
            <w:gridSpan w:val="2"/>
          </w:tcPr>
          <w:p>
            <w:pPr>
              <w:ind w:left="120"/>
              <w:spacing w:after="0" w:line="168" w:lineRule="exact"/>
              <w:rPr>
                <w:sz w:val="20"/>
                <w:szCs w:val="20"/>
                <w:color w:val="auto"/>
              </w:rPr>
            </w:pPr>
            <w:r>
              <w:rPr>
                <w:rFonts w:ascii="Arial" w:cs="Arial" w:eastAsia="Arial" w:hAnsi="Arial"/>
                <w:sz w:val="16"/>
                <w:szCs w:val="16"/>
                <w:color w:val="0000EE"/>
                <w:w w:val="99"/>
              </w:rPr>
              <w:t>that the Board of</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80" w:type="dxa"/>
            <w:vAlign w:val="bottom"/>
            <w:vMerge w:val="restart"/>
          </w:tcPr>
          <w:p>
            <w:pPr>
              <w:jc w:val="right"/>
              <w:ind w:right="320"/>
              <w:spacing w:after="0"/>
              <w:rPr>
                <w:sz w:val="20"/>
                <w:szCs w:val="20"/>
                <w:color w:val="auto"/>
              </w:rPr>
            </w:pPr>
            <w:r>
              <w:rPr>
                <w:rFonts w:ascii="Arial" w:cs="Arial" w:eastAsia="Arial" w:hAnsi="Arial"/>
                <w:sz w:val="16"/>
                <w:szCs w:val="16"/>
                <w:color w:val="auto"/>
                <w:w w:val="89"/>
              </w:rPr>
              <w:t>32</w:t>
            </w:r>
          </w:p>
        </w:tc>
        <w:tc>
          <w:tcPr>
            <w:tcW w:w="4540" w:type="dxa"/>
            <w:vAlign w:val="bottom"/>
            <w:tcBorders>
              <w:bottom w:val="single" w:sz="8" w:color="0000EE"/>
            </w:tcBorders>
            <w:gridSpan w:val="12"/>
          </w:tcPr>
          <w:p>
            <w:pPr>
              <w:spacing w:after="0" w:line="168" w:lineRule="exact"/>
              <w:rPr>
                <w:sz w:val="20"/>
                <w:szCs w:val="20"/>
                <w:color w:val="auto"/>
              </w:rPr>
            </w:pPr>
            <w:r>
              <w:rPr>
                <w:rFonts w:ascii="Arial" w:cs="Arial" w:eastAsia="Arial" w:hAnsi="Arial"/>
                <w:sz w:val="16"/>
                <w:szCs w:val="16"/>
                <w:color w:val="0000EE"/>
                <w:w w:val="99"/>
              </w:rPr>
              <w:t>Directors commission and disclose a report on the potential cost</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580" w:type="dxa"/>
            <w:vAlign w:val="bottom"/>
            <w:vMerge w:val="continue"/>
          </w:tcPr>
          <w:p>
            <w:pPr>
              <w:spacing w:after="0"/>
              <w:rPr>
                <w:sz w:val="9"/>
                <w:szCs w:val="9"/>
                <w:color w:val="auto"/>
              </w:rPr>
            </w:pPr>
          </w:p>
        </w:tc>
        <w:tc>
          <w:tcPr>
            <w:tcW w:w="4540" w:type="dxa"/>
            <w:vAlign w:val="bottom"/>
            <w:gridSpan w:val="12"/>
            <w:vMerge w:val="restart"/>
          </w:tcPr>
          <w:p>
            <w:pPr>
              <w:spacing w:after="0" w:line="168" w:lineRule="exact"/>
              <w:rPr>
                <w:sz w:val="20"/>
                <w:szCs w:val="20"/>
                <w:color w:val="auto"/>
              </w:rPr>
            </w:pPr>
            <w:r>
              <w:rPr>
                <w:rFonts w:ascii="Arial" w:cs="Arial" w:eastAsia="Arial" w:hAnsi="Arial"/>
                <w:sz w:val="16"/>
                <w:szCs w:val="16"/>
                <w:color w:val="0000EE"/>
              </w:rPr>
              <w:t>savings through the adoption of a smokefree policy for the</w:t>
            </w: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580" w:type="dxa"/>
            <w:vAlign w:val="bottom"/>
            <w:vMerge w:val="restart"/>
          </w:tcPr>
          <w:p>
            <w:pPr>
              <w:jc w:val="right"/>
              <w:ind w:right="320"/>
              <w:spacing w:after="0"/>
              <w:rPr>
                <w:sz w:val="20"/>
                <w:szCs w:val="20"/>
                <w:color w:val="auto"/>
              </w:rPr>
            </w:pPr>
            <w:r>
              <w:rPr>
                <w:rFonts w:ascii="Arial" w:cs="Arial" w:eastAsia="Arial" w:hAnsi="Arial"/>
                <w:sz w:val="16"/>
                <w:szCs w:val="16"/>
                <w:color w:val="auto"/>
                <w:w w:val="89"/>
              </w:rPr>
              <w:t>33</w:t>
            </w:r>
          </w:p>
        </w:tc>
        <w:tc>
          <w:tcPr>
            <w:tcW w:w="4540" w:type="dxa"/>
            <w:vAlign w:val="bottom"/>
            <w:gridSpan w:val="12"/>
            <w:vMerge w:val="continue"/>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580" w:type="dxa"/>
            <w:vAlign w:val="bottom"/>
            <w:vMerge w:val="continue"/>
          </w:tcPr>
          <w:p>
            <w:pPr>
              <w:spacing w:after="0"/>
              <w:rPr>
                <w:sz w:val="9"/>
                <w:szCs w:val="9"/>
                <w:color w:val="auto"/>
              </w:rPr>
            </w:pPr>
          </w:p>
        </w:tc>
        <w:tc>
          <w:tcPr>
            <w:tcW w:w="4120" w:type="dxa"/>
            <w:vAlign w:val="bottom"/>
            <w:tcBorders>
              <w:top w:val="single" w:sz="8" w:color="0000EE"/>
            </w:tcBorders>
            <w:gridSpan w:val="10"/>
          </w:tcPr>
          <w:p>
            <w:pPr>
              <w:spacing w:after="0" w:line="113" w:lineRule="exact"/>
              <w:rPr>
                <w:sz w:val="20"/>
                <w:szCs w:val="20"/>
                <w:color w:val="auto"/>
              </w:rPr>
            </w:pPr>
            <w:r>
              <w:rPr>
                <w:rFonts w:ascii="Arial" w:cs="Arial" w:eastAsia="Arial" w:hAnsi="Arial"/>
                <w:sz w:val="13"/>
                <w:szCs w:val="13"/>
                <w:color w:val="0000EE"/>
              </w:rPr>
              <w:t>Company’s properties</w:t>
            </w:r>
          </w:p>
        </w:tc>
        <w:tc>
          <w:tcPr>
            <w:tcW w:w="420" w:type="dxa"/>
            <w:vAlign w:val="bottom"/>
            <w:gridSpan w:val="2"/>
          </w:tcPr>
          <w:p>
            <w:pPr>
              <w:spacing w:after="0"/>
              <w:rPr>
                <w:sz w:val="9"/>
                <w:szCs w:val="9"/>
                <w:color w:val="auto"/>
              </w:rPr>
            </w:pPr>
          </w:p>
        </w:tc>
        <w:tc>
          <w:tcPr>
            <w:tcW w:w="740" w:type="dxa"/>
            <w:vAlign w:val="bottom"/>
            <w:vMerge w:val="restart"/>
          </w:tcPr>
          <w:p>
            <w:pPr>
              <w:jc w:val="right"/>
              <w:spacing w:after="0" w:line="168" w:lineRule="exact"/>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54"/>
        </w:trPr>
        <w:tc>
          <w:tcPr>
            <w:tcW w:w="580" w:type="dxa"/>
            <w:vAlign w:val="bottom"/>
            <w:vMerge w:val="restart"/>
          </w:tcPr>
          <w:p>
            <w:pPr>
              <w:jc w:val="right"/>
              <w:ind w:right="320"/>
              <w:spacing w:after="0"/>
              <w:rPr>
                <w:sz w:val="20"/>
                <w:szCs w:val="20"/>
                <w:color w:val="auto"/>
              </w:rPr>
            </w:pPr>
            <w:r>
              <w:rPr>
                <w:rFonts w:ascii="Arial" w:cs="Arial" w:eastAsia="Arial" w:hAnsi="Arial"/>
                <w:sz w:val="16"/>
                <w:szCs w:val="16"/>
                <w:color w:val="auto"/>
                <w:w w:val="89"/>
              </w:rPr>
              <w:t>34</w:t>
            </w:r>
          </w:p>
        </w:tc>
        <w:tc>
          <w:tcPr>
            <w:tcW w:w="112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13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5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580" w:type="dxa"/>
            <w:vAlign w:val="bottom"/>
          </w:tcPr>
          <w:p>
            <w:pPr>
              <w:jc w:val="right"/>
              <w:ind w:right="320"/>
              <w:spacing w:after="0"/>
              <w:rPr>
                <w:sz w:val="20"/>
                <w:szCs w:val="20"/>
                <w:color w:val="auto"/>
              </w:rPr>
            </w:pPr>
            <w:r>
              <w:rPr>
                <w:rFonts w:ascii="Arial" w:cs="Arial" w:eastAsia="Arial" w:hAnsi="Arial"/>
                <w:sz w:val="16"/>
                <w:szCs w:val="16"/>
                <w:color w:val="auto"/>
                <w:w w:val="89"/>
              </w:rPr>
              <w:t>38</w:t>
            </w:r>
          </w:p>
        </w:tc>
        <w:tc>
          <w:tcPr>
            <w:tcW w:w="1500" w:type="dxa"/>
            <w:vAlign w:val="bottom"/>
            <w:tcBorders>
              <w:bottom w:val="single" w:sz="8" w:color="0000EE"/>
            </w:tcBorders>
            <w:gridSpan w:val="4"/>
          </w:tcPr>
          <w:p>
            <w:pPr>
              <w:spacing w:after="0"/>
              <w:rPr>
                <w:sz w:val="20"/>
                <w:szCs w:val="20"/>
                <w:color w:val="auto"/>
              </w:rPr>
            </w:pPr>
            <w:r>
              <w:rPr>
                <w:rFonts w:ascii="Arial" w:cs="Arial" w:eastAsia="Arial" w:hAnsi="Arial"/>
                <w:sz w:val="12"/>
                <w:szCs w:val="12"/>
                <w:color w:val="0000EE"/>
              </w:rPr>
              <w:t>GENERAL INFORMATION</w:t>
            </w:r>
          </w:p>
        </w:tc>
        <w:tc>
          <w:tcPr>
            <w:tcW w:w="3040" w:type="dxa"/>
            <w:vAlign w:val="bottom"/>
            <w:gridSpan w:val="8"/>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82</w:t>
            </w:r>
          </w:p>
        </w:tc>
        <w:tc>
          <w:tcPr>
            <w:tcW w:w="0" w:type="dxa"/>
            <w:vAlign w:val="bottom"/>
          </w:tcPr>
          <w:p>
            <w:pPr>
              <w:spacing w:after="0"/>
              <w:rPr>
                <w:sz w:val="1"/>
                <w:szCs w:val="1"/>
                <w:color w:val="auto"/>
              </w:rPr>
            </w:pPr>
          </w:p>
        </w:tc>
      </w:tr>
      <w:tr>
        <w:trPr>
          <w:trHeight w:val="154"/>
        </w:trPr>
        <w:tc>
          <w:tcPr>
            <w:tcW w:w="580" w:type="dxa"/>
            <w:vAlign w:val="bottom"/>
          </w:tcPr>
          <w:p>
            <w:pPr>
              <w:spacing w:after="0"/>
              <w:rPr>
                <w:sz w:val="13"/>
                <w:szCs w:val="13"/>
                <w:color w:val="auto"/>
              </w:rPr>
            </w:pPr>
          </w:p>
        </w:tc>
        <w:tc>
          <w:tcPr>
            <w:tcW w:w="4540" w:type="dxa"/>
            <w:vAlign w:val="bottom"/>
            <w:gridSpan w:val="12"/>
          </w:tcPr>
          <w:p>
            <w:pPr>
              <w:spacing w:after="0" w:line="154" w:lineRule="exact"/>
              <w:rPr>
                <w:sz w:val="20"/>
                <w:szCs w:val="20"/>
                <w:color w:val="auto"/>
              </w:rPr>
            </w:pPr>
            <w:r>
              <w:rPr>
                <w:rFonts w:ascii="Arial" w:cs="Arial" w:eastAsia="Arial" w:hAnsi="Arial"/>
                <w:sz w:val="16"/>
                <w:szCs w:val="16"/>
                <w:color w:val="0000EE"/>
              </w:rPr>
              <w:t>Our 2025 Annual Meeting of Shareholders</w:t>
            </w:r>
          </w:p>
        </w:tc>
        <w:tc>
          <w:tcPr>
            <w:tcW w:w="740" w:type="dxa"/>
            <w:vAlign w:val="bottom"/>
          </w:tcPr>
          <w:p>
            <w:pPr>
              <w:jc w:val="right"/>
              <w:spacing w:after="0" w:line="154" w:lineRule="exact"/>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67"/>
        </w:trPr>
        <w:tc>
          <w:tcPr>
            <w:tcW w:w="580" w:type="dxa"/>
            <w:vAlign w:val="bottom"/>
            <w:vMerge w:val="restart"/>
          </w:tcPr>
          <w:p>
            <w:pPr>
              <w:jc w:val="right"/>
              <w:ind w:right="320"/>
              <w:spacing w:after="0"/>
              <w:rPr>
                <w:sz w:val="20"/>
                <w:szCs w:val="20"/>
                <w:color w:val="auto"/>
              </w:rPr>
            </w:pPr>
            <w:r>
              <w:rPr>
                <w:rFonts w:ascii="Arial" w:cs="Arial" w:eastAsia="Arial" w:hAnsi="Arial"/>
                <w:sz w:val="16"/>
                <w:szCs w:val="16"/>
                <w:color w:val="auto"/>
                <w:w w:val="89"/>
              </w:rPr>
              <w:t>51</w:t>
            </w:r>
          </w:p>
        </w:tc>
        <w:tc>
          <w:tcPr>
            <w:tcW w:w="1440" w:type="dxa"/>
            <w:vAlign w:val="bottom"/>
            <w:tcBorders>
              <w:top w:val="single" w:sz="8" w:color="0000EE"/>
              <w:bottom w:val="single" w:sz="8" w:color="0000EE"/>
            </w:tcBorders>
            <w:gridSpan w:val="3"/>
          </w:tcPr>
          <w:p>
            <w:pPr>
              <w:spacing w:after="0" w:line="168" w:lineRule="exact"/>
              <w:rPr>
                <w:sz w:val="20"/>
                <w:szCs w:val="20"/>
                <w:color w:val="auto"/>
              </w:rPr>
            </w:pPr>
            <w:r>
              <w:rPr>
                <w:rFonts w:ascii="Arial" w:cs="Arial" w:eastAsia="Arial" w:hAnsi="Arial"/>
                <w:sz w:val="16"/>
                <w:szCs w:val="16"/>
                <w:color w:val="0000EE"/>
                <w:w w:val="97"/>
              </w:rPr>
              <w:t>- How You Can Vote</w:t>
            </w:r>
          </w:p>
        </w:tc>
        <w:tc>
          <w:tcPr>
            <w:tcW w:w="1560" w:type="dxa"/>
            <w:vAlign w:val="bottom"/>
            <w:tcBorders>
              <w:top w:val="single" w:sz="8" w:color="0000EE"/>
            </w:tcBorders>
            <w:gridSpan w:val="5"/>
          </w:tcPr>
          <w:p>
            <w:pPr>
              <w:spacing w:after="0"/>
              <w:rPr>
                <w:sz w:val="14"/>
                <w:szCs w:val="14"/>
                <w:color w:val="auto"/>
              </w:rPr>
            </w:pPr>
          </w:p>
        </w:tc>
        <w:tc>
          <w:tcPr>
            <w:tcW w:w="1540" w:type="dxa"/>
            <w:vAlign w:val="bottom"/>
            <w:gridSpan w:val="4"/>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13"/>
        </w:trPr>
        <w:tc>
          <w:tcPr>
            <w:tcW w:w="580" w:type="dxa"/>
            <w:vAlign w:val="bottom"/>
            <w:vMerge w:val="continue"/>
          </w:tcPr>
          <w:p>
            <w:pPr>
              <w:spacing w:after="0"/>
              <w:rPr>
                <w:sz w:val="9"/>
                <w:szCs w:val="9"/>
                <w:color w:val="auto"/>
              </w:rPr>
            </w:pPr>
          </w:p>
        </w:tc>
        <w:tc>
          <w:tcPr>
            <w:tcW w:w="2980" w:type="dxa"/>
            <w:vAlign w:val="bottom"/>
            <w:gridSpan w:val="7"/>
            <w:vMerge w:val="restart"/>
          </w:tcPr>
          <w:p>
            <w:pPr>
              <w:spacing w:after="0" w:line="168" w:lineRule="exact"/>
              <w:rPr>
                <w:sz w:val="20"/>
                <w:szCs w:val="20"/>
                <w:color w:val="auto"/>
              </w:rPr>
            </w:pPr>
            <w:r>
              <w:rPr>
                <w:rFonts w:ascii="Arial" w:cs="Arial" w:eastAsia="Arial" w:hAnsi="Arial"/>
                <w:sz w:val="16"/>
                <w:szCs w:val="16"/>
                <w:color w:val="0000EE"/>
                <w:w w:val="99"/>
              </w:rPr>
              <w:t>- Shareholder Nominations and Proposals</w:t>
            </w:r>
          </w:p>
        </w:tc>
        <w:tc>
          <w:tcPr>
            <w:tcW w:w="1560" w:type="dxa"/>
            <w:vAlign w:val="bottom"/>
            <w:gridSpan w:val="5"/>
            <w:vMerge w:val="restart"/>
          </w:tcPr>
          <w:p>
            <w:pPr>
              <w:spacing w:after="0"/>
              <w:rPr>
                <w:sz w:val="9"/>
                <w:szCs w:val="9"/>
                <w:color w:val="auto"/>
              </w:rPr>
            </w:pPr>
          </w:p>
        </w:tc>
        <w:tc>
          <w:tcPr>
            <w:tcW w:w="740" w:type="dxa"/>
            <w:vAlign w:val="bottom"/>
            <w:vMerge w:val="restart"/>
          </w:tcPr>
          <w:p>
            <w:pPr>
              <w:jc w:val="right"/>
              <w:spacing w:after="0" w:line="168" w:lineRule="exact"/>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59"/>
        </w:trPr>
        <w:tc>
          <w:tcPr>
            <w:tcW w:w="580" w:type="dxa"/>
            <w:vAlign w:val="bottom"/>
            <w:vMerge w:val="restart"/>
          </w:tcPr>
          <w:p>
            <w:pPr>
              <w:jc w:val="right"/>
              <w:ind w:right="320"/>
              <w:spacing w:after="0"/>
              <w:rPr>
                <w:sz w:val="20"/>
                <w:szCs w:val="20"/>
                <w:color w:val="auto"/>
              </w:rPr>
            </w:pPr>
            <w:r>
              <w:rPr>
                <w:rFonts w:ascii="Arial" w:cs="Arial" w:eastAsia="Arial" w:hAnsi="Arial"/>
                <w:sz w:val="16"/>
                <w:szCs w:val="16"/>
                <w:color w:val="auto"/>
                <w:w w:val="89"/>
              </w:rPr>
              <w:t>54</w:t>
            </w:r>
          </w:p>
        </w:tc>
        <w:tc>
          <w:tcPr>
            <w:tcW w:w="2980" w:type="dxa"/>
            <w:vAlign w:val="bottom"/>
            <w:tcBorders>
              <w:bottom w:val="single" w:sz="8" w:color="0000EE"/>
            </w:tcBorders>
            <w:gridSpan w:val="7"/>
            <w:vMerge w:val="continue"/>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580" w:type="dxa"/>
            <w:vAlign w:val="bottom"/>
            <w:vMerge w:val="continue"/>
          </w:tcPr>
          <w:p>
            <w:pPr>
              <w:spacing w:after="0"/>
              <w:rPr>
                <w:sz w:val="9"/>
                <w:szCs w:val="9"/>
                <w:color w:val="auto"/>
              </w:rPr>
            </w:pPr>
          </w:p>
        </w:tc>
        <w:tc>
          <w:tcPr>
            <w:tcW w:w="4540" w:type="dxa"/>
            <w:vAlign w:val="bottom"/>
            <w:gridSpan w:val="12"/>
            <w:vMerge w:val="restart"/>
          </w:tcPr>
          <w:p>
            <w:pPr>
              <w:spacing w:after="0" w:line="168" w:lineRule="exact"/>
              <w:rPr>
                <w:sz w:val="20"/>
                <w:szCs w:val="20"/>
                <w:color w:val="auto"/>
              </w:rPr>
            </w:pPr>
            <w:r>
              <w:rPr>
                <w:rFonts w:ascii="Arial" w:cs="Arial" w:eastAsia="Arial" w:hAnsi="Arial"/>
                <w:sz w:val="16"/>
                <w:szCs w:val="16"/>
                <w:color w:val="0000EE"/>
              </w:rPr>
              <w:t>- Annual Report</w:t>
            </w:r>
          </w:p>
        </w:tc>
        <w:tc>
          <w:tcPr>
            <w:tcW w:w="740" w:type="dxa"/>
            <w:vAlign w:val="bottom"/>
            <w:vMerge w:val="restart"/>
          </w:tcPr>
          <w:p>
            <w:pPr>
              <w:jc w:val="right"/>
              <w:spacing w:after="0" w:line="168" w:lineRule="exact"/>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54"/>
        </w:trPr>
        <w:tc>
          <w:tcPr>
            <w:tcW w:w="580" w:type="dxa"/>
            <w:vAlign w:val="bottom"/>
            <w:vMerge w:val="restart"/>
          </w:tcPr>
          <w:p>
            <w:pPr>
              <w:jc w:val="right"/>
              <w:ind w:right="320"/>
              <w:spacing w:after="0"/>
              <w:rPr>
                <w:sz w:val="20"/>
                <w:szCs w:val="20"/>
                <w:color w:val="auto"/>
              </w:rPr>
            </w:pPr>
            <w:r>
              <w:rPr>
                <w:rFonts w:ascii="Arial" w:cs="Arial" w:eastAsia="Arial" w:hAnsi="Arial"/>
                <w:sz w:val="16"/>
                <w:szCs w:val="16"/>
                <w:color w:val="auto"/>
                <w:w w:val="89"/>
              </w:rPr>
              <w:t>57</w:t>
            </w:r>
          </w:p>
        </w:tc>
        <w:tc>
          <w:tcPr>
            <w:tcW w:w="4540" w:type="dxa"/>
            <w:vAlign w:val="bottom"/>
            <w:gridSpan w:val="1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80" w:type="dxa"/>
            <w:vAlign w:val="bottom"/>
            <w:vMerge w:val="continu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580" w:type="dxa"/>
            <w:vAlign w:val="bottom"/>
            <w:vMerge w:val="continue"/>
          </w:tcPr>
          <w:p>
            <w:pPr>
              <w:spacing w:after="0"/>
              <w:rPr>
                <w:sz w:val="11"/>
                <w:szCs w:val="11"/>
                <w:color w:val="auto"/>
              </w:rPr>
            </w:pPr>
          </w:p>
        </w:tc>
        <w:tc>
          <w:tcPr>
            <w:tcW w:w="4540" w:type="dxa"/>
            <w:vAlign w:val="bottom"/>
            <w:gridSpan w:val="12"/>
            <w:vMerge w:val="restart"/>
          </w:tcPr>
          <w:p>
            <w:pPr>
              <w:spacing w:after="0" w:line="168" w:lineRule="exact"/>
              <w:rPr>
                <w:sz w:val="20"/>
                <w:szCs w:val="20"/>
                <w:color w:val="auto"/>
              </w:rPr>
            </w:pPr>
            <w:r>
              <w:rPr>
                <w:rFonts w:ascii="Arial" w:cs="Arial" w:eastAsia="Arial" w:hAnsi="Arial"/>
                <w:sz w:val="16"/>
                <w:szCs w:val="16"/>
                <w:color w:val="0000EE"/>
              </w:rPr>
              <w:t>- Other Business</w:t>
            </w:r>
          </w:p>
        </w:tc>
        <w:tc>
          <w:tcPr>
            <w:tcW w:w="740" w:type="dxa"/>
            <w:vAlign w:val="bottom"/>
            <w:vMerge w:val="restart"/>
          </w:tcPr>
          <w:p>
            <w:pPr>
              <w:jc w:val="right"/>
              <w:spacing w:after="0" w:line="168" w:lineRule="exact"/>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30"/>
        </w:trPr>
        <w:tc>
          <w:tcPr>
            <w:tcW w:w="580" w:type="dxa"/>
            <w:vAlign w:val="bottom"/>
          </w:tcPr>
          <w:p>
            <w:pPr>
              <w:spacing w:after="0"/>
              <w:rPr>
                <w:sz w:val="2"/>
                <w:szCs w:val="2"/>
                <w:color w:val="auto"/>
              </w:rPr>
            </w:pPr>
          </w:p>
        </w:tc>
        <w:tc>
          <w:tcPr>
            <w:tcW w:w="4540" w:type="dxa"/>
            <w:vAlign w:val="bottom"/>
            <w:gridSpan w:val="12"/>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580" w:type="dxa"/>
            <w:vAlign w:val="bottom"/>
          </w:tcPr>
          <w:p>
            <w:pPr>
              <w:jc w:val="right"/>
              <w:ind w:right="320"/>
              <w:spacing w:after="0"/>
              <w:rPr>
                <w:sz w:val="20"/>
                <w:szCs w:val="20"/>
                <w:color w:val="auto"/>
              </w:rPr>
            </w:pPr>
            <w:r>
              <w:rPr>
                <w:rFonts w:ascii="Arial" w:cs="Arial" w:eastAsia="Arial" w:hAnsi="Arial"/>
                <w:sz w:val="16"/>
                <w:szCs w:val="16"/>
                <w:color w:val="auto"/>
                <w:w w:val="89"/>
              </w:rPr>
              <w:t>57</w:t>
            </w:r>
          </w:p>
        </w:tc>
        <w:tc>
          <w:tcPr>
            <w:tcW w:w="1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4800" w:space="360"/>
            <w:col w:w="5860"/>
          </w:cols>
          <w:pgMar w:left="320" w:top="478" w:right="5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45"/>
          <w:szCs w:val="45"/>
          <w:color w:val="140F21"/>
        </w:rPr>
        <w:t>2024 Highlights</w:t>
      </w:r>
    </w:p>
    <w:p>
      <w:pPr>
        <w:spacing w:after="0" w:line="224" w:lineRule="exact"/>
        <w:rPr>
          <w:sz w:val="20"/>
          <w:szCs w:val="20"/>
          <w:color w:val="auto"/>
        </w:rPr>
      </w:pPr>
    </w:p>
    <w:tbl>
      <w:tblPr>
        <w:tblLayout w:type="fixed"/>
        <w:tblInd w:w="700" w:type="dxa"/>
        <w:tblCellMar>
          <w:top w:w="0" w:type="dxa"/>
          <w:left w:w="0" w:type="dxa"/>
          <w:bottom w:w="0" w:type="dxa"/>
          <w:right w:w="0" w:type="dxa"/>
        </w:tblCellMar>
      </w:tblPr>
      <w:tr>
        <w:trPr>
          <w:trHeight w:val="282"/>
        </w:trPr>
        <w:tc>
          <w:tcPr>
            <w:tcW w:w="2780" w:type="dxa"/>
            <w:vAlign w:val="bottom"/>
          </w:tcPr>
          <w:p>
            <w:pPr>
              <w:jc w:val="center"/>
              <w:ind w:right="30"/>
              <w:spacing w:after="0"/>
              <w:rPr>
                <w:sz w:val="20"/>
                <w:szCs w:val="20"/>
                <w:color w:val="auto"/>
              </w:rPr>
            </w:pPr>
            <w:r>
              <w:rPr>
                <w:rFonts w:ascii="Arial" w:cs="Arial" w:eastAsia="Arial" w:hAnsi="Arial"/>
                <w:sz w:val="21"/>
                <w:szCs w:val="21"/>
                <w:color w:val="auto"/>
              </w:rPr>
              <w:t>LAS VEGAS OPERATIONS</w:t>
            </w:r>
          </w:p>
        </w:tc>
        <w:tc>
          <w:tcPr>
            <w:tcW w:w="4860" w:type="dxa"/>
            <w:vAlign w:val="bottom"/>
            <w:gridSpan w:val="2"/>
          </w:tcPr>
          <w:p>
            <w:pPr>
              <w:jc w:val="center"/>
              <w:ind w:right="51"/>
              <w:spacing w:after="0"/>
              <w:rPr>
                <w:sz w:val="20"/>
                <w:szCs w:val="20"/>
                <w:color w:val="auto"/>
              </w:rPr>
            </w:pPr>
            <w:r>
              <w:rPr>
                <w:rFonts w:ascii="Arial" w:cs="Arial" w:eastAsia="Arial" w:hAnsi="Arial"/>
                <w:sz w:val="21"/>
                <w:szCs w:val="21"/>
                <w:color w:val="auto"/>
              </w:rPr>
              <w:t>ENCORE BOSTON HARBOR</w:t>
            </w:r>
          </w:p>
        </w:tc>
        <w:tc>
          <w:tcPr>
            <w:tcW w:w="2220" w:type="dxa"/>
            <w:vAlign w:val="bottom"/>
          </w:tcPr>
          <w:p>
            <w:pPr>
              <w:jc w:val="center"/>
              <w:spacing w:after="0"/>
              <w:rPr>
                <w:sz w:val="20"/>
                <w:szCs w:val="20"/>
                <w:color w:val="auto"/>
              </w:rPr>
            </w:pPr>
            <w:r>
              <w:rPr>
                <w:rFonts w:ascii="Arial" w:cs="Arial" w:eastAsia="Arial" w:hAnsi="Arial"/>
                <w:sz w:val="21"/>
                <w:szCs w:val="21"/>
                <w:color w:val="auto"/>
              </w:rPr>
              <w:t>MACAU OPERATIONS</w:t>
            </w:r>
          </w:p>
        </w:tc>
        <w:tc>
          <w:tcPr>
            <w:tcW w:w="0" w:type="dxa"/>
            <w:vAlign w:val="bottom"/>
          </w:tcPr>
          <w:p>
            <w:pPr>
              <w:spacing w:after="0"/>
              <w:rPr>
                <w:sz w:val="1"/>
                <w:szCs w:val="1"/>
                <w:color w:val="auto"/>
              </w:rPr>
            </w:pPr>
          </w:p>
        </w:tc>
      </w:tr>
      <w:tr>
        <w:trPr>
          <w:trHeight w:val="685"/>
        </w:trPr>
        <w:tc>
          <w:tcPr>
            <w:tcW w:w="2780" w:type="dxa"/>
            <w:vAlign w:val="bottom"/>
          </w:tcPr>
          <w:p>
            <w:pPr>
              <w:jc w:val="center"/>
              <w:ind w:right="30"/>
              <w:spacing w:after="0"/>
              <w:rPr>
                <w:sz w:val="20"/>
                <w:szCs w:val="20"/>
                <w:color w:val="auto"/>
              </w:rPr>
            </w:pPr>
            <w:r>
              <w:rPr>
                <w:rFonts w:ascii="Arial" w:cs="Arial" w:eastAsia="Arial" w:hAnsi="Arial"/>
                <w:sz w:val="43"/>
                <w:szCs w:val="43"/>
                <w:color w:val="351B3D"/>
              </w:rPr>
              <w:t>$946.8M</w:t>
            </w:r>
          </w:p>
        </w:tc>
        <w:tc>
          <w:tcPr>
            <w:tcW w:w="4860" w:type="dxa"/>
            <w:vAlign w:val="bottom"/>
            <w:gridSpan w:val="2"/>
          </w:tcPr>
          <w:p>
            <w:pPr>
              <w:jc w:val="center"/>
              <w:ind w:right="51"/>
              <w:spacing w:after="0"/>
              <w:rPr>
                <w:sz w:val="20"/>
                <w:szCs w:val="20"/>
                <w:color w:val="auto"/>
              </w:rPr>
            </w:pPr>
            <w:r>
              <w:rPr>
                <w:rFonts w:ascii="Arial" w:cs="Arial" w:eastAsia="Arial" w:hAnsi="Arial"/>
                <w:sz w:val="43"/>
                <w:szCs w:val="43"/>
                <w:color w:val="351B3D"/>
              </w:rPr>
              <w:t>$247.1M</w:t>
            </w:r>
          </w:p>
        </w:tc>
        <w:tc>
          <w:tcPr>
            <w:tcW w:w="2220" w:type="dxa"/>
            <w:vAlign w:val="bottom"/>
          </w:tcPr>
          <w:p>
            <w:pPr>
              <w:jc w:val="center"/>
              <w:spacing w:after="0"/>
              <w:rPr>
                <w:sz w:val="20"/>
                <w:szCs w:val="20"/>
                <w:color w:val="auto"/>
              </w:rPr>
            </w:pPr>
            <w:r>
              <w:rPr>
                <w:rFonts w:ascii="Arial" w:cs="Arial" w:eastAsia="Arial" w:hAnsi="Arial"/>
                <w:sz w:val="43"/>
                <w:szCs w:val="43"/>
                <w:color w:val="351B3D"/>
                <w:w w:val="99"/>
              </w:rPr>
              <w:t>$1,175.6M</w:t>
            </w:r>
          </w:p>
        </w:tc>
        <w:tc>
          <w:tcPr>
            <w:tcW w:w="0" w:type="dxa"/>
            <w:vAlign w:val="bottom"/>
          </w:tcPr>
          <w:p>
            <w:pPr>
              <w:spacing w:after="0"/>
              <w:rPr>
                <w:sz w:val="1"/>
                <w:szCs w:val="1"/>
                <w:color w:val="auto"/>
              </w:rPr>
            </w:pPr>
          </w:p>
        </w:tc>
      </w:tr>
      <w:tr>
        <w:trPr>
          <w:trHeight w:val="396"/>
        </w:trPr>
        <w:tc>
          <w:tcPr>
            <w:tcW w:w="2780" w:type="dxa"/>
            <w:vAlign w:val="bottom"/>
          </w:tcPr>
          <w:p>
            <w:pPr>
              <w:jc w:val="center"/>
              <w:ind w:right="30"/>
              <w:spacing w:after="0"/>
              <w:rPr>
                <w:sz w:val="20"/>
                <w:szCs w:val="20"/>
                <w:color w:val="auto"/>
              </w:rPr>
            </w:pPr>
            <w:r>
              <w:rPr>
                <w:rFonts w:ascii="Arial" w:cs="Arial" w:eastAsia="Arial" w:hAnsi="Arial"/>
                <w:sz w:val="16"/>
                <w:szCs w:val="16"/>
                <w:color w:val="auto"/>
                <w:w w:val="97"/>
              </w:rPr>
              <w:t>Adjusted Property EBITDAR</w:t>
            </w:r>
            <w:r>
              <w:rPr>
                <w:rFonts w:ascii="Arial" w:cs="Arial" w:eastAsia="Arial" w:hAnsi="Arial"/>
                <w:sz w:val="24"/>
                <w:szCs w:val="24"/>
                <w:color w:val="auto"/>
                <w:w w:val="97"/>
                <w:vertAlign w:val="superscript"/>
              </w:rPr>
              <w:t>(1)</w:t>
            </w:r>
          </w:p>
        </w:tc>
        <w:tc>
          <w:tcPr>
            <w:tcW w:w="1640" w:type="dxa"/>
            <w:vAlign w:val="bottom"/>
          </w:tcPr>
          <w:p>
            <w:pPr>
              <w:spacing w:after="0"/>
              <w:rPr>
                <w:sz w:val="24"/>
                <w:szCs w:val="24"/>
                <w:color w:val="auto"/>
              </w:rPr>
            </w:pPr>
          </w:p>
        </w:tc>
        <w:tc>
          <w:tcPr>
            <w:tcW w:w="3220" w:type="dxa"/>
            <w:vAlign w:val="bottom"/>
          </w:tcPr>
          <w:p>
            <w:pPr>
              <w:jc w:val="center"/>
              <w:ind w:right="1691"/>
              <w:spacing w:after="0"/>
              <w:rPr>
                <w:sz w:val="20"/>
                <w:szCs w:val="20"/>
                <w:color w:val="auto"/>
              </w:rPr>
            </w:pPr>
            <w:r>
              <w:rPr>
                <w:rFonts w:ascii="Arial" w:cs="Arial" w:eastAsia="Arial" w:hAnsi="Arial"/>
                <w:sz w:val="16"/>
                <w:szCs w:val="16"/>
                <w:color w:val="auto"/>
              </w:rPr>
              <w:t>Adjusted Property</w:t>
            </w:r>
          </w:p>
        </w:tc>
        <w:tc>
          <w:tcPr>
            <w:tcW w:w="2220" w:type="dxa"/>
            <w:vAlign w:val="bottom"/>
          </w:tcPr>
          <w:p>
            <w:pPr>
              <w:jc w:val="center"/>
              <w:spacing w:after="0"/>
              <w:rPr>
                <w:sz w:val="20"/>
                <w:szCs w:val="20"/>
                <w:color w:val="auto"/>
              </w:rPr>
            </w:pPr>
            <w:r>
              <w:rPr>
                <w:rFonts w:ascii="Arial" w:cs="Arial" w:eastAsia="Arial" w:hAnsi="Arial"/>
                <w:sz w:val="16"/>
                <w:szCs w:val="16"/>
                <w:color w:val="auto"/>
              </w:rPr>
              <w:t>Adjusted Property</w:t>
            </w:r>
          </w:p>
        </w:tc>
        <w:tc>
          <w:tcPr>
            <w:tcW w:w="0" w:type="dxa"/>
            <w:vAlign w:val="bottom"/>
          </w:tcPr>
          <w:p>
            <w:pPr>
              <w:spacing w:after="0"/>
              <w:rPr>
                <w:sz w:val="1"/>
                <w:szCs w:val="1"/>
                <w:color w:val="auto"/>
              </w:rPr>
            </w:pPr>
          </w:p>
        </w:tc>
      </w:tr>
      <w:tr>
        <w:trPr>
          <w:trHeight w:val="323"/>
        </w:trPr>
        <w:tc>
          <w:tcPr>
            <w:tcW w:w="2780" w:type="dxa"/>
            <w:vAlign w:val="bottom"/>
          </w:tcPr>
          <w:p>
            <w:pPr>
              <w:jc w:val="center"/>
              <w:ind w:right="30"/>
              <w:spacing w:after="0"/>
              <w:rPr>
                <w:sz w:val="20"/>
                <w:szCs w:val="20"/>
                <w:color w:val="auto"/>
              </w:rPr>
            </w:pPr>
            <w:r>
              <w:rPr>
                <w:rFonts w:ascii="Arial" w:cs="Arial" w:eastAsia="Arial" w:hAnsi="Arial"/>
                <w:sz w:val="16"/>
                <w:szCs w:val="16"/>
                <w:color w:val="auto"/>
              </w:rPr>
              <w:t>– the highest ever recorded</w:t>
            </w:r>
          </w:p>
        </w:tc>
        <w:tc>
          <w:tcPr>
            <w:tcW w:w="1640" w:type="dxa"/>
            <w:vAlign w:val="bottom"/>
          </w:tcPr>
          <w:p>
            <w:pPr>
              <w:spacing w:after="0"/>
              <w:rPr>
                <w:sz w:val="24"/>
                <w:szCs w:val="24"/>
                <w:color w:val="auto"/>
              </w:rPr>
            </w:pPr>
          </w:p>
        </w:tc>
        <w:tc>
          <w:tcPr>
            <w:tcW w:w="3220" w:type="dxa"/>
            <w:vAlign w:val="bottom"/>
          </w:tcPr>
          <w:p>
            <w:pPr>
              <w:jc w:val="center"/>
              <w:ind w:right="1691"/>
              <w:spacing w:after="0"/>
              <w:rPr>
                <w:sz w:val="20"/>
                <w:szCs w:val="20"/>
                <w:color w:val="auto"/>
              </w:rPr>
            </w:pPr>
            <w:r>
              <w:rPr>
                <w:rFonts w:ascii="Arial" w:cs="Arial" w:eastAsia="Arial" w:hAnsi="Arial"/>
                <w:sz w:val="16"/>
                <w:szCs w:val="16"/>
                <w:color w:val="auto"/>
                <w:w w:val="94"/>
              </w:rPr>
              <w:t>EBITDAR</w:t>
            </w:r>
            <w:r>
              <w:rPr>
                <w:rFonts w:ascii="Arial" w:cs="Arial" w:eastAsia="Arial" w:hAnsi="Arial"/>
                <w:sz w:val="24"/>
                <w:szCs w:val="24"/>
                <w:color w:val="auto"/>
                <w:w w:val="94"/>
                <w:vertAlign w:val="superscript"/>
              </w:rPr>
              <w:t>(1)</w:t>
            </w:r>
          </w:p>
        </w:tc>
        <w:tc>
          <w:tcPr>
            <w:tcW w:w="2220" w:type="dxa"/>
            <w:vAlign w:val="bottom"/>
          </w:tcPr>
          <w:p>
            <w:pPr>
              <w:jc w:val="center"/>
              <w:spacing w:after="0"/>
              <w:rPr>
                <w:sz w:val="20"/>
                <w:szCs w:val="20"/>
                <w:color w:val="auto"/>
              </w:rPr>
            </w:pPr>
            <w:r>
              <w:rPr>
                <w:rFonts w:ascii="Arial" w:cs="Arial" w:eastAsia="Arial" w:hAnsi="Arial"/>
                <w:sz w:val="16"/>
                <w:szCs w:val="16"/>
                <w:color w:val="auto"/>
                <w:w w:val="94"/>
              </w:rPr>
              <w:t>EBITDAR</w:t>
            </w:r>
            <w:r>
              <w:rPr>
                <w:rFonts w:ascii="Arial" w:cs="Arial" w:eastAsia="Arial" w:hAnsi="Arial"/>
                <w:sz w:val="24"/>
                <w:szCs w:val="24"/>
                <w:color w:val="auto"/>
                <w:w w:val="94"/>
                <w:vertAlign w:val="superscript"/>
              </w:rPr>
              <w:t>(1)</w:t>
            </w:r>
          </w:p>
        </w:tc>
        <w:tc>
          <w:tcPr>
            <w:tcW w:w="0" w:type="dxa"/>
            <w:vAlign w:val="bottom"/>
          </w:tcPr>
          <w:p>
            <w:pPr>
              <w:spacing w:after="0"/>
              <w:rPr>
                <w:sz w:val="1"/>
                <w:szCs w:val="1"/>
                <w:color w:val="auto"/>
              </w:rPr>
            </w:pPr>
          </w:p>
        </w:tc>
      </w:tr>
      <w:tr>
        <w:trPr>
          <w:trHeight w:val="659"/>
        </w:trPr>
        <w:tc>
          <w:tcPr>
            <w:tcW w:w="2780" w:type="dxa"/>
            <w:vAlign w:val="bottom"/>
          </w:tcPr>
          <w:p>
            <w:pPr>
              <w:spacing w:after="0"/>
              <w:rPr>
                <w:sz w:val="24"/>
                <w:szCs w:val="24"/>
                <w:color w:val="auto"/>
              </w:rPr>
            </w:pPr>
          </w:p>
        </w:tc>
        <w:tc>
          <w:tcPr>
            <w:tcW w:w="1640" w:type="dxa"/>
            <w:vAlign w:val="bottom"/>
          </w:tcPr>
          <w:p>
            <w:pPr>
              <w:jc w:val="right"/>
              <w:ind w:right="724"/>
              <w:spacing w:after="0"/>
              <w:rPr>
                <w:sz w:val="20"/>
                <w:szCs w:val="20"/>
                <w:color w:val="auto"/>
              </w:rPr>
            </w:pPr>
            <w:r>
              <w:rPr>
                <w:rFonts w:ascii="Arial" w:cs="Arial" w:eastAsia="Arial" w:hAnsi="Arial"/>
                <w:sz w:val="43"/>
                <w:szCs w:val="43"/>
                <w:color w:val="351B3D"/>
              </w:rPr>
              <w:t>19</w:t>
            </w:r>
          </w:p>
        </w:tc>
        <w:tc>
          <w:tcPr>
            <w:tcW w:w="3220" w:type="dxa"/>
            <w:vAlign w:val="bottom"/>
            <w:vMerge w:val="restart"/>
          </w:tcPr>
          <w:p>
            <w:pPr>
              <w:jc w:val="center"/>
              <w:ind w:left="1431"/>
              <w:spacing w:after="0"/>
              <w:rPr>
                <w:sz w:val="20"/>
                <w:szCs w:val="20"/>
                <w:color w:val="auto"/>
              </w:rPr>
            </w:pPr>
            <w:r>
              <w:rPr>
                <w:rFonts w:ascii="Arial" w:cs="Arial" w:eastAsia="Arial" w:hAnsi="Arial"/>
                <w:sz w:val="43"/>
                <w:szCs w:val="43"/>
                <w:color w:val="351B3D"/>
                <w:w w:val="91"/>
              </w:rPr>
              <w:t>17</w:t>
            </w:r>
            <w:r>
              <w:rPr>
                <w:rFonts w:ascii="Arial" w:cs="Arial" w:eastAsia="Arial" w:hAnsi="Arial"/>
                <w:sz w:val="64"/>
                <w:szCs w:val="64"/>
                <w:color w:val="351B3D"/>
                <w:w w:val="91"/>
                <w:vertAlign w:val="superscript"/>
              </w:rPr>
              <w:t>th</w:t>
            </w:r>
            <w:r>
              <w:rPr>
                <w:rFonts w:ascii="Arial" w:cs="Arial" w:eastAsia="Arial" w:hAnsi="Arial"/>
                <w:sz w:val="43"/>
                <w:szCs w:val="43"/>
                <w:color w:val="351B3D"/>
                <w:w w:val="91"/>
              </w:rPr>
              <w:t xml:space="preserve"> Year</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780" w:type="dxa"/>
            <w:vAlign w:val="bottom"/>
          </w:tcPr>
          <w:p>
            <w:pPr>
              <w:spacing w:after="0"/>
              <w:rPr>
                <w:sz w:val="24"/>
                <w:szCs w:val="24"/>
                <w:color w:val="auto"/>
              </w:rPr>
            </w:pPr>
          </w:p>
        </w:tc>
        <w:tc>
          <w:tcPr>
            <w:tcW w:w="1640" w:type="dxa"/>
            <w:vAlign w:val="bottom"/>
            <w:vMerge w:val="restart"/>
          </w:tcPr>
          <w:p>
            <w:pPr>
              <w:jc w:val="right"/>
              <w:ind w:right="564"/>
              <w:spacing w:after="0"/>
              <w:rPr>
                <w:sz w:val="20"/>
                <w:szCs w:val="20"/>
                <w:color w:val="auto"/>
              </w:rPr>
            </w:pPr>
            <w:r>
              <w:rPr>
                <w:rFonts w:ascii="Wingdings" w:cs="Wingdings" w:eastAsia="Wingdings" w:hAnsi="Wingdings"/>
                <w:sz w:val="18"/>
                <w:szCs w:val="18"/>
                <w:b w:val="1"/>
                <w:bCs w:val="1"/>
                <w:color w:val="auto"/>
                <w:w w:val="95"/>
              </w:rPr>
              <w:t>«««««</w:t>
            </w:r>
          </w:p>
        </w:tc>
        <w:tc>
          <w:tcPr>
            <w:tcW w:w="3220" w:type="dxa"/>
            <w:vAlign w:val="bottom"/>
            <w:vMerge w:val="continue"/>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1640" w:type="dxa"/>
            <w:vAlign w:val="bottom"/>
            <w:vMerge w:val="continue"/>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4420" w:type="dxa"/>
            <w:vAlign w:val="bottom"/>
            <w:gridSpan w:val="2"/>
          </w:tcPr>
          <w:p>
            <w:pPr>
              <w:ind w:left="2300"/>
              <w:spacing w:after="0"/>
              <w:rPr>
                <w:sz w:val="20"/>
                <w:szCs w:val="20"/>
                <w:color w:val="auto"/>
              </w:rPr>
            </w:pPr>
            <w:r>
              <w:rPr>
                <w:rFonts w:ascii="Arial" w:cs="Arial" w:eastAsia="Arial" w:hAnsi="Arial"/>
                <w:sz w:val="18"/>
                <w:szCs w:val="18"/>
                <w:color w:val="auto"/>
              </w:rPr>
              <w:t>5-STAR AWARDS FROM</w:t>
            </w:r>
          </w:p>
        </w:tc>
        <w:tc>
          <w:tcPr>
            <w:tcW w:w="5440" w:type="dxa"/>
            <w:vAlign w:val="bottom"/>
            <w:gridSpan w:val="2"/>
          </w:tcPr>
          <w:p>
            <w:pPr>
              <w:ind w:left="440"/>
              <w:spacing w:after="0"/>
              <w:rPr>
                <w:sz w:val="20"/>
                <w:szCs w:val="20"/>
                <w:color w:val="auto"/>
              </w:rPr>
            </w:pPr>
            <w:r>
              <w:rPr>
                <w:rFonts w:ascii="Arial" w:cs="Arial" w:eastAsia="Arial" w:hAnsi="Arial"/>
                <w:sz w:val="31"/>
                <w:szCs w:val="31"/>
                <w:color w:val="auto"/>
                <w:w w:val="98"/>
                <w:vertAlign w:val="superscript"/>
              </w:rPr>
              <w:t xml:space="preserve">    </w:t>
            </w:r>
            <w:r>
              <w:rPr>
                <w:rFonts w:ascii="Arial" w:cs="Arial" w:eastAsia="Arial" w:hAnsi="Arial"/>
                <w:sz w:val="18"/>
                <w:szCs w:val="18"/>
                <w:color w:val="auto"/>
                <w:w w:val="98"/>
              </w:rPr>
              <w:t>INCLUDED IN FORTUNE</w:t>
            </w:r>
          </w:p>
        </w:tc>
        <w:tc>
          <w:tcPr>
            <w:tcW w:w="0" w:type="dxa"/>
            <w:vAlign w:val="bottom"/>
          </w:tcPr>
          <w:p>
            <w:pPr>
              <w:spacing w:after="0"/>
              <w:rPr>
                <w:sz w:val="1"/>
                <w:szCs w:val="1"/>
                <w:color w:val="auto"/>
              </w:rPr>
            </w:pPr>
          </w:p>
        </w:tc>
      </w:tr>
      <w:tr>
        <w:trPr>
          <w:trHeight w:val="201"/>
        </w:trPr>
        <w:tc>
          <w:tcPr>
            <w:tcW w:w="4420" w:type="dxa"/>
            <w:vAlign w:val="bottom"/>
            <w:gridSpan w:val="2"/>
          </w:tcPr>
          <w:p>
            <w:pPr>
              <w:ind w:left="2260"/>
              <w:spacing w:after="0" w:line="201" w:lineRule="exact"/>
              <w:rPr>
                <w:sz w:val="20"/>
                <w:szCs w:val="20"/>
                <w:color w:val="auto"/>
              </w:rPr>
            </w:pPr>
            <w:r>
              <w:rPr>
                <w:rFonts w:ascii="Arial" w:cs="Arial" w:eastAsia="Arial" w:hAnsi="Arial"/>
                <w:sz w:val="18"/>
                <w:szCs w:val="18"/>
                <w:color w:val="auto"/>
              </w:rPr>
              <w:t>FORBES TRAVEL GUIDE</w:t>
            </w:r>
          </w:p>
        </w:tc>
        <w:tc>
          <w:tcPr>
            <w:tcW w:w="5440" w:type="dxa"/>
            <w:vAlign w:val="bottom"/>
            <w:gridSpan w:val="2"/>
          </w:tcPr>
          <w:p>
            <w:pPr>
              <w:jc w:val="center"/>
              <w:ind w:right="600"/>
              <w:spacing w:after="0" w:line="146" w:lineRule="exact"/>
              <w:rPr>
                <w:sz w:val="20"/>
                <w:szCs w:val="20"/>
                <w:color w:val="auto"/>
              </w:rPr>
            </w:pPr>
            <w:r>
              <w:rPr>
                <w:rFonts w:ascii="Arial" w:cs="Arial" w:eastAsia="Arial" w:hAnsi="Arial"/>
                <w:sz w:val="16"/>
                <w:szCs w:val="16"/>
                <w:color w:val="auto"/>
              </w:rPr>
              <w:t>MAGAZINE’S MOST ADMIRED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920" w:type="dxa"/>
        <w:tblCellMar>
          <w:top w:w="0" w:type="dxa"/>
          <w:left w:w="0" w:type="dxa"/>
          <w:bottom w:w="0" w:type="dxa"/>
          <w:right w:w="0" w:type="dxa"/>
        </w:tblCellMar>
      </w:tblPr>
      <w:tr>
        <w:trPr>
          <w:trHeight w:val="183"/>
        </w:trPr>
        <w:tc>
          <w:tcPr>
            <w:tcW w:w="3100" w:type="dxa"/>
            <w:vAlign w:val="bottom"/>
          </w:tcPr>
          <w:p>
            <w:pPr>
              <w:jc w:val="center"/>
              <w:ind w:right="831"/>
              <w:spacing w:after="0" w:line="182" w:lineRule="exact"/>
              <w:rPr>
                <w:sz w:val="20"/>
                <w:szCs w:val="20"/>
                <w:color w:val="auto"/>
              </w:rPr>
            </w:pPr>
            <w:r>
              <w:rPr>
                <w:rFonts w:ascii="Arial" w:cs="Arial" w:eastAsia="Arial" w:hAnsi="Arial"/>
                <w:sz w:val="18"/>
                <w:szCs w:val="18"/>
                <w:color w:val="auto"/>
                <w:w w:val="98"/>
              </w:rPr>
              <w:t>– The most of any</w:t>
            </w:r>
          </w:p>
        </w:tc>
        <w:tc>
          <w:tcPr>
            <w:tcW w:w="2000" w:type="dxa"/>
            <w:vAlign w:val="bottom"/>
            <w:vMerge w:val="restart"/>
          </w:tcPr>
          <w:p>
            <w:pPr>
              <w:ind w:left="940"/>
              <w:spacing w:after="0"/>
              <w:rPr>
                <w:sz w:val="20"/>
                <w:szCs w:val="20"/>
                <w:color w:val="auto"/>
              </w:rPr>
            </w:pPr>
            <w:r>
              <w:rPr>
                <w:rFonts w:ascii="Arial" w:cs="Arial" w:eastAsia="Arial" w:hAnsi="Arial"/>
                <w:sz w:val="18"/>
                <w:szCs w:val="18"/>
                <w:color w:val="auto"/>
                <w:w w:val="96"/>
              </w:rPr>
              <w:t>COMPANIES</w:t>
            </w:r>
          </w:p>
        </w:tc>
        <w:tc>
          <w:tcPr>
            <w:tcW w:w="0" w:type="dxa"/>
            <w:vAlign w:val="bottom"/>
          </w:tcPr>
          <w:p>
            <w:pPr>
              <w:spacing w:after="0"/>
              <w:rPr>
                <w:sz w:val="1"/>
                <w:szCs w:val="1"/>
                <w:color w:val="auto"/>
              </w:rPr>
            </w:pPr>
          </w:p>
        </w:tc>
      </w:tr>
      <w:tr>
        <w:trPr>
          <w:trHeight w:val="128"/>
        </w:trPr>
        <w:tc>
          <w:tcPr>
            <w:tcW w:w="3100" w:type="dxa"/>
            <w:vAlign w:val="bottom"/>
            <w:vMerge w:val="restart"/>
          </w:tcPr>
          <w:p>
            <w:pPr>
              <w:jc w:val="center"/>
              <w:ind w:right="831"/>
              <w:spacing w:after="0" w:line="201" w:lineRule="exact"/>
              <w:rPr>
                <w:sz w:val="20"/>
                <w:szCs w:val="20"/>
                <w:color w:val="auto"/>
              </w:rPr>
            </w:pPr>
            <w:r>
              <w:rPr>
                <w:rFonts w:ascii="Arial" w:cs="Arial" w:eastAsia="Arial" w:hAnsi="Arial"/>
                <w:sz w:val="18"/>
                <w:szCs w:val="18"/>
                <w:color w:val="auto"/>
                <w:w w:val="98"/>
              </w:rPr>
              <w:t>independent hotel company</w:t>
            </w:r>
          </w:p>
        </w:tc>
        <w:tc>
          <w:tcPr>
            <w:tcW w:w="2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3100" w:type="dxa"/>
            <w:vAlign w:val="bottom"/>
            <w:vMerge w:val="continue"/>
          </w:tcPr>
          <w:p>
            <w:pPr>
              <w:spacing w:after="0"/>
              <w:rPr>
                <w:sz w:val="6"/>
                <w:szCs w:val="6"/>
                <w:color w:val="auto"/>
              </w:rPr>
            </w:pPr>
          </w:p>
        </w:tc>
        <w:tc>
          <w:tcPr>
            <w:tcW w:w="2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3100" w:type="dxa"/>
            <w:vAlign w:val="bottom"/>
          </w:tcPr>
          <w:p>
            <w:pPr>
              <w:jc w:val="center"/>
              <w:ind w:right="831"/>
              <w:spacing w:after="0"/>
              <w:rPr>
                <w:sz w:val="20"/>
                <w:szCs w:val="20"/>
                <w:color w:val="auto"/>
              </w:rPr>
            </w:pPr>
            <w:r>
              <w:rPr>
                <w:rFonts w:ascii="Arial" w:cs="Arial" w:eastAsia="Arial" w:hAnsi="Arial"/>
                <w:sz w:val="18"/>
                <w:szCs w:val="18"/>
                <w:color w:val="auto"/>
                <w:w w:val="97"/>
              </w:rPr>
              <w:t>in the world</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PURSUING GROWTH OPPORTUNITIES</w:t>
      </w:r>
    </w:p>
    <w:p>
      <w:pPr>
        <w:spacing w:after="0" w:line="164" w:lineRule="exact"/>
        <w:rPr>
          <w:sz w:val="20"/>
          <w:szCs w:val="20"/>
          <w:color w:val="auto"/>
        </w:rPr>
      </w:pPr>
    </w:p>
    <w:p>
      <w:pPr>
        <w:ind w:left="3360" w:right="200" w:hanging="159"/>
        <w:spacing w:after="0" w:line="265" w:lineRule="auto"/>
        <w:rPr>
          <w:sz w:val="20"/>
          <w:szCs w:val="20"/>
          <w:color w:val="auto"/>
        </w:rPr>
      </w:pPr>
      <w:r>
        <w:rPr>
          <w:rFonts w:ascii="Arial" w:cs="Arial" w:eastAsia="Arial" w:hAnsi="Arial"/>
          <w:sz w:val="16"/>
          <w:szCs w:val="16"/>
          <w:color w:val="auto"/>
        </w:rPr>
        <w:t>•   Significantly advanced construction of Wynn Al Marjan Island, our 40%-owned planned integrated resort in the UAE, now reaching the 38</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floor of the hotel 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-304165</wp:posOffset>
            </wp:positionV>
            <wp:extent cx="1698625" cy="7727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98625" cy="772795"/>
                    </a:xfrm>
                    <a:prstGeom prst="rect">
                      <a:avLst/>
                    </a:prstGeom>
                    <a:noFill/>
                  </pic:spPr>
                </pic:pic>
              </a:graphicData>
            </a:graphic>
          </wp:anchor>
        </w:drawing>
      </w:r>
    </w:p>
    <w:p>
      <w:pPr>
        <w:ind w:left="3360" w:right="100" w:hanging="159"/>
        <w:spacing w:after="0" w:line="260" w:lineRule="auto"/>
        <w:rPr>
          <w:sz w:val="20"/>
          <w:szCs w:val="20"/>
          <w:color w:val="auto"/>
        </w:rPr>
      </w:pPr>
      <w:r>
        <w:rPr>
          <w:rFonts w:ascii="Arial" w:cs="Arial" w:eastAsia="Arial" w:hAnsi="Arial"/>
          <w:sz w:val="16"/>
          <w:szCs w:val="16"/>
          <w:color w:val="auto"/>
        </w:rPr>
        <w:t>•   Continued to pursue downstate New York gaming license in partnership with Related Companies to develop an integrated resort in Manhattan’s Hudson Yards</w:t>
      </w:r>
    </w:p>
    <w:p>
      <w:pPr>
        <w:spacing w:after="0" w:line="81" w:lineRule="exact"/>
        <w:rPr>
          <w:sz w:val="20"/>
          <w:szCs w:val="20"/>
          <w:color w:val="auto"/>
        </w:rPr>
      </w:pPr>
    </w:p>
    <w:p>
      <w:pPr>
        <w:ind w:left="3360" w:right="160" w:hanging="159"/>
        <w:spacing w:after="0" w:line="279" w:lineRule="auto"/>
        <w:rPr>
          <w:sz w:val="20"/>
          <w:szCs w:val="20"/>
          <w:color w:val="auto"/>
        </w:rPr>
      </w:pPr>
      <w:r>
        <w:rPr>
          <w:rFonts w:ascii="Arial" w:cs="Arial" w:eastAsia="Arial" w:hAnsi="Arial"/>
          <w:sz w:val="16"/>
          <w:szCs w:val="16"/>
          <w:color w:val="auto"/>
        </w:rPr>
        <w:t>•   Continued to advance design and planning efforts for non-gaming capital expenditure commitments related to the 10-year concession agreement in Macau</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STRENGTHENED BALANCE SHEET &amp; RETURNED CAPITAL TO SHAREHOLDERS</w:t>
      </w:r>
    </w:p>
    <w:p>
      <w:pPr>
        <w:spacing w:after="0" w:line="97" w:lineRule="exact"/>
        <w:rPr>
          <w:sz w:val="20"/>
          <w:szCs w:val="20"/>
          <w:color w:val="auto"/>
        </w:rPr>
      </w:pPr>
    </w:p>
    <w:p>
      <w:pPr>
        <w:ind w:left="3360" w:right="40" w:hanging="159"/>
        <w:spacing w:after="0" w:line="262" w:lineRule="auto"/>
        <w:rPr>
          <w:sz w:val="20"/>
          <w:szCs w:val="20"/>
          <w:color w:val="auto"/>
        </w:rPr>
      </w:pPr>
      <w:r>
        <w:rPr>
          <w:rFonts w:ascii="Arial" w:cs="Arial" w:eastAsia="Arial" w:hAnsi="Arial"/>
          <w:sz w:val="16"/>
          <w:szCs w:val="16"/>
          <w:color w:val="auto"/>
        </w:rPr>
        <w:t>•   Strengthened the balance sheet and enhanced our liquidity position through the net repayment of $1.2 billion in aggregate principal amount of debt during the year, resulting in approximately $69 million of annual interest expense savings, and the successful refinancing of our remaining 2025 debt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-372745</wp:posOffset>
            </wp:positionV>
            <wp:extent cx="1698625" cy="1333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98625" cy="1333500"/>
                    </a:xfrm>
                    <a:prstGeom prst="rect">
                      <a:avLst/>
                    </a:prstGeom>
                    <a:noFill/>
                  </pic:spPr>
                </pic:pic>
              </a:graphicData>
            </a:graphic>
          </wp:anchor>
        </w:drawing>
      </w:r>
    </w:p>
    <w:p>
      <w:pPr>
        <w:spacing w:after="0" w:line="60"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•   Continued Wynn Resorts quarterly dividend of $0.25 per share and opportunistically repurchased</w:t>
      </w:r>
    </w:p>
    <w:p>
      <w:pPr>
        <w:spacing w:after="0" w:line="19"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$386 million of shares, representing approximately 4.0% of shares outstanding as of December 31, 2024</w:t>
      </w:r>
    </w:p>
    <w:p>
      <w:pPr>
        <w:spacing w:after="0" w:line="108" w:lineRule="exact"/>
        <w:rPr>
          <w:sz w:val="20"/>
          <w:szCs w:val="20"/>
          <w:color w:val="auto"/>
        </w:rPr>
      </w:pPr>
    </w:p>
    <w:p>
      <w:pPr>
        <w:jc w:val="both"/>
        <w:ind w:left="3360" w:right="160" w:hanging="159"/>
        <w:spacing w:after="0" w:line="262" w:lineRule="auto"/>
        <w:rPr>
          <w:sz w:val="20"/>
          <w:szCs w:val="20"/>
          <w:color w:val="auto"/>
        </w:rPr>
      </w:pPr>
      <w:r>
        <w:rPr>
          <w:rFonts w:ascii="Arial" w:cs="Arial" w:eastAsia="Arial" w:hAnsi="Arial"/>
          <w:sz w:val="16"/>
          <w:szCs w:val="16"/>
          <w:color w:val="auto"/>
        </w:rPr>
        <w:t>•   Hosted our first Investor Day since pre-COVID during the Global Gaming Expo in October 2024, which was attended by more than 50 equity investors, 15 sell-side analysts, and individuals representing some of the world’s largest fixed income asset managers</w:t>
      </w:r>
    </w:p>
    <w:p>
      <w:pPr>
        <w:spacing w:after="0" w:line="200" w:lineRule="exact"/>
        <w:rPr>
          <w:sz w:val="20"/>
          <w:szCs w:val="20"/>
          <w:color w:val="auto"/>
        </w:rPr>
      </w:pPr>
    </w:p>
    <w:p>
      <w:pPr>
        <w:spacing w:after="0" w:line="223" w:lineRule="exact"/>
        <w:rPr>
          <w:sz w:val="20"/>
          <w:szCs w:val="20"/>
          <w:color w:val="auto"/>
        </w:rPr>
      </w:pPr>
    </w:p>
    <w:p>
      <w:pPr>
        <w:ind w:left="160" w:right="20" w:firstLine="7"/>
        <w:spacing w:after="0" w:line="244" w:lineRule="auto"/>
        <w:tabs>
          <w:tab w:leader="none" w:pos="347" w:val="left"/>
        </w:tabs>
        <w:numPr>
          <w:ilvl w:val="0"/>
          <w:numId w:val="12"/>
        </w:numPr>
        <w:rPr>
          <w:rFonts w:ascii="Arial" w:cs="Arial" w:eastAsia="Arial" w:hAnsi="Arial"/>
          <w:sz w:val="12"/>
          <w:szCs w:val="12"/>
          <w:color w:val="auto"/>
        </w:rPr>
      </w:pPr>
      <w:r>
        <w:rPr>
          <w:rFonts w:ascii="Arial" w:cs="Arial" w:eastAsia="Arial" w:hAnsi="Arial"/>
          <w:sz w:val="12"/>
          <w:szCs w:val="12"/>
          <w:color w:val="auto"/>
        </w:rPr>
        <w:t>Adjusted Property EBITDAR is a net income (loss) before interest, income taxes, depreciation and amortization, pre-opening expenses, impairment of goodwill and intangible assets, property charges and other expenses, triple-net operating lease rent expense related to Encore Boston Harbor, management and license fees, corporate expenses and other expenses (including intercompany golf course, meeting and convention, and water rights leases), stock-based compensation, change in derivatives fair value, loss on debt financing transactions, and other non-operating income and expenses. See our Annual Report on Form 10-K for the year ended December 31, 2024 (Item 8, Note 20—“Segment Information” to our Consolidated Financial Statements) for the definition of “Adjusted Property EBITDAR” and a reconciliation of Adjusted Property EBITDAR to net income/loss attributable to Wynn Resorts.</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080"/>
          </w:cols>
          <w:pgMar w:left="320" w:top="478"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7094855" cy="9171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78"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45"/>
          <w:szCs w:val="45"/>
          <w:color w:val="140F21"/>
        </w:rPr>
        <w:t>Governance</w:t>
      </w:r>
    </w:p>
    <w:p>
      <w:pPr>
        <w:spacing w:after="0" w:line="237"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WHO WE ARE</w:t>
      </w:r>
    </w:p>
    <w:p>
      <w:pPr>
        <w:spacing w:after="0" w:line="324" w:lineRule="exact"/>
        <w:rPr>
          <w:sz w:val="20"/>
          <w:szCs w:val="20"/>
          <w:color w:val="auto"/>
        </w:rPr>
      </w:pPr>
    </w:p>
    <w:p>
      <w:pPr>
        <w:ind w:left="160" w:right="100"/>
        <w:spacing w:after="0" w:line="279" w:lineRule="auto"/>
        <w:rPr>
          <w:sz w:val="20"/>
          <w:szCs w:val="20"/>
          <w:color w:val="auto"/>
        </w:rPr>
      </w:pPr>
      <w:r>
        <w:rPr>
          <w:rFonts w:ascii="Arial" w:cs="Arial" w:eastAsia="Arial" w:hAnsi="Arial"/>
          <w:sz w:val="16"/>
          <w:szCs w:val="16"/>
          <w:color w:val="auto"/>
        </w:rPr>
        <w:t>Our corporate governance practices reflect our commitment to accountability, effective risk oversight, and decision-making aligned with our shareholders’ interests and designed to enhance long-term shareholder value, and are grounded in sound governance principles.</w:t>
      </w:r>
    </w:p>
    <w:p>
      <w:pPr>
        <w:spacing w:after="0" w:line="182" w:lineRule="exact"/>
        <w:rPr>
          <w:sz w:val="20"/>
          <w:szCs w:val="20"/>
          <w:color w:val="auto"/>
        </w:rPr>
      </w:pPr>
    </w:p>
    <w:tbl>
      <w:tblPr>
        <w:tblLayout w:type="fixed"/>
        <w:tblInd w:w="170" w:type="dxa"/>
        <w:tblCellMar>
          <w:top w:w="0" w:type="dxa"/>
          <w:left w:w="0" w:type="dxa"/>
          <w:bottom w:w="0" w:type="dxa"/>
          <w:right w:w="0" w:type="dxa"/>
        </w:tblCellMar>
      </w:tblPr>
      <w:tr>
        <w:trPr>
          <w:trHeight w:val="371"/>
        </w:trPr>
        <w:tc>
          <w:tcPr>
            <w:tcW w:w="3100" w:type="dxa"/>
            <w:vAlign w:val="bottom"/>
            <w:tcBorders>
              <w:top w:val="single" w:sz="8" w:color="auto"/>
              <w:left w:val="single" w:sz="8" w:color="auto"/>
              <w:right w:val="single" w:sz="8" w:color="auto"/>
            </w:tcBorders>
          </w:tcPr>
          <w:p>
            <w:pPr>
              <w:ind w:left="260"/>
              <w:spacing w:after="0"/>
              <w:rPr>
                <w:sz w:val="20"/>
                <w:szCs w:val="20"/>
                <w:color w:val="auto"/>
              </w:rPr>
            </w:pPr>
            <w:r>
              <w:rPr>
                <w:rFonts w:ascii="Arial" w:cs="Arial" w:eastAsia="Arial" w:hAnsi="Arial"/>
                <w:sz w:val="16"/>
                <w:szCs w:val="16"/>
                <w:color w:val="351B3D"/>
              </w:rPr>
              <w:t>GOVERNANCE PRINCIPLES</w:t>
            </w:r>
          </w:p>
        </w:tc>
        <w:tc>
          <w:tcPr>
            <w:tcW w:w="80" w:type="dxa"/>
            <w:vAlign w:val="bottom"/>
            <w:tcBorders>
              <w:top w:val="single" w:sz="8" w:color="auto"/>
            </w:tcBorders>
          </w:tcPr>
          <w:p>
            <w:pPr>
              <w:spacing w:after="0"/>
              <w:rPr>
                <w:sz w:val="24"/>
                <w:szCs w:val="24"/>
                <w:color w:val="auto"/>
              </w:rPr>
            </w:pPr>
          </w:p>
        </w:tc>
        <w:tc>
          <w:tcPr>
            <w:tcW w:w="77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351B3D"/>
              </w:rPr>
              <w:t>CORPORATE GOVERNANCE PRACTICE</w:t>
            </w:r>
          </w:p>
        </w:tc>
        <w:tc>
          <w:tcPr>
            <w:tcW w:w="0" w:type="dxa"/>
            <w:vAlign w:val="bottom"/>
          </w:tcPr>
          <w:p>
            <w:pPr>
              <w:spacing w:after="0"/>
              <w:rPr>
                <w:sz w:val="1"/>
                <w:szCs w:val="1"/>
                <w:color w:val="auto"/>
              </w:rPr>
            </w:pPr>
          </w:p>
        </w:tc>
      </w:tr>
      <w:tr>
        <w:trPr>
          <w:trHeight w:val="97"/>
        </w:trPr>
        <w:tc>
          <w:tcPr>
            <w:tcW w:w="3100" w:type="dxa"/>
            <w:vAlign w:val="bottom"/>
            <w:tcBorders>
              <w:left w:val="single" w:sz="8" w:color="auto"/>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7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75"/>
        </w:trPr>
        <w:tc>
          <w:tcPr>
            <w:tcW w:w="3100" w:type="dxa"/>
            <w:vAlign w:val="bottom"/>
            <w:tcBorders>
              <w:left w:val="single" w:sz="8" w:color="auto"/>
              <w:right w:val="single" w:sz="8" w:color="auto"/>
            </w:tcBorders>
            <w:vMerge w:val="restart"/>
            <w:shd w:val="clear" w:color="auto" w:fill="D6D1D8"/>
          </w:tcPr>
          <w:p>
            <w:pPr>
              <w:ind w:left="260"/>
              <w:spacing w:after="0"/>
              <w:rPr>
                <w:sz w:val="20"/>
                <w:szCs w:val="20"/>
                <w:color w:val="auto"/>
              </w:rPr>
            </w:pPr>
            <w:r>
              <w:rPr>
                <w:rFonts w:ascii="Arial" w:cs="Arial" w:eastAsia="Arial" w:hAnsi="Arial"/>
                <w:sz w:val="16"/>
                <w:szCs w:val="16"/>
                <w:color w:val="auto"/>
              </w:rPr>
              <w:t>ACCOUNTABILITY TO</w:t>
            </w:r>
          </w:p>
        </w:tc>
        <w:tc>
          <w:tcPr>
            <w:tcW w:w="80" w:type="dxa"/>
            <w:vAlign w:val="bottom"/>
            <w:shd w:val="clear" w:color="auto" w:fill="D6D1D8"/>
          </w:tcPr>
          <w:p>
            <w:pPr>
              <w:spacing w:after="0"/>
              <w:rPr>
                <w:sz w:val="24"/>
                <w:szCs w:val="24"/>
                <w:color w:val="auto"/>
              </w:rPr>
            </w:pPr>
          </w:p>
        </w:tc>
        <w:tc>
          <w:tcPr>
            <w:tcW w:w="7760" w:type="dxa"/>
            <w:vAlign w:val="bottom"/>
            <w:tcBorders>
              <w:right w:val="single" w:sz="8" w:color="auto"/>
            </w:tcBorders>
            <w:shd w:val="clear" w:color="auto" w:fill="D6D1D8"/>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Our common stock is our only outstanding class of stock, with one vote per share</w:t>
            </w:r>
          </w:p>
        </w:tc>
        <w:tc>
          <w:tcPr>
            <w:tcW w:w="0" w:type="dxa"/>
            <w:vAlign w:val="bottom"/>
          </w:tcPr>
          <w:p>
            <w:pPr>
              <w:spacing w:after="0"/>
              <w:rPr>
                <w:sz w:val="1"/>
                <w:szCs w:val="1"/>
                <w:color w:val="auto"/>
              </w:rPr>
            </w:pPr>
          </w:p>
        </w:tc>
      </w:tr>
      <w:tr>
        <w:trPr>
          <w:trHeight w:val="153"/>
        </w:trPr>
        <w:tc>
          <w:tcPr>
            <w:tcW w:w="3100" w:type="dxa"/>
            <w:vAlign w:val="bottom"/>
            <w:tcBorders>
              <w:left w:val="single" w:sz="8" w:color="auto"/>
              <w:bottom w:val="single" w:sz="8" w:color="D6D1D8"/>
              <w:right w:val="single" w:sz="8" w:color="auto"/>
            </w:tcBorders>
            <w:vMerge w:val="continue"/>
            <w:shd w:val="clear" w:color="auto" w:fill="D6D1D8"/>
          </w:tcPr>
          <w:p>
            <w:pPr>
              <w:spacing w:after="0"/>
              <w:rPr>
                <w:sz w:val="13"/>
                <w:szCs w:val="13"/>
                <w:color w:val="auto"/>
              </w:rPr>
            </w:pPr>
          </w:p>
        </w:tc>
        <w:tc>
          <w:tcPr>
            <w:tcW w:w="80" w:type="dxa"/>
            <w:vAlign w:val="bottom"/>
            <w:tcBorders>
              <w:bottom w:val="single" w:sz="8" w:color="auto"/>
            </w:tcBorders>
            <w:shd w:val="clear" w:color="auto" w:fill="D6D1D8"/>
          </w:tcPr>
          <w:p>
            <w:pPr>
              <w:spacing w:after="0"/>
              <w:rPr>
                <w:sz w:val="13"/>
                <w:szCs w:val="13"/>
                <w:color w:val="auto"/>
              </w:rPr>
            </w:pPr>
          </w:p>
        </w:tc>
        <w:tc>
          <w:tcPr>
            <w:tcW w:w="7760" w:type="dxa"/>
            <w:vAlign w:val="bottom"/>
            <w:tcBorders>
              <w:bottom w:val="single" w:sz="8" w:color="auto"/>
              <w:right w:val="single" w:sz="8" w:color="auto"/>
            </w:tcBorders>
            <w:shd w:val="clear" w:color="auto" w:fill="D6D1D8"/>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100" w:type="dxa"/>
            <w:vAlign w:val="bottom"/>
            <w:tcBorders>
              <w:left w:val="single" w:sz="8" w:color="auto"/>
              <w:right w:val="single" w:sz="8" w:color="auto"/>
            </w:tcBorders>
            <w:shd w:val="clear" w:color="auto" w:fill="D6D1D8"/>
          </w:tcPr>
          <w:p>
            <w:pPr>
              <w:ind w:left="260"/>
              <w:spacing w:after="0"/>
              <w:rPr>
                <w:sz w:val="20"/>
                <w:szCs w:val="20"/>
                <w:color w:val="auto"/>
              </w:rPr>
            </w:pPr>
            <w:r>
              <w:rPr>
                <w:rFonts w:ascii="Arial" w:cs="Arial" w:eastAsia="Arial" w:hAnsi="Arial"/>
                <w:sz w:val="16"/>
                <w:szCs w:val="16"/>
                <w:color w:val="auto"/>
              </w:rPr>
              <w:t>SHAREHOLDERS</w:t>
            </w:r>
          </w:p>
        </w:tc>
        <w:tc>
          <w:tcPr>
            <w:tcW w:w="80" w:type="dxa"/>
            <w:vAlign w:val="bottom"/>
            <w:shd w:val="clear" w:color="auto" w:fill="D6D1D8"/>
          </w:tcPr>
          <w:p>
            <w:pPr>
              <w:spacing w:after="0"/>
              <w:rPr>
                <w:sz w:val="16"/>
                <w:szCs w:val="16"/>
                <w:color w:val="auto"/>
              </w:rPr>
            </w:pPr>
          </w:p>
        </w:tc>
        <w:tc>
          <w:tcPr>
            <w:tcW w:w="7760" w:type="dxa"/>
            <w:vAlign w:val="bottom"/>
            <w:tcBorders>
              <w:right w:val="single" w:sz="8" w:color="auto"/>
            </w:tcBorders>
            <w:vMerge w:val="restart"/>
            <w:shd w:val="clear" w:color="auto" w:fill="D6D1D8"/>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Our directors are elected by a majority vote standard in uncontested elections</w:t>
            </w:r>
          </w:p>
        </w:tc>
        <w:tc>
          <w:tcPr>
            <w:tcW w:w="0" w:type="dxa"/>
            <w:vAlign w:val="bottom"/>
          </w:tcPr>
          <w:p>
            <w:pPr>
              <w:spacing w:after="0"/>
              <w:rPr>
                <w:sz w:val="1"/>
                <w:szCs w:val="1"/>
                <w:color w:val="auto"/>
              </w:rPr>
            </w:pPr>
          </w:p>
        </w:tc>
      </w:tr>
      <w:tr>
        <w:trPr>
          <w:trHeight w:val="184"/>
        </w:trPr>
        <w:tc>
          <w:tcPr>
            <w:tcW w:w="3100" w:type="dxa"/>
            <w:vAlign w:val="bottom"/>
            <w:tcBorders>
              <w:left w:val="single" w:sz="8" w:color="auto"/>
              <w:right w:val="single" w:sz="8" w:color="auto"/>
            </w:tcBorders>
            <w:shd w:val="clear" w:color="auto" w:fill="D6D1D8"/>
          </w:tcPr>
          <w:p>
            <w:pPr>
              <w:spacing w:after="0"/>
              <w:rPr>
                <w:sz w:val="15"/>
                <w:szCs w:val="15"/>
                <w:color w:val="auto"/>
              </w:rPr>
            </w:pPr>
          </w:p>
        </w:tc>
        <w:tc>
          <w:tcPr>
            <w:tcW w:w="80" w:type="dxa"/>
            <w:vAlign w:val="bottom"/>
            <w:shd w:val="clear" w:color="auto" w:fill="D6D1D8"/>
          </w:tcPr>
          <w:p>
            <w:pPr>
              <w:spacing w:after="0"/>
              <w:rPr>
                <w:sz w:val="15"/>
                <w:szCs w:val="15"/>
                <w:color w:val="auto"/>
              </w:rPr>
            </w:pPr>
          </w:p>
        </w:tc>
        <w:tc>
          <w:tcPr>
            <w:tcW w:w="7760" w:type="dxa"/>
            <w:vAlign w:val="bottom"/>
            <w:tcBorders>
              <w:right w:val="single" w:sz="8" w:color="auto"/>
            </w:tcBorders>
            <w:vMerge w:val="continue"/>
            <w:shd w:val="clear" w:color="auto" w:fill="D6D1D8"/>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100" w:type="dxa"/>
            <w:vAlign w:val="bottom"/>
            <w:tcBorders>
              <w:left w:val="single" w:sz="8" w:color="auto"/>
              <w:bottom w:val="single" w:sz="8" w:color="auto"/>
              <w:right w:val="single" w:sz="8" w:color="auto"/>
            </w:tcBorders>
            <w:shd w:val="clear" w:color="auto" w:fill="D6D1D8"/>
          </w:tcPr>
          <w:p>
            <w:pPr>
              <w:spacing w:after="0"/>
              <w:rPr>
                <w:sz w:val="13"/>
                <w:szCs w:val="13"/>
                <w:color w:val="auto"/>
              </w:rPr>
            </w:pPr>
          </w:p>
        </w:tc>
        <w:tc>
          <w:tcPr>
            <w:tcW w:w="80" w:type="dxa"/>
            <w:vAlign w:val="bottom"/>
            <w:tcBorders>
              <w:bottom w:val="single" w:sz="8" w:color="auto"/>
            </w:tcBorders>
            <w:shd w:val="clear" w:color="auto" w:fill="D6D1D8"/>
          </w:tcPr>
          <w:p>
            <w:pPr>
              <w:spacing w:after="0"/>
              <w:rPr>
                <w:sz w:val="13"/>
                <w:szCs w:val="13"/>
                <w:color w:val="auto"/>
              </w:rPr>
            </w:pPr>
          </w:p>
        </w:tc>
        <w:tc>
          <w:tcPr>
            <w:tcW w:w="7760" w:type="dxa"/>
            <w:vAlign w:val="bottom"/>
            <w:tcBorders>
              <w:bottom w:val="single" w:sz="8" w:color="auto"/>
              <w:right w:val="single" w:sz="8" w:color="auto"/>
            </w:tcBorders>
            <w:shd w:val="clear" w:color="auto" w:fill="D6D1D8"/>
          </w:tcPr>
          <w:p>
            <w:pPr>
              <w:spacing w:after="0"/>
              <w:rPr>
                <w:sz w:val="13"/>
                <w:szCs w:val="13"/>
                <w:color w:val="auto"/>
              </w:rPr>
            </w:pPr>
          </w:p>
        </w:tc>
        <w:tc>
          <w:tcPr>
            <w:tcW w:w="0" w:type="dxa"/>
            <w:vAlign w:val="bottom"/>
          </w:tcPr>
          <w:p>
            <w:pPr>
              <w:spacing w:after="0"/>
              <w:rPr>
                <w:sz w:val="1"/>
                <w:szCs w:val="1"/>
                <w:color w:val="auto"/>
              </w:rPr>
            </w:pPr>
          </w:p>
        </w:tc>
      </w:tr>
      <w:tr>
        <w:trPr>
          <w:trHeight w:val="340"/>
        </w:trPr>
        <w:tc>
          <w:tcPr>
            <w:tcW w:w="31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760" w:type="dxa"/>
            <w:vAlign w:val="bottom"/>
            <w:tcBorders>
              <w:right w:val="single" w:sz="8" w:color="auto"/>
            </w:tcBorders>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Our full Board assesses risks to the Company’s long-term strategic objectives, including threats related</w:t>
            </w:r>
          </w:p>
        </w:tc>
        <w:tc>
          <w:tcPr>
            <w:tcW w:w="0" w:type="dxa"/>
            <w:vAlign w:val="bottom"/>
          </w:tcPr>
          <w:p>
            <w:pPr>
              <w:spacing w:after="0"/>
              <w:rPr>
                <w:sz w:val="1"/>
                <w:szCs w:val="1"/>
                <w:color w:val="auto"/>
              </w:rPr>
            </w:pPr>
          </w:p>
        </w:tc>
      </w:tr>
      <w:tr>
        <w:trPr>
          <w:trHeight w:val="211"/>
        </w:trPr>
        <w:tc>
          <w:tcPr>
            <w:tcW w:w="31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76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to our people, our communities and our planet</w:t>
            </w:r>
          </w:p>
        </w:tc>
        <w:tc>
          <w:tcPr>
            <w:tcW w:w="0" w:type="dxa"/>
            <w:vAlign w:val="bottom"/>
          </w:tcPr>
          <w:p>
            <w:pPr>
              <w:spacing w:after="0"/>
              <w:rPr>
                <w:sz w:val="1"/>
                <w:szCs w:val="1"/>
                <w:color w:val="auto"/>
              </w:rPr>
            </w:pPr>
          </w:p>
        </w:tc>
      </w:tr>
      <w:tr>
        <w:trPr>
          <w:trHeight w:val="164"/>
        </w:trPr>
        <w:tc>
          <w:tcPr>
            <w:tcW w:w="3100" w:type="dxa"/>
            <w:vAlign w:val="bottom"/>
            <w:tcBorders>
              <w:left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5"/>
        </w:trPr>
        <w:tc>
          <w:tcPr>
            <w:tcW w:w="3100" w:type="dxa"/>
            <w:vAlign w:val="bottom"/>
            <w:tcBorders>
              <w:left w:val="single" w:sz="8" w:color="auto"/>
              <w:right w:val="single" w:sz="8" w:color="auto"/>
            </w:tcBorders>
            <w:vMerge w:val="restart"/>
          </w:tcPr>
          <w:p>
            <w:pPr>
              <w:ind w:left="260"/>
              <w:spacing w:after="0"/>
              <w:rPr>
                <w:sz w:val="20"/>
                <w:szCs w:val="20"/>
                <w:color w:val="auto"/>
              </w:rPr>
            </w:pPr>
            <w:r>
              <w:rPr>
                <w:rFonts w:ascii="Arial" w:cs="Arial" w:eastAsia="Arial" w:hAnsi="Arial"/>
                <w:sz w:val="16"/>
                <w:szCs w:val="16"/>
                <w:color w:val="auto"/>
              </w:rPr>
              <w:t>EFFECTIVE RISK OVERSIGHT</w:t>
            </w:r>
          </w:p>
        </w:tc>
        <w:tc>
          <w:tcPr>
            <w:tcW w:w="80" w:type="dxa"/>
            <w:vAlign w:val="bottom"/>
          </w:tcPr>
          <w:p>
            <w:pPr>
              <w:spacing w:after="0"/>
              <w:rPr>
                <w:sz w:val="24"/>
                <w:szCs w:val="24"/>
                <w:color w:val="auto"/>
              </w:rPr>
            </w:pPr>
          </w:p>
        </w:tc>
        <w:tc>
          <w:tcPr>
            <w:tcW w:w="7760" w:type="dxa"/>
            <w:vAlign w:val="bottom"/>
            <w:tcBorders>
              <w:right w:val="single" w:sz="8" w:color="auto"/>
            </w:tcBorders>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Our full Board oversees cybersecurity risk and information security risks</w:t>
            </w:r>
          </w:p>
        </w:tc>
        <w:tc>
          <w:tcPr>
            <w:tcW w:w="0" w:type="dxa"/>
            <w:vAlign w:val="bottom"/>
          </w:tcPr>
          <w:p>
            <w:pPr>
              <w:spacing w:after="0"/>
              <w:rPr>
                <w:sz w:val="1"/>
                <w:szCs w:val="1"/>
                <w:color w:val="auto"/>
              </w:rPr>
            </w:pPr>
          </w:p>
        </w:tc>
      </w:tr>
      <w:tr>
        <w:trPr>
          <w:trHeight w:val="83"/>
        </w:trPr>
        <w:tc>
          <w:tcPr>
            <w:tcW w:w="3100" w:type="dxa"/>
            <w:vAlign w:val="bottom"/>
            <w:tcBorders>
              <w:left w:val="single" w:sz="8" w:color="auto"/>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7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3100" w:type="dxa"/>
            <w:vAlign w:val="bottom"/>
            <w:tcBorders>
              <w:left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7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310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760" w:type="dxa"/>
            <w:vAlign w:val="bottom"/>
            <w:tcBorders>
              <w:right w:val="single" w:sz="8" w:color="auto"/>
            </w:tcBorders>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An independent Compliance Committee comprised of three individuals who are not otherwise</w:t>
            </w:r>
          </w:p>
        </w:tc>
        <w:tc>
          <w:tcPr>
            <w:tcW w:w="0" w:type="dxa"/>
            <w:vAlign w:val="bottom"/>
          </w:tcPr>
          <w:p>
            <w:pPr>
              <w:spacing w:after="0"/>
              <w:rPr>
                <w:sz w:val="1"/>
                <w:szCs w:val="1"/>
                <w:color w:val="auto"/>
              </w:rPr>
            </w:pPr>
          </w:p>
        </w:tc>
      </w:tr>
      <w:tr>
        <w:trPr>
          <w:trHeight w:val="187"/>
        </w:trPr>
        <w:tc>
          <w:tcPr>
            <w:tcW w:w="3100" w:type="dxa"/>
            <w:vAlign w:val="bottom"/>
            <w:tcBorders>
              <w:left w:val="single" w:sz="8" w:color="auto"/>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76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unaffiliated with the Board and the Company oversees and promotes compliance and ensures that the</w:t>
            </w:r>
          </w:p>
        </w:tc>
        <w:tc>
          <w:tcPr>
            <w:tcW w:w="0" w:type="dxa"/>
            <w:vAlign w:val="bottom"/>
          </w:tcPr>
          <w:p>
            <w:pPr>
              <w:spacing w:after="0"/>
              <w:rPr>
                <w:sz w:val="1"/>
                <w:szCs w:val="1"/>
                <w:color w:val="auto"/>
              </w:rPr>
            </w:pPr>
          </w:p>
        </w:tc>
      </w:tr>
      <w:tr>
        <w:trPr>
          <w:trHeight w:val="211"/>
        </w:trPr>
        <w:tc>
          <w:tcPr>
            <w:tcW w:w="31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76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Company meets its strict policy to conduct business at the highest levels of honesty and integrity</w:t>
            </w:r>
          </w:p>
        </w:tc>
        <w:tc>
          <w:tcPr>
            <w:tcW w:w="0" w:type="dxa"/>
            <w:vAlign w:val="bottom"/>
          </w:tcPr>
          <w:p>
            <w:pPr>
              <w:spacing w:after="0"/>
              <w:rPr>
                <w:sz w:val="1"/>
                <w:szCs w:val="1"/>
                <w:color w:val="auto"/>
              </w:rPr>
            </w:pPr>
          </w:p>
        </w:tc>
      </w:tr>
      <w:tr>
        <w:trPr>
          <w:trHeight w:val="164"/>
        </w:trPr>
        <w:tc>
          <w:tcPr>
            <w:tcW w:w="3100" w:type="dxa"/>
            <w:vAlign w:val="bottom"/>
            <w:tcBorders>
              <w:left w:val="single" w:sz="8" w:color="auto"/>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5"/>
        </w:trPr>
        <w:tc>
          <w:tcPr>
            <w:tcW w:w="3100" w:type="dxa"/>
            <w:vAlign w:val="bottom"/>
            <w:tcBorders>
              <w:left w:val="single" w:sz="8" w:color="auto"/>
              <w:right w:val="single" w:sz="8" w:color="auto"/>
            </w:tcBorders>
            <w:shd w:val="clear" w:color="auto" w:fill="D6D1D8"/>
          </w:tcPr>
          <w:p>
            <w:pPr>
              <w:spacing w:after="0"/>
              <w:rPr>
                <w:sz w:val="24"/>
                <w:szCs w:val="24"/>
                <w:color w:val="auto"/>
              </w:rPr>
            </w:pPr>
          </w:p>
        </w:tc>
        <w:tc>
          <w:tcPr>
            <w:tcW w:w="80" w:type="dxa"/>
            <w:vAlign w:val="bottom"/>
            <w:shd w:val="clear" w:color="auto" w:fill="D6D1D8"/>
          </w:tcPr>
          <w:p>
            <w:pPr>
              <w:spacing w:after="0"/>
              <w:rPr>
                <w:sz w:val="24"/>
                <w:szCs w:val="24"/>
                <w:color w:val="auto"/>
              </w:rPr>
            </w:pPr>
          </w:p>
        </w:tc>
        <w:tc>
          <w:tcPr>
            <w:tcW w:w="7760" w:type="dxa"/>
            <w:vAlign w:val="bottom"/>
            <w:tcBorders>
              <w:right w:val="single" w:sz="8" w:color="auto"/>
            </w:tcBorders>
            <w:shd w:val="clear" w:color="auto" w:fill="D6D1D8"/>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We have robust share ownership guidelines for executive officers and directors</w:t>
            </w:r>
          </w:p>
        </w:tc>
        <w:tc>
          <w:tcPr>
            <w:tcW w:w="0" w:type="dxa"/>
            <w:vAlign w:val="bottom"/>
          </w:tcPr>
          <w:p>
            <w:pPr>
              <w:spacing w:after="0"/>
              <w:rPr>
                <w:sz w:val="1"/>
                <w:szCs w:val="1"/>
                <w:color w:val="auto"/>
              </w:rPr>
            </w:pPr>
          </w:p>
        </w:tc>
      </w:tr>
      <w:tr>
        <w:trPr>
          <w:trHeight w:val="153"/>
        </w:trPr>
        <w:tc>
          <w:tcPr>
            <w:tcW w:w="3100" w:type="dxa"/>
            <w:vAlign w:val="bottom"/>
            <w:tcBorders>
              <w:left w:val="single" w:sz="8" w:color="auto"/>
              <w:bottom w:val="single" w:sz="8" w:color="D6D1D8"/>
              <w:right w:val="single" w:sz="8" w:color="auto"/>
            </w:tcBorders>
            <w:shd w:val="clear" w:color="auto" w:fill="D6D1D8"/>
          </w:tcPr>
          <w:p>
            <w:pPr>
              <w:spacing w:after="0"/>
              <w:rPr>
                <w:sz w:val="13"/>
                <w:szCs w:val="13"/>
                <w:color w:val="auto"/>
              </w:rPr>
            </w:pPr>
          </w:p>
        </w:tc>
        <w:tc>
          <w:tcPr>
            <w:tcW w:w="80" w:type="dxa"/>
            <w:vAlign w:val="bottom"/>
            <w:tcBorders>
              <w:bottom w:val="single" w:sz="8" w:color="auto"/>
            </w:tcBorders>
            <w:shd w:val="clear" w:color="auto" w:fill="D6D1D8"/>
          </w:tcPr>
          <w:p>
            <w:pPr>
              <w:spacing w:after="0"/>
              <w:rPr>
                <w:sz w:val="13"/>
                <w:szCs w:val="13"/>
                <w:color w:val="auto"/>
              </w:rPr>
            </w:pPr>
          </w:p>
        </w:tc>
        <w:tc>
          <w:tcPr>
            <w:tcW w:w="7760" w:type="dxa"/>
            <w:vAlign w:val="bottom"/>
            <w:tcBorders>
              <w:bottom w:val="single" w:sz="8" w:color="auto"/>
              <w:right w:val="single" w:sz="8" w:color="auto"/>
            </w:tcBorders>
            <w:shd w:val="clear" w:color="auto" w:fill="D6D1D8"/>
          </w:tcPr>
          <w:p>
            <w:pPr>
              <w:spacing w:after="0"/>
              <w:rPr>
                <w:sz w:val="13"/>
                <w:szCs w:val="13"/>
                <w:color w:val="auto"/>
              </w:rPr>
            </w:pPr>
          </w:p>
        </w:tc>
        <w:tc>
          <w:tcPr>
            <w:tcW w:w="0" w:type="dxa"/>
            <w:vAlign w:val="bottom"/>
          </w:tcPr>
          <w:p>
            <w:pPr>
              <w:spacing w:after="0"/>
              <w:rPr>
                <w:sz w:val="1"/>
                <w:szCs w:val="1"/>
                <w:color w:val="auto"/>
              </w:rPr>
            </w:pPr>
          </w:p>
        </w:tc>
      </w:tr>
      <w:tr>
        <w:trPr>
          <w:trHeight w:val="340"/>
        </w:trPr>
        <w:tc>
          <w:tcPr>
            <w:tcW w:w="3100" w:type="dxa"/>
            <w:vAlign w:val="bottom"/>
            <w:tcBorders>
              <w:left w:val="single" w:sz="8" w:color="auto"/>
              <w:right w:val="single" w:sz="8" w:color="auto"/>
            </w:tcBorders>
            <w:shd w:val="clear" w:color="auto" w:fill="D6D1D8"/>
          </w:tcPr>
          <w:p>
            <w:pPr>
              <w:spacing w:after="0"/>
              <w:rPr>
                <w:sz w:val="24"/>
                <w:szCs w:val="24"/>
                <w:color w:val="auto"/>
              </w:rPr>
            </w:pPr>
          </w:p>
        </w:tc>
        <w:tc>
          <w:tcPr>
            <w:tcW w:w="80" w:type="dxa"/>
            <w:vAlign w:val="bottom"/>
            <w:shd w:val="clear" w:color="auto" w:fill="D6D1D8"/>
          </w:tcPr>
          <w:p>
            <w:pPr>
              <w:spacing w:after="0"/>
              <w:rPr>
                <w:sz w:val="24"/>
                <w:szCs w:val="24"/>
                <w:color w:val="auto"/>
              </w:rPr>
            </w:pPr>
          </w:p>
        </w:tc>
        <w:tc>
          <w:tcPr>
            <w:tcW w:w="7760" w:type="dxa"/>
            <w:vAlign w:val="bottom"/>
            <w:tcBorders>
              <w:right w:val="single" w:sz="8" w:color="auto"/>
            </w:tcBorders>
            <w:shd w:val="clear" w:color="auto" w:fill="D6D1D8"/>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We have a clawback policy that provides for the recoupment of certain incentive-based compensation</w:t>
            </w:r>
          </w:p>
        </w:tc>
        <w:tc>
          <w:tcPr>
            <w:tcW w:w="0" w:type="dxa"/>
            <w:vAlign w:val="bottom"/>
          </w:tcPr>
          <w:p>
            <w:pPr>
              <w:spacing w:after="0"/>
              <w:rPr>
                <w:sz w:val="1"/>
                <w:szCs w:val="1"/>
                <w:color w:val="auto"/>
              </w:rPr>
            </w:pPr>
          </w:p>
        </w:tc>
      </w:tr>
      <w:tr>
        <w:trPr>
          <w:trHeight w:val="187"/>
        </w:trPr>
        <w:tc>
          <w:tcPr>
            <w:tcW w:w="3100" w:type="dxa"/>
            <w:vAlign w:val="bottom"/>
            <w:tcBorders>
              <w:left w:val="single" w:sz="8" w:color="auto"/>
              <w:right w:val="single" w:sz="8" w:color="auto"/>
            </w:tcBorders>
            <w:vMerge w:val="restart"/>
            <w:shd w:val="clear" w:color="auto" w:fill="D6D1D8"/>
          </w:tcPr>
          <w:p>
            <w:pPr>
              <w:ind w:left="260"/>
              <w:spacing w:after="0"/>
              <w:rPr>
                <w:sz w:val="20"/>
                <w:szCs w:val="20"/>
                <w:color w:val="auto"/>
              </w:rPr>
            </w:pPr>
            <w:r>
              <w:rPr>
                <w:rFonts w:ascii="Arial" w:cs="Arial" w:eastAsia="Arial" w:hAnsi="Arial"/>
                <w:sz w:val="16"/>
                <w:szCs w:val="16"/>
                <w:color w:val="auto"/>
              </w:rPr>
              <w:t>RISK MITIGATION AND ALIGNMENT</w:t>
            </w:r>
          </w:p>
        </w:tc>
        <w:tc>
          <w:tcPr>
            <w:tcW w:w="80" w:type="dxa"/>
            <w:vAlign w:val="bottom"/>
            <w:shd w:val="clear" w:color="auto" w:fill="D6D1D8"/>
          </w:tcPr>
          <w:p>
            <w:pPr>
              <w:spacing w:after="0"/>
              <w:rPr>
                <w:sz w:val="16"/>
                <w:szCs w:val="16"/>
                <w:color w:val="auto"/>
              </w:rPr>
            </w:pPr>
          </w:p>
        </w:tc>
        <w:tc>
          <w:tcPr>
            <w:tcW w:w="7760" w:type="dxa"/>
            <w:vAlign w:val="bottom"/>
            <w:tcBorders>
              <w:right w:val="single" w:sz="8" w:color="auto"/>
            </w:tcBorders>
            <w:shd w:val="clear" w:color="auto" w:fill="D6D1D8"/>
          </w:tcPr>
          <w:p>
            <w:pPr>
              <w:ind w:left="240"/>
              <w:spacing w:after="0"/>
              <w:rPr>
                <w:sz w:val="20"/>
                <w:szCs w:val="20"/>
                <w:color w:val="auto"/>
              </w:rPr>
            </w:pPr>
            <w:r>
              <w:rPr>
                <w:rFonts w:ascii="Arial" w:cs="Arial" w:eastAsia="Arial" w:hAnsi="Arial"/>
                <w:sz w:val="16"/>
                <w:szCs w:val="16"/>
                <w:color w:val="auto"/>
              </w:rPr>
              <w:t>received by our current and former executive officers in the event the Company is required to prepare an</w:t>
            </w:r>
          </w:p>
        </w:tc>
        <w:tc>
          <w:tcPr>
            <w:tcW w:w="0" w:type="dxa"/>
            <w:vAlign w:val="bottom"/>
          </w:tcPr>
          <w:p>
            <w:pPr>
              <w:spacing w:after="0"/>
              <w:rPr>
                <w:sz w:val="1"/>
                <w:szCs w:val="1"/>
                <w:color w:val="auto"/>
              </w:rPr>
            </w:pPr>
          </w:p>
        </w:tc>
      </w:tr>
      <w:tr>
        <w:trPr>
          <w:trHeight w:val="94"/>
        </w:trPr>
        <w:tc>
          <w:tcPr>
            <w:tcW w:w="3100" w:type="dxa"/>
            <w:vAlign w:val="bottom"/>
            <w:tcBorders>
              <w:left w:val="single" w:sz="8" w:color="auto"/>
              <w:right w:val="single" w:sz="8" w:color="auto"/>
            </w:tcBorders>
            <w:vMerge w:val="continue"/>
            <w:shd w:val="clear" w:color="auto" w:fill="D6D1D8"/>
          </w:tcPr>
          <w:p>
            <w:pPr>
              <w:spacing w:after="0"/>
              <w:rPr>
                <w:sz w:val="8"/>
                <w:szCs w:val="8"/>
                <w:color w:val="auto"/>
              </w:rPr>
            </w:pPr>
          </w:p>
        </w:tc>
        <w:tc>
          <w:tcPr>
            <w:tcW w:w="80" w:type="dxa"/>
            <w:vAlign w:val="bottom"/>
            <w:shd w:val="clear" w:color="auto" w:fill="D6D1D8"/>
          </w:tcPr>
          <w:p>
            <w:pPr>
              <w:spacing w:after="0"/>
              <w:rPr>
                <w:sz w:val="8"/>
                <w:szCs w:val="8"/>
                <w:color w:val="auto"/>
              </w:rPr>
            </w:pPr>
          </w:p>
        </w:tc>
        <w:tc>
          <w:tcPr>
            <w:tcW w:w="7760" w:type="dxa"/>
            <w:vAlign w:val="bottom"/>
            <w:tcBorders>
              <w:right w:val="single" w:sz="8" w:color="auto"/>
            </w:tcBorders>
            <w:vMerge w:val="restart"/>
            <w:shd w:val="clear" w:color="auto" w:fill="D6D1D8"/>
          </w:tcPr>
          <w:p>
            <w:pPr>
              <w:ind w:left="240"/>
              <w:spacing w:after="0"/>
              <w:rPr>
                <w:sz w:val="20"/>
                <w:szCs w:val="20"/>
                <w:color w:val="auto"/>
              </w:rPr>
            </w:pPr>
            <w:r>
              <w:rPr>
                <w:rFonts w:ascii="Arial" w:cs="Arial" w:eastAsia="Arial" w:hAnsi="Arial"/>
                <w:sz w:val="16"/>
                <w:szCs w:val="16"/>
                <w:color w:val="auto"/>
              </w:rPr>
              <w:t>accounting restatement due to material noncompliance with its financial reporting requirements</w:t>
            </w:r>
          </w:p>
        </w:tc>
        <w:tc>
          <w:tcPr>
            <w:tcW w:w="0" w:type="dxa"/>
            <w:vAlign w:val="bottom"/>
          </w:tcPr>
          <w:p>
            <w:pPr>
              <w:spacing w:after="0"/>
              <w:rPr>
                <w:sz w:val="1"/>
                <w:szCs w:val="1"/>
                <w:color w:val="auto"/>
              </w:rPr>
            </w:pPr>
          </w:p>
        </w:tc>
      </w:tr>
      <w:tr>
        <w:trPr>
          <w:trHeight w:val="118"/>
        </w:trPr>
        <w:tc>
          <w:tcPr>
            <w:tcW w:w="3100" w:type="dxa"/>
            <w:vAlign w:val="bottom"/>
            <w:tcBorders>
              <w:left w:val="single" w:sz="8" w:color="auto"/>
              <w:right w:val="single" w:sz="8" w:color="auto"/>
            </w:tcBorders>
            <w:vMerge w:val="restart"/>
            <w:shd w:val="clear" w:color="auto" w:fill="D6D1D8"/>
          </w:tcPr>
          <w:p>
            <w:pPr>
              <w:ind w:left="260"/>
              <w:spacing w:after="0"/>
              <w:rPr>
                <w:sz w:val="20"/>
                <w:szCs w:val="20"/>
                <w:color w:val="auto"/>
              </w:rPr>
            </w:pPr>
            <w:r>
              <w:rPr>
                <w:rFonts w:ascii="Arial" w:cs="Arial" w:eastAsia="Arial" w:hAnsi="Arial"/>
                <w:sz w:val="16"/>
                <w:szCs w:val="16"/>
                <w:color w:val="auto"/>
              </w:rPr>
              <w:t>OF INTERESTS</w:t>
            </w:r>
          </w:p>
        </w:tc>
        <w:tc>
          <w:tcPr>
            <w:tcW w:w="80" w:type="dxa"/>
            <w:vAlign w:val="bottom"/>
            <w:shd w:val="clear" w:color="auto" w:fill="D6D1D8"/>
          </w:tcPr>
          <w:p>
            <w:pPr>
              <w:spacing w:after="0"/>
              <w:rPr>
                <w:sz w:val="10"/>
                <w:szCs w:val="10"/>
                <w:color w:val="auto"/>
              </w:rPr>
            </w:pPr>
          </w:p>
        </w:tc>
        <w:tc>
          <w:tcPr>
            <w:tcW w:w="7760" w:type="dxa"/>
            <w:vAlign w:val="bottom"/>
            <w:tcBorders>
              <w:right w:val="single" w:sz="8" w:color="auto"/>
            </w:tcBorders>
            <w:vMerge w:val="continue"/>
            <w:shd w:val="clear" w:color="auto" w:fill="D6D1D8"/>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100" w:type="dxa"/>
            <w:vAlign w:val="bottom"/>
            <w:tcBorders>
              <w:left w:val="single" w:sz="8" w:color="auto"/>
              <w:right w:val="single" w:sz="8" w:color="auto"/>
            </w:tcBorders>
            <w:vMerge w:val="continue"/>
            <w:shd w:val="clear" w:color="auto" w:fill="D6D1D8"/>
          </w:tcPr>
          <w:p>
            <w:pPr>
              <w:spacing w:after="0"/>
              <w:rPr>
                <w:sz w:val="8"/>
                <w:szCs w:val="8"/>
                <w:color w:val="auto"/>
              </w:rPr>
            </w:pPr>
          </w:p>
        </w:tc>
        <w:tc>
          <w:tcPr>
            <w:tcW w:w="80" w:type="dxa"/>
            <w:vAlign w:val="bottom"/>
            <w:shd w:val="clear" w:color="auto" w:fill="D6D1D8"/>
          </w:tcPr>
          <w:p>
            <w:pPr>
              <w:spacing w:after="0"/>
              <w:rPr>
                <w:sz w:val="8"/>
                <w:szCs w:val="8"/>
                <w:color w:val="auto"/>
              </w:rPr>
            </w:pPr>
          </w:p>
        </w:tc>
        <w:tc>
          <w:tcPr>
            <w:tcW w:w="7760" w:type="dxa"/>
            <w:vAlign w:val="bottom"/>
            <w:tcBorders>
              <w:right w:val="single" w:sz="8" w:color="auto"/>
            </w:tcBorders>
            <w:shd w:val="clear" w:color="auto" w:fill="D6D1D8"/>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3100" w:type="dxa"/>
            <w:vAlign w:val="bottom"/>
            <w:tcBorders>
              <w:left w:val="single" w:sz="8" w:color="auto"/>
              <w:bottom w:val="single" w:sz="8" w:color="D6D1D8"/>
              <w:right w:val="single" w:sz="8" w:color="auto"/>
            </w:tcBorders>
            <w:shd w:val="clear" w:color="auto" w:fill="D6D1D8"/>
          </w:tcPr>
          <w:p>
            <w:pPr>
              <w:spacing w:after="0"/>
              <w:rPr>
                <w:sz w:val="6"/>
                <w:szCs w:val="6"/>
                <w:color w:val="auto"/>
              </w:rPr>
            </w:pPr>
          </w:p>
        </w:tc>
        <w:tc>
          <w:tcPr>
            <w:tcW w:w="80" w:type="dxa"/>
            <w:vAlign w:val="bottom"/>
            <w:tcBorders>
              <w:bottom w:val="single" w:sz="8" w:color="auto"/>
            </w:tcBorders>
            <w:shd w:val="clear" w:color="auto" w:fill="D6D1D8"/>
          </w:tcPr>
          <w:p>
            <w:pPr>
              <w:spacing w:after="0"/>
              <w:rPr>
                <w:sz w:val="6"/>
                <w:szCs w:val="6"/>
                <w:color w:val="auto"/>
              </w:rPr>
            </w:pPr>
          </w:p>
        </w:tc>
        <w:tc>
          <w:tcPr>
            <w:tcW w:w="7760" w:type="dxa"/>
            <w:vAlign w:val="bottom"/>
            <w:tcBorders>
              <w:bottom w:val="single" w:sz="8" w:color="auto"/>
              <w:right w:val="single" w:sz="8" w:color="auto"/>
            </w:tcBorders>
            <w:shd w:val="clear" w:color="auto" w:fill="D6D1D8"/>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3100" w:type="dxa"/>
            <w:vAlign w:val="bottom"/>
            <w:tcBorders>
              <w:left w:val="single" w:sz="8" w:color="auto"/>
              <w:right w:val="single" w:sz="8" w:color="auto"/>
            </w:tcBorders>
            <w:shd w:val="clear" w:color="auto" w:fill="D6D1D8"/>
          </w:tcPr>
          <w:p>
            <w:pPr>
              <w:spacing w:after="0"/>
              <w:rPr>
                <w:sz w:val="24"/>
                <w:szCs w:val="24"/>
                <w:color w:val="auto"/>
              </w:rPr>
            </w:pPr>
          </w:p>
        </w:tc>
        <w:tc>
          <w:tcPr>
            <w:tcW w:w="80" w:type="dxa"/>
            <w:vAlign w:val="bottom"/>
            <w:shd w:val="clear" w:color="auto" w:fill="D6D1D8"/>
          </w:tcPr>
          <w:p>
            <w:pPr>
              <w:spacing w:after="0"/>
              <w:rPr>
                <w:sz w:val="24"/>
                <w:szCs w:val="24"/>
                <w:color w:val="auto"/>
              </w:rPr>
            </w:pPr>
          </w:p>
        </w:tc>
        <w:tc>
          <w:tcPr>
            <w:tcW w:w="7760" w:type="dxa"/>
            <w:vAlign w:val="bottom"/>
            <w:tcBorders>
              <w:right w:val="single" w:sz="8" w:color="auto"/>
            </w:tcBorders>
            <w:shd w:val="clear" w:color="auto" w:fill="D6D1D8"/>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Our directors and executive officers are prohibited from engaging in speculative transactions in the</w:t>
            </w:r>
          </w:p>
        </w:tc>
        <w:tc>
          <w:tcPr>
            <w:tcW w:w="0" w:type="dxa"/>
            <w:vAlign w:val="bottom"/>
          </w:tcPr>
          <w:p>
            <w:pPr>
              <w:spacing w:after="0"/>
              <w:rPr>
                <w:sz w:val="1"/>
                <w:szCs w:val="1"/>
                <w:color w:val="auto"/>
              </w:rPr>
            </w:pPr>
          </w:p>
        </w:tc>
      </w:tr>
      <w:tr>
        <w:trPr>
          <w:trHeight w:val="187"/>
        </w:trPr>
        <w:tc>
          <w:tcPr>
            <w:tcW w:w="3100" w:type="dxa"/>
            <w:vAlign w:val="bottom"/>
            <w:tcBorders>
              <w:left w:val="single" w:sz="8" w:color="auto"/>
              <w:right w:val="single" w:sz="8" w:color="auto"/>
            </w:tcBorders>
            <w:shd w:val="clear" w:color="auto" w:fill="D6D1D8"/>
          </w:tcPr>
          <w:p>
            <w:pPr>
              <w:spacing w:after="0"/>
              <w:rPr>
                <w:sz w:val="16"/>
                <w:szCs w:val="16"/>
                <w:color w:val="auto"/>
              </w:rPr>
            </w:pPr>
          </w:p>
        </w:tc>
        <w:tc>
          <w:tcPr>
            <w:tcW w:w="80" w:type="dxa"/>
            <w:vAlign w:val="bottom"/>
            <w:shd w:val="clear" w:color="auto" w:fill="D6D1D8"/>
          </w:tcPr>
          <w:p>
            <w:pPr>
              <w:spacing w:after="0"/>
              <w:rPr>
                <w:sz w:val="16"/>
                <w:szCs w:val="16"/>
                <w:color w:val="auto"/>
              </w:rPr>
            </w:pPr>
          </w:p>
        </w:tc>
        <w:tc>
          <w:tcPr>
            <w:tcW w:w="7760" w:type="dxa"/>
            <w:vAlign w:val="bottom"/>
            <w:tcBorders>
              <w:right w:val="single" w:sz="8" w:color="auto"/>
            </w:tcBorders>
            <w:shd w:val="clear" w:color="auto" w:fill="D6D1D8"/>
          </w:tcPr>
          <w:p>
            <w:pPr>
              <w:ind w:left="240"/>
              <w:spacing w:after="0"/>
              <w:rPr>
                <w:sz w:val="20"/>
                <w:szCs w:val="20"/>
                <w:color w:val="auto"/>
              </w:rPr>
            </w:pPr>
            <w:r>
              <w:rPr>
                <w:rFonts w:ascii="Arial" w:cs="Arial" w:eastAsia="Arial" w:hAnsi="Arial"/>
                <w:sz w:val="16"/>
                <w:szCs w:val="16"/>
                <w:color w:val="auto"/>
              </w:rPr>
              <w:t>Company’s securities, such as trading in puts and calls, or selling securities short, and from all hedging</w:t>
            </w:r>
          </w:p>
        </w:tc>
        <w:tc>
          <w:tcPr>
            <w:tcW w:w="0" w:type="dxa"/>
            <w:vAlign w:val="bottom"/>
          </w:tcPr>
          <w:p>
            <w:pPr>
              <w:spacing w:after="0"/>
              <w:rPr>
                <w:sz w:val="1"/>
                <w:szCs w:val="1"/>
                <w:color w:val="auto"/>
              </w:rPr>
            </w:pPr>
          </w:p>
        </w:tc>
      </w:tr>
      <w:tr>
        <w:trPr>
          <w:trHeight w:val="211"/>
        </w:trPr>
        <w:tc>
          <w:tcPr>
            <w:tcW w:w="3100" w:type="dxa"/>
            <w:vAlign w:val="bottom"/>
            <w:tcBorders>
              <w:left w:val="single" w:sz="8" w:color="auto"/>
              <w:right w:val="single" w:sz="8" w:color="auto"/>
            </w:tcBorders>
            <w:shd w:val="clear" w:color="auto" w:fill="D6D1D8"/>
          </w:tcPr>
          <w:p>
            <w:pPr>
              <w:spacing w:after="0"/>
              <w:rPr>
                <w:sz w:val="18"/>
                <w:szCs w:val="18"/>
                <w:color w:val="auto"/>
              </w:rPr>
            </w:pPr>
          </w:p>
        </w:tc>
        <w:tc>
          <w:tcPr>
            <w:tcW w:w="80" w:type="dxa"/>
            <w:vAlign w:val="bottom"/>
            <w:shd w:val="clear" w:color="auto" w:fill="D6D1D8"/>
          </w:tcPr>
          <w:p>
            <w:pPr>
              <w:spacing w:after="0"/>
              <w:rPr>
                <w:sz w:val="18"/>
                <w:szCs w:val="18"/>
                <w:color w:val="auto"/>
              </w:rPr>
            </w:pPr>
          </w:p>
        </w:tc>
        <w:tc>
          <w:tcPr>
            <w:tcW w:w="7760" w:type="dxa"/>
            <w:vAlign w:val="bottom"/>
            <w:tcBorders>
              <w:right w:val="single" w:sz="8" w:color="auto"/>
            </w:tcBorders>
            <w:shd w:val="clear" w:color="auto" w:fill="D6D1D8"/>
          </w:tcPr>
          <w:p>
            <w:pPr>
              <w:ind w:left="240"/>
              <w:spacing w:after="0"/>
              <w:rPr>
                <w:sz w:val="20"/>
                <w:szCs w:val="20"/>
                <w:color w:val="auto"/>
              </w:rPr>
            </w:pPr>
            <w:r>
              <w:rPr>
                <w:rFonts w:ascii="Arial" w:cs="Arial" w:eastAsia="Arial" w:hAnsi="Arial"/>
                <w:sz w:val="16"/>
                <w:szCs w:val="16"/>
                <w:color w:val="auto"/>
              </w:rPr>
              <w:t>and prospective pledging of Company securities as collateral for any loan</w:t>
            </w:r>
          </w:p>
        </w:tc>
        <w:tc>
          <w:tcPr>
            <w:tcW w:w="0" w:type="dxa"/>
            <w:vAlign w:val="bottom"/>
          </w:tcPr>
          <w:p>
            <w:pPr>
              <w:spacing w:after="0"/>
              <w:rPr>
                <w:sz w:val="1"/>
                <w:szCs w:val="1"/>
                <w:color w:val="auto"/>
              </w:rPr>
            </w:pPr>
          </w:p>
        </w:tc>
      </w:tr>
      <w:tr>
        <w:trPr>
          <w:trHeight w:val="164"/>
        </w:trPr>
        <w:tc>
          <w:tcPr>
            <w:tcW w:w="3100" w:type="dxa"/>
            <w:vAlign w:val="bottom"/>
            <w:tcBorders>
              <w:left w:val="single" w:sz="8" w:color="auto"/>
              <w:bottom w:val="single" w:sz="8" w:color="auto"/>
              <w:right w:val="single" w:sz="8" w:color="auto"/>
            </w:tcBorders>
            <w:shd w:val="clear" w:color="auto" w:fill="D6D1D8"/>
          </w:tcPr>
          <w:p>
            <w:pPr>
              <w:spacing w:after="0"/>
              <w:rPr>
                <w:sz w:val="14"/>
                <w:szCs w:val="14"/>
                <w:color w:val="auto"/>
              </w:rPr>
            </w:pPr>
          </w:p>
        </w:tc>
        <w:tc>
          <w:tcPr>
            <w:tcW w:w="80" w:type="dxa"/>
            <w:vAlign w:val="bottom"/>
            <w:tcBorders>
              <w:bottom w:val="single" w:sz="8" w:color="auto"/>
            </w:tcBorders>
            <w:shd w:val="clear" w:color="auto" w:fill="D6D1D8"/>
          </w:tcPr>
          <w:p>
            <w:pPr>
              <w:spacing w:after="0"/>
              <w:rPr>
                <w:sz w:val="14"/>
                <w:szCs w:val="14"/>
                <w:color w:val="auto"/>
              </w:rPr>
            </w:pPr>
          </w:p>
        </w:tc>
        <w:tc>
          <w:tcPr>
            <w:tcW w:w="7760" w:type="dxa"/>
            <w:vAlign w:val="bottom"/>
            <w:tcBorders>
              <w:bottom w:val="single" w:sz="8" w:color="auto"/>
              <w:right w:val="single" w:sz="8" w:color="auto"/>
            </w:tcBorders>
            <w:shd w:val="clear" w:color="auto" w:fill="D6D1D8"/>
          </w:tcPr>
          <w:p>
            <w:pPr>
              <w:spacing w:after="0"/>
              <w:rPr>
                <w:sz w:val="14"/>
                <w:szCs w:val="14"/>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11020"/>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100"/>
          </w:cols>
          <w:pgMar w:left="320" w:top="478"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BOARD COMPOSITION</w:t>
      </w:r>
    </w:p>
    <w:p>
      <w:pPr>
        <w:spacing w:after="0" w:line="374" w:lineRule="exact"/>
        <w:rPr>
          <w:sz w:val="20"/>
          <w:szCs w:val="20"/>
          <w:color w:val="auto"/>
        </w:rPr>
      </w:pPr>
    </w:p>
    <w:tbl>
      <w:tblPr>
        <w:tblLayout w:type="fixed"/>
        <w:tblInd w:w="1220" w:type="dxa"/>
        <w:tblCellMar>
          <w:top w:w="0" w:type="dxa"/>
          <w:left w:w="0" w:type="dxa"/>
          <w:bottom w:w="0" w:type="dxa"/>
          <w:right w:w="0" w:type="dxa"/>
        </w:tblCellMar>
      </w:tblPr>
      <w:tr>
        <w:trPr>
          <w:trHeight w:val="281"/>
        </w:trPr>
        <w:tc>
          <w:tcPr>
            <w:tcW w:w="4480" w:type="dxa"/>
            <w:vAlign w:val="bottom"/>
          </w:tcPr>
          <w:p>
            <w:pPr>
              <w:jc w:val="center"/>
              <w:ind w:right="1148"/>
              <w:spacing w:after="0"/>
              <w:rPr>
                <w:sz w:val="20"/>
                <w:szCs w:val="20"/>
                <w:color w:val="auto"/>
              </w:rPr>
            </w:pPr>
            <w:r>
              <w:rPr>
                <w:rFonts w:ascii="Arial" w:cs="Arial" w:eastAsia="Arial" w:hAnsi="Arial"/>
                <w:sz w:val="23"/>
                <w:szCs w:val="23"/>
                <w:color w:val="351B3D"/>
              </w:rPr>
              <w:t>INDEPENDENT CHAIR</w:t>
            </w:r>
          </w:p>
        </w:tc>
        <w:tc>
          <w:tcPr>
            <w:tcW w:w="4280" w:type="dxa"/>
            <w:vAlign w:val="bottom"/>
          </w:tcPr>
          <w:p>
            <w:pPr>
              <w:jc w:val="center"/>
              <w:ind w:left="1136"/>
              <w:spacing w:after="0"/>
              <w:rPr>
                <w:sz w:val="20"/>
                <w:szCs w:val="20"/>
                <w:color w:val="auto"/>
              </w:rPr>
            </w:pPr>
            <w:r>
              <w:rPr>
                <w:rFonts w:ascii="Arial" w:cs="Arial" w:eastAsia="Arial" w:hAnsi="Arial"/>
                <w:sz w:val="23"/>
                <w:szCs w:val="23"/>
                <w:color w:val="351B3D"/>
              </w:rPr>
              <w:t>89%</w:t>
            </w:r>
          </w:p>
        </w:tc>
        <w:tc>
          <w:tcPr>
            <w:tcW w:w="0" w:type="dxa"/>
            <w:vAlign w:val="bottom"/>
          </w:tcPr>
          <w:p>
            <w:pPr>
              <w:spacing w:after="0"/>
              <w:rPr>
                <w:sz w:val="1"/>
                <w:szCs w:val="1"/>
                <w:color w:val="auto"/>
              </w:rPr>
            </w:pPr>
          </w:p>
        </w:tc>
      </w:tr>
      <w:tr>
        <w:trPr>
          <w:trHeight w:val="306"/>
        </w:trPr>
        <w:tc>
          <w:tcPr>
            <w:tcW w:w="4480" w:type="dxa"/>
            <w:vAlign w:val="bottom"/>
            <w:vMerge w:val="restart"/>
          </w:tcPr>
          <w:p>
            <w:pPr>
              <w:jc w:val="center"/>
              <w:ind w:right="1168"/>
              <w:spacing w:after="0"/>
              <w:rPr>
                <w:sz w:val="20"/>
                <w:szCs w:val="20"/>
                <w:color w:val="auto"/>
              </w:rPr>
            </w:pPr>
            <w:r>
              <w:rPr>
                <w:rFonts w:ascii="Arial" w:cs="Arial" w:eastAsia="Arial" w:hAnsi="Arial"/>
                <w:sz w:val="16"/>
                <w:szCs w:val="16"/>
                <w:color w:val="auto"/>
              </w:rPr>
              <w:t>The separation of the roles of Chair and CEO</w:t>
            </w:r>
          </w:p>
        </w:tc>
        <w:tc>
          <w:tcPr>
            <w:tcW w:w="4280" w:type="dxa"/>
            <w:vAlign w:val="bottom"/>
          </w:tcPr>
          <w:p>
            <w:pPr>
              <w:jc w:val="center"/>
              <w:ind w:left="1136"/>
              <w:spacing w:after="0"/>
              <w:rPr>
                <w:sz w:val="20"/>
                <w:szCs w:val="20"/>
                <w:color w:val="auto"/>
              </w:rPr>
            </w:pPr>
            <w:r>
              <w:rPr>
                <w:rFonts w:ascii="Arial" w:cs="Arial" w:eastAsia="Arial" w:hAnsi="Arial"/>
                <w:sz w:val="23"/>
                <w:szCs w:val="23"/>
                <w:color w:val="351B3D"/>
              </w:rPr>
              <w:t>BOARD INDEPENDENCE</w:t>
            </w:r>
          </w:p>
        </w:tc>
        <w:tc>
          <w:tcPr>
            <w:tcW w:w="0" w:type="dxa"/>
            <w:vAlign w:val="bottom"/>
          </w:tcPr>
          <w:p>
            <w:pPr>
              <w:spacing w:after="0"/>
              <w:rPr>
                <w:sz w:val="1"/>
                <w:szCs w:val="1"/>
                <w:color w:val="auto"/>
              </w:rPr>
            </w:pPr>
          </w:p>
        </w:tc>
      </w:tr>
      <w:tr>
        <w:trPr>
          <w:trHeight w:val="126"/>
        </w:trPr>
        <w:tc>
          <w:tcPr>
            <w:tcW w:w="4480" w:type="dxa"/>
            <w:vAlign w:val="bottom"/>
            <w:vMerge w:val="continue"/>
          </w:tcPr>
          <w:p>
            <w:pPr>
              <w:spacing w:after="0"/>
              <w:rPr>
                <w:sz w:val="10"/>
                <w:szCs w:val="10"/>
                <w:color w:val="auto"/>
              </w:rPr>
            </w:pPr>
          </w:p>
        </w:tc>
        <w:tc>
          <w:tcPr>
            <w:tcW w:w="4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4480" w:type="dxa"/>
            <w:vAlign w:val="bottom"/>
          </w:tcPr>
          <w:p>
            <w:pPr>
              <w:jc w:val="center"/>
              <w:ind w:right="1168"/>
              <w:spacing w:after="0"/>
              <w:rPr>
                <w:sz w:val="20"/>
                <w:szCs w:val="20"/>
                <w:color w:val="auto"/>
              </w:rPr>
            </w:pPr>
            <w:r>
              <w:rPr>
                <w:rFonts w:ascii="Arial" w:cs="Arial" w:eastAsia="Arial" w:hAnsi="Arial"/>
                <w:sz w:val="16"/>
                <w:szCs w:val="16"/>
                <w:color w:val="auto"/>
              </w:rPr>
              <w:t>are enshrined in our Bylaws</w:t>
            </w:r>
          </w:p>
        </w:tc>
        <w:tc>
          <w:tcPr>
            <w:tcW w:w="4280" w:type="dxa"/>
            <w:vAlign w:val="bottom"/>
            <w:vMerge w:val="restart"/>
          </w:tcPr>
          <w:p>
            <w:pPr>
              <w:jc w:val="center"/>
              <w:ind w:left="1136"/>
              <w:spacing w:after="0"/>
              <w:rPr>
                <w:sz w:val="20"/>
                <w:szCs w:val="20"/>
                <w:color w:val="auto"/>
              </w:rPr>
            </w:pPr>
            <w:r>
              <w:rPr>
                <w:rFonts w:ascii="Arial" w:cs="Arial" w:eastAsia="Arial" w:hAnsi="Arial"/>
                <w:sz w:val="16"/>
                <w:szCs w:val="16"/>
                <w:color w:val="auto"/>
              </w:rPr>
              <w:t>Eight of our nine directors are independent</w:t>
            </w:r>
          </w:p>
        </w:tc>
        <w:tc>
          <w:tcPr>
            <w:tcW w:w="0" w:type="dxa"/>
            <w:vAlign w:val="bottom"/>
          </w:tcPr>
          <w:p>
            <w:pPr>
              <w:spacing w:after="0"/>
              <w:rPr>
                <w:sz w:val="1"/>
                <w:szCs w:val="1"/>
                <w:color w:val="auto"/>
              </w:rPr>
            </w:pPr>
          </w:p>
        </w:tc>
      </w:tr>
      <w:tr>
        <w:trPr>
          <w:trHeight w:val="94"/>
        </w:trPr>
        <w:tc>
          <w:tcPr>
            <w:tcW w:w="4480" w:type="dxa"/>
            <w:vAlign w:val="bottom"/>
          </w:tcPr>
          <w:p>
            <w:pPr>
              <w:spacing w:after="0"/>
              <w:rPr>
                <w:sz w:val="8"/>
                <w:szCs w:val="8"/>
                <w:color w:val="auto"/>
              </w:rPr>
            </w:pPr>
          </w:p>
        </w:tc>
        <w:tc>
          <w:tcPr>
            <w:tcW w:w="4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tbl>
      <w:tblPr>
        <w:tblLayout w:type="fixed"/>
        <w:tblInd w:w="920" w:type="dxa"/>
        <w:tblCellMar>
          <w:top w:w="0" w:type="dxa"/>
          <w:left w:w="0" w:type="dxa"/>
          <w:bottom w:w="0" w:type="dxa"/>
          <w:right w:w="0" w:type="dxa"/>
        </w:tblCellMar>
      </w:tblPr>
      <w:tr>
        <w:trPr>
          <w:trHeight w:val="281"/>
        </w:trPr>
        <w:tc>
          <w:tcPr>
            <w:tcW w:w="4840" w:type="dxa"/>
            <w:vAlign w:val="bottom"/>
          </w:tcPr>
          <w:p>
            <w:pPr>
              <w:jc w:val="center"/>
              <w:ind w:right="922"/>
              <w:spacing w:after="0"/>
              <w:rPr>
                <w:sz w:val="20"/>
                <w:szCs w:val="20"/>
                <w:color w:val="auto"/>
              </w:rPr>
            </w:pPr>
            <w:r>
              <w:rPr>
                <w:rFonts w:ascii="Arial" w:cs="Arial" w:eastAsia="Arial" w:hAnsi="Arial"/>
                <w:sz w:val="23"/>
                <w:szCs w:val="23"/>
                <w:color w:val="351B3D"/>
                <w:w w:val="99"/>
              </w:rPr>
              <w:t>67%</w:t>
            </w:r>
          </w:p>
        </w:tc>
        <w:tc>
          <w:tcPr>
            <w:tcW w:w="4400" w:type="dxa"/>
            <w:vAlign w:val="bottom"/>
          </w:tcPr>
          <w:p>
            <w:pPr>
              <w:jc w:val="center"/>
              <w:ind w:left="882"/>
              <w:spacing w:after="0"/>
              <w:rPr>
                <w:sz w:val="20"/>
                <w:szCs w:val="20"/>
                <w:color w:val="auto"/>
              </w:rPr>
            </w:pPr>
            <w:r>
              <w:rPr>
                <w:rFonts w:ascii="Arial" w:cs="Arial" w:eastAsia="Arial" w:hAnsi="Arial"/>
                <w:sz w:val="23"/>
                <w:szCs w:val="23"/>
                <w:color w:val="351B3D"/>
              </w:rPr>
              <w:t>6 YEARS</w:t>
            </w:r>
          </w:p>
        </w:tc>
      </w:tr>
      <w:tr>
        <w:trPr>
          <w:trHeight w:val="306"/>
        </w:trPr>
        <w:tc>
          <w:tcPr>
            <w:tcW w:w="4840" w:type="dxa"/>
            <w:vAlign w:val="bottom"/>
          </w:tcPr>
          <w:p>
            <w:pPr>
              <w:jc w:val="center"/>
              <w:ind w:right="922"/>
              <w:spacing w:after="0"/>
              <w:rPr>
                <w:sz w:val="20"/>
                <w:szCs w:val="20"/>
                <w:color w:val="auto"/>
              </w:rPr>
            </w:pPr>
            <w:r>
              <w:rPr>
                <w:rFonts w:ascii="Arial" w:cs="Arial" w:eastAsia="Arial" w:hAnsi="Arial"/>
                <w:sz w:val="23"/>
                <w:szCs w:val="23"/>
                <w:color w:val="351B3D"/>
              </w:rPr>
              <w:t>CEO EXPERIENCE</w:t>
            </w:r>
          </w:p>
        </w:tc>
        <w:tc>
          <w:tcPr>
            <w:tcW w:w="4400" w:type="dxa"/>
            <w:vAlign w:val="bottom"/>
          </w:tcPr>
          <w:p>
            <w:pPr>
              <w:jc w:val="center"/>
              <w:ind w:left="902"/>
              <w:spacing w:after="0"/>
              <w:rPr>
                <w:sz w:val="20"/>
                <w:szCs w:val="20"/>
                <w:color w:val="auto"/>
              </w:rPr>
            </w:pPr>
            <w:r>
              <w:rPr>
                <w:rFonts w:ascii="Arial" w:cs="Arial" w:eastAsia="Arial" w:hAnsi="Arial"/>
                <w:sz w:val="23"/>
                <w:szCs w:val="23"/>
                <w:color w:val="351B3D"/>
              </w:rPr>
              <w:t>AVERAGE DIRECTOR TENURE</w:t>
            </w:r>
          </w:p>
        </w:tc>
      </w:tr>
      <w:tr>
        <w:trPr>
          <w:trHeight w:val="407"/>
        </w:trPr>
        <w:tc>
          <w:tcPr>
            <w:tcW w:w="4840" w:type="dxa"/>
            <w:vAlign w:val="bottom"/>
          </w:tcPr>
          <w:p>
            <w:pPr>
              <w:jc w:val="center"/>
              <w:ind w:right="902"/>
              <w:spacing w:after="0"/>
              <w:rPr>
                <w:sz w:val="20"/>
                <w:szCs w:val="20"/>
                <w:color w:val="auto"/>
              </w:rPr>
            </w:pPr>
            <w:r>
              <w:rPr>
                <w:rFonts w:ascii="Arial" w:cs="Arial" w:eastAsia="Arial" w:hAnsi="Arial"/>
                <w:sz w:val="16"/>
                <w:szCs w:val="16"/>
                <w:color w:val="auto"/>
                <w:w w:val="99"/>
              </w:rPr>
              <w:t>6 of our 9 directors and director nominees</w:t>
            </w:r>
          </w:p>
        </w:tc>
        <w:tc>
          <w:tcPr>
            <w:tcW w:w="4400" w:type="dxa"/>
            <w:vAlign w:val="bottom"/>
          </w:tcPr>
          <w:p>
            <w:pPr>
              <w:jc w:val="center"/>
              <w:ind w:left="902"/>
              <w:spacing w:after="0"/>
              <w:rPr>
                <w:sz w:val="20"/>
                <w:szCs w:val="20"/>
                <w:color w:val="auto"/>
              </w:rPr>
            </w:pPr>
            <w:r>
              <w:rPr>
                <w:rFonts w:ascii="Arial" w:cs="Arial" w:eastAsia="Arial" w:hAnsi="Arial"/>
                <w:sz w:val="16"/>
                <w:szCs w:val="16"/>
                <w:color w:val="auto"/>
                <w:w w:val="99"/>
              </w:rPr>
              <w:t>Seven of our eight independent directors</w:t>
            </w:r>
          </w:p>
        </w:tc>
      </w:tr>
      <w:tr>
        <w:trPr>
          <w:trHeight w:val="211"/>
        </w:trPr>
        <w:tc>
          <w:tcPr>
            <w:tcW w:w="4840" w:type="dxa"/>
            <w:vAlign w:val="bottom"/>
          </w:tcPr>
          <w:p>
            <w:pPr>
              <w:jc w:val="center"/>
              <w:ind w:right="902"/>
              <w:spacing w:after="0"/>
              <w:rPr>
                <w:sz w:val="20"/>
                <w:szCs w:val="20"/>
                <w:color w:val="auto"/>
              </w:rPr>
            </w:pPr>
            <w:r>
              <w:rPr>
                <w:rFonts w:ascii="Arial" w:cs="Arial" w:eastAsia="Arial" w:hAnsi="Arial"/>
                <w:sz w:val="16"/>
                <w:szCs w:val="16"/>
                <w:color w:val="auto"/>
              </w:rPr>
              <w:t>have performed or are currently performing CEO roles</w:t>
            </w:r>
          </w:p>
        </w:tc>
        <w:tc>
          <w:tcPr>
            <w:tcW w:w="4400" w:type="dxa"/>
            <w:vAlign w:val="bottom"/>
          </w:tcPr>
          <w:p>
            <w:pPr>
              <w:jc w:val="center"/>
              <w:ind w:left="902"/>
              <w:spacing w:after="0"/>
              <w:rPr>
                <w:sz w:val="20"/>
                <w:szCs w:val="20"/>
                <w:color w:val="auto"/>
              </w:rPr>
            </w:pPr>
            <w:r>
              <w:rPr>
                <w:rFonts w:ascii="Arial" w:cs="Arial" w:eastAsia="Arial" w:hAnsi="Arial"/>
                <w:sz w:val="16"/>
                <w:szCs w:val="16"/>
                <w:color w:val="auto"/>
              </w:rPr>
              <w:t>were appointed since 2018</w:t>
            </w:r>
          </w:p>
        </w:tc>
      </w:tr>
    </w:tbl>
    <w:p>
      <w:pPr>
        <w:spacing w:after="0" w:line="337" w:lineRule="exact"/>
        <w:rPr>
          <w:sz w:val="20"/>
          <w:szCs w:val="20"/>
          <w:color w:val="auto"/>
        </w:rPr>
      </w:pPr>
    </w:p>
    <w:p>
      <w:pPr>
        <w:ind w:left="160" w:right="260"/>
        <w:spacing w:after="0" w:line="279" w:lineRule="auto"/>
        <w:rPr>
          <w:sz w:val="20"/>
          <w:szCs w:val="20"/>
          <w:color w:val="auto"/>
        </w:rPr>
      </w:pPr>
      <w:r>
        <w:rPr>
          <w:rFonts w:ascii="Arial" w:cs="Arial" w:eastAsia="Arial" w:hAnsi="Arial"/>
          <w:sz w:val="16"/>
          <w:szCs w:val="16"/>
          <w:color w:val="auto"/>
        </w:rPr>
        <w:t>Our Board currently has nine members: Philip Satre, who serves as independent Chair of the Board, Betsy Atkins, Craig Billings, our Chief Executive Officer, Richard Byrne, Paul Liu, Patricia Mulroy, Margaret Myers, Darnell Strom, and Winifred Webb.</w:t>
      </w:r>
    </w:p>
    <w:p>
      <w:pPr>
        <w:spacing w:after="0" w:line="161"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auto"/>
        </w:rPr>
        <w:t>Mr. Billings and Ms. Webb have been nominated for re-election at the 2025 Annual Meeting, and, following a search process undertaken by the Nominating and Governance Committee, Mr. Sanfilippo was determined to be a qualified candidate for director and has been nominated for election as a Class II director at the Annual Meeting. Ms. Myers is not standing for re-election. We appreciate her valuable contributions to the Board over the past 8 years and wish her the best in her future pursuits.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DIRECTOR SKILLS AND EXPERIENCE</w:t>
      </w:r>
    </w:p>
    <w:p>
      <w:pPr>
        <w:spacing w:after="0" w:line="19" w:lineRule="exact"/>
        <w:rPr>
          <w:sz w:val="20"/>
          <w:szCs w:val="20"/>
          <w:color w:val="auto"/>
        </w:rPr>
      </w:pPr>
    </w:p>
    <w:p>
      <w:pPr>
        <w:ind w:left="160"/>
        <w:spacing w:after="0" w:line="249" w:lineRule="auto"/>
        <w:rPr>
          <w:sz w:val="20"/>
          <w:szCs w:val="20"/>
          <w:color w:val="auto"/>
        </w:rPr>
      </w:pPr>
      <w:r>
        <w:rPr>
          <w:rFonts w:ascii="Arial" w:cs="Arial" w:eastAsia="Arial" w:hAnsi="Arial"/>
          <w:sz w:val="16"/>
          <w:szCs w:val="16"/>
          <w:color w:val="auto"/>
        </w:rPr>
        <w:t>The table and biographies below highlight the key skills and experiences that our director nominees and continuing directors have developed through education, direct experience and oversight responsibilities. The details of how each expertise was gained are included in each individual’s biography. We believe these collective qualities, skills, experiences and attributes are essential to the Board’s ability to provide independent oversight, exercise its risk oversight function and to guide the Company to long-term, sustainable shareholder value.</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2"/>
          <w:szCs w:val="12"/>
          <w:color w:val="351B3D"/>
        </w:rPr>
        <w:t>4</w:t>
      </w:r>
    </w:p>
    <w:p>
      <w:pPr>
        <w:sectPr>
          <w:pgSz w:w="11900" w:h="16838" w:orient="portrait"/>
          <w:cols w:equalWidth="0" w:num="1">
            <w:col w:w="10980"/>
          </w:cols>
          <w:pgMar w:left="320" w:top="478" w:right="5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If an individual director is not listed as having a particular attribute, it does not signify an individual’s lack of ability to contribute in that specific area.</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Rather, it is intended to depict notable areas of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6730365</wp:posOffset>
            </wp:positionH>
            <wp:positionV relativeFrom="paragraph">
              <wp:posOffset>153670</wp:posOffset>
            </wp:positionV>
            <wp:extent cx="8255" cy="4364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4364990"/>
                    </a:xfrm>
                    <a:prstGeom prst="rect">
                      <a:avLst/>
                    </a:prstGeom>
                    <a:noFill/>
                  </pic:spPr>
                </pic:pic>
              </a:graphicData>
            </a:graphic>
          </wp:anchor>
        </w:drawing>
        <w:drawing>
          <wp:anchor simplePos="0" relativeHeight="251657728" behindDoc="1" locked="0" layoutInCell="0" allowOverlap="1">
            <wp:simplePos x="0" y="0"/>
            <wp:positionH relativeFrom="column">
              <wp:posOffset>6407785</wp:posOffset>
            </wp:positionH>
            <wp:positionV relativeFrom="paragraph">
              <wp:posOffset>153670</wp:posOffset>
            </wp:positionV>
            <wp:extent cx="8255" cy="4364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4364990"/>
                    </a:xfrm>
                    <a:prstGeom prst="rect">
                      <a:avLst/>
                    </a:prstGeom>
                    <a:noFill/>
                  </pic:spPr>
                </pic:pic>
              </a:graphicData>
            </a:graphic>
          </wp:anchor>
        </w:drawing>
        <w:drawing>
          <wp:anchor simplePos="0" relativeHeight="251657728" behindDoc="1" locked="0" layoutInCell="0" allowOverlap="1">
            <wp:simplePos x="0" y="0"/>
            <wp:positionH relativeFrom="column">
              <wp:posOffset>6093460</wp:posOffset>
            </wp:positionH>
            <wp:positionV relativeFrom="paragraph">
              <wp:posOffset>153670</wp:posOffset>
            </wp:positionV>
            <wp:extent cx="8255" cy="4364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4364990"/>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153670</wp:posOffset>
            </wp:positionV>
            <wp:extent cx="8255" cy="4364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4364990"/>
                    </a:xfrm>
                    <a:prstGeom prst="rect">
                      <a:avLst/>
                    </a:prstGeom>
                    <a:noFill/>
                  </pic:spPr>
                </pic:pic>
              </a:graphicData>
            </a:graphic>
          </wp:anchor>
        </w:drawing>
        <w:drawing>
          <wp:anchor simplePos="0" relativeHeight="251657728" behindDoc="1" locked="0" layoutInCell="0" allowOverlap="1">
            <wp:simplePos x="0" y="0"/>
            <wp:positionH relativeFrom="column">
              <wp:posOffset>5210175</wp:posOffset>
            </wp:positionH>
            <wp:positionV relativeFrom="paragraph">
              <wp:posOffset>153670</wp:posOffset>
            </wp:positionV>
            <wp:extent cx="8255" cy="43649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4364990"/>
                    </a:xfrm>
                    <a:prstGeom prst="rect">
                      <a:avLst/>
                    </a:prstGeom>
                    <a:noFill/>
                  </pic:spPr>
                </pic:pic>
              </a:graphicData>
            </a:graphic>
          </wp:anchor>
        </w:drawing>
        <w:drawing>
          <wp:anchor simplePos="0" relativeHeight="251657728" behindDoc="1" locked="0" layoutInCell="0" allowOverlap="1">
            <wp:simplePos x="0" y="0"/>
            <wp:positionH relativeFrom="column">
              <wp:posOffset>4947285</wp:posOffset>
            </wp:positionH>
            <wp:positionV relativeFrom="paragraph">
              <wp:posOffset>153670</wp:posOffset>
            </wp:positionV>
            <wp:extent cx="8255" cy="4364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4364990"/>
                    </a:xfrm>
                    <a:prstGeom prst="rect">
                      <a:avLst/>
                    </a:prstGeom>
                    <a:noFill/>
                  </pic:spPr>
                </pic:pic>
              </a:graphicData>
            </a:graphic>
          </wp:anchor>
        </w:drawing>
        <w:drawing>
          <wp:anchor simplePos="0" relativeHeight="251657728" behindDoc="1" locked="0" layoutInCell="0" allowOverlap="1">
            <wp:simplePos x="0" y="0"/>
            <wp:positionH relativeFrom="column">
              <wp:posOffset>4632960</wp:posOffset>
            </wp:positionH>
            <wp:positionV relativeFrom="paragraph">
              <wp:posOffset>153670</wp:posOffset>
            </wp:positionV>
            <wp:extent cx="8255" cy="43649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4364990"/>
                    </a:xfrm>
                    <a:prstGeom prst="rect">
                      <a:avLst/>
                    </a:prstGeom>
                    <a:noFill/>
                  </pic:spPr>
                </pic:pic>
              </a:graphicData>
            </a:graphic>
          </wp:anchor>
        </w:drawing>
        <w:drawing>
          <wp:anchor simplePos="0" relativeHeight="251657728" behindDoc="1" locked="0" layoutInCell="0" allowOverlap="1">
            <wp:simplePos x="0" y="0"/>
            <wp:positionH relativeFrom="column">
              <wp:posOffset>4216400</wp:posOffset>
            </wp:positionH>
            <wp:positionV relativeFrom="paragraph">
              <wp:posOffset>153670</wp:posOffset>
            </wp:positionV>
            <wp:extent cx="8255" cy="4364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4364990"/>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153670</wp:posOffset>
            </wp:positionV>
            <wp:extent cx="8255" cy="43649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4364990"/>
                    </a:xfrm>
                    <a:prstGeom prst="rect">
                      <a:avLst/>
                    </a:prstGeom>
                    <a:noFill/>
                  </pic:spPr>
                </pic:pic>
              </a:graphicData>
            </a:graphic>
          </wp:anchor>
        </w:drawing>
      </w:r>
    </w:p>
    <w:p>
      <w:pPr>
        <w:spacing w:after="0" w:line="222" w:lineRule="exact"/>
        <w:rPr>
          <w:sz w:val="20"/>
          <w:szCs w:val="20"/>
          <w:color w:val="auto"/>
        </w:rPr>
      </w:pPr>
    </w:p>
    <w:tbl>
      <w:tblPr>
        <w:tblLayout w:type="fixed"/>
        <w:tblInd w:w="170" w:type="dxa"/>
        <w:tblCellMar>
          <w:top w:w="0" w:type="dxa"/>
          <w:left w:w="0" w:type="dxa"/>
          <w:bottom w:w="0" w:type="dxa"/>
          <w:right w:w="0" w:type="dxa"/>
        </w:tblCellMar>
      </w:tblPr>
      <w:tr>
        <w:trPr>
          <w:trHeight w:val="221"/>
        </w:trPr>
        <w:tc>
          <w:tcPr>
            <w:tcW w:w="6020" w:type="dxa"/>
            <w:vAlign w:val="bottom"/>
            <w:tcBorders>
              <w:left w:val="single" w:sz="8" w:color="351B3D"/>
              <w:bottom w:val="single" w:sz="8" w:color="351B3D"/>
              <w:right w:val="single" w:sz="8" w:color="351B3D"/>
            </w:tcBorders>
            <w:shd w:val="clear" w:color="auto" w:fill="351B3D"/>
          </w:tcPr>
          <w:p>
            <w:pPr>
              <w:spacing w:after="0"/>
              <w:rPr>
                <w:sz w:val="19"/>
                <w:szCs w:val="19"/>
                <w:color w:val="auto"/>
              </w:rPr>
            </w:pPr>
          </w:p>
        </w:tc>
        <w:tc>
          <w:tcPr>
            <w:tcW w:w="480" w:type="dxa"/>
            <w:vAlign w:val="bottom"/>
            <w:tcBorders>
              <w:bottom w:val="single" w:sz="8" w:color="351B3D"/>
              <w:right w:val="single" w:sz="8" w:color="351B3D"/>
            </w:tcBorders>
            <w:shd w:val="clear" w:color="auto" w:fill="351B3D"/>
          </w:tcPr>
          <w:p>
            <w:pPr>
              <w:ind w:left="40"/>
              <w:spacing w:after="0"/>
              <w:rPr>
                <w:sz w:val="20"/>
                <w:szCs w:val="20"/>
                <w:color w:val="auto"/>
              </w:rPr>
            </w:pPr>
            <w:r>
              <w:rPr>
                <w:rFonts w:ascii="Arial" w:cs="Arial" w:eastAsia="Arial" w:hAnsi="Arial"/>
                <w:sz w:val="11"/>
                <w:szCs w:val="11"/>
                <w:color w:val="FFFFFF"/>
              </w:rPr>
              <w:t>ATKINS</w:t>
            </w:r>
          </w:p>
        </w:tc>
        <w:tc>
          <w:tcPr>
            <w:tcW w:w="660" w:type="dxa"/>
            <w:vAlign w:val="bottom"/>
            <w:tcBorders>
              <w:bottom w:val="single" w:sz="8" w:color="351B3D"/>
              <w:right w:val="single" w:sz="8" w:color="351B3D"/>
            </w:tcBorders>
            <w:shd w:val="clear" w:color="auto" w:fill="351B3D"/>
          </w:tcPr>
          <w:p>
            <w:pPr>
              <w:jc w:val="center"/>
              <w:spacing w:after="0"/>
              <w:rPr>
                <w:sz w:val="20"/>
                <w:szCs w:val="20"/>
                <w:color w:val="auto"/>
              </w:rPr>
            </w:pPr>
            <w:r>
              <w:rPr>
                <w:rFonts w:ascii="Arial" w:cs="Arial" w:eastAsia="Arial" w:hAnsi="Arial"/>
                <w:sz w:val="11"/>
                <w:szCs w:val="11"/>
                <w:color w:val="FFFFFF"/>
                <w:w w:val="96"/>
              </w:rPr>
              <w:t>BILLINGS</w:t>
            </w:r>
          </w:p>
        </w:tc>
        <w:tc>
          <w:tcPr>
            <w:tcW w:w="500" w:type="dxa"/>
            <w:vAlign w:val="bottom"/>
            <w:tcBorders>
              <w:bottom w:val="single" w:sz="8" w:color="351B3D"/>
              <w:right w:val="single" w:sz="8" w:color="351B3D"/>
            </w:tcBorders>
            <w:shd w:val="clear" w:color="auto" w:fill="351B3D"/>
          </w:tcPr>
          <w:p>
            <w:pPr>
              <w:ind w:left="40"/>
              <w:spacing w:after="0"/>
              <w:rPr>
                <w:sz w:val="20"/>
                <w:szCs w:val="20"/>
                <w:color w:val="auto"/>
              </w:rPr>
            </w:pPr>
            <w:r>
              <w:rPr>
                <w:rFonts w:ascii="Arial" w:cs="Arial" w:eastAsia="Arial" w:hAnsi="Arial"/>
                <w:sz w:val="11"/>
                <w:szCs w:val="11"/>
                <w:color w:val="FFFFFF"/>
              </w:rPr>
              <w:t>BYRNE</w:t>
            </w:r>
          </w:p>
        </w:tc>
        <w:tc>
          <w:tcPr>
            <w:tcW w:w="400" w:type="dxa"/>
            <w:vAlign w:val="bottom"/>
            <w:tcBorders>
              <w:bottom w:val="single" w:sz="8" w:color="351B3D"/>
              <w:right w:val="single" w:sz="8" w:color="351B3D"/>
            </w:tcBorders>
            <w:shd w:val="clear" w:color="auto" w:fill="351B3D"/>
          </w:tcPr>
          <w:p>
            <w:pPr>
              <w:ind w:left="100"/>
              <w:spacing w:after="0"/>
              <w:rPr>
                <w:sz w:val="20"/>
                <w:szCs w:val="20"/>
                <w:color w:val="auto"/>
              </w:rPr>
            </w:pPr>
            <w:r>
              <w:rPr>
                <w:rFonts w:ascii="Arial" w:cs="Arial" w:eastAsia="Arial" w:hAnsi="Arial"/>
                <w:sz w:val="11"/>
                <w:szCs w:val="11"/>
                <w:color w:val="FFFFFF"/>
              </w:rPr>
              <w:t>LIU</w:t>
            </w:r>
          </w:p>
        </w:tc>
        <w:tc>
          <w:tcPr>
            <w:tcW w:w="1900" w:type="dxa"/>
            <w:vAlign w:val="bottom"/>
            <w:tcBorders>
              <w:bottom w:val="single" w:sz="8" w:color="351B3D"/>
              <w:right w:val="single" w:sz="8" w:color="351B3D"/>
            </w:tcBorders>
            <w:gridSpan w:val="3"/>
            <w:shd w:val="clear" w:color="auto" w:fill="351B3D"/>
          </w:tcPr>
          <w:p>
            <w:pPr>
              <w:ind w:left="40"/>
              <w:spacing w:after="0"/>
              <w:rPr>
                <w:sz w:val="20"/>
                <w:szCs w:val="20"/>
                <w:color w:val="auto"/>
              </w:rPr>
            </w:pPr>
            <w:r>
              <w:rPr>
                <w:rFonts w:ascii="Arial" w:cs="Arial" w:eastAsia="Arial" w:hAnsi="Arial"/>
                <w:sz w:val="11"/>
                <w:szCs w:val="11"/>
                <w:color w:val="FFFFFF"/>
              </w:rPr>
              <w:t>  MULROY     SANFILIPPO   SATRE</w:t>
            </w:r>
          </w:p>
        </w:tc>
        <w:tc>
          <w:tcPr>
            <w:tcW w:w="500" w:type="dxa"/>
            <w:vAlign w:val="bottom"/>
            <w:tcBorders>
              <w:bottom w:val="single" w:sz="8" w:color="351B3D"/>
              <w:right w:val="single" w:sz="8" w:color="351B3D"/>
            </w:tcBorders>
            <w:shd w:val="clear" w:color="auto" w:fill="351B3D"/>
          </w:tcPr>
          <w:p>
            <w:pPr>
              <w:ind w:left="40"/>
              <w:spacing w:after="0"/>
              <w:rPr>
                <w:sz w:val="20"/>
                <w:szCs w:val="20"/>
                <w:color w:val="auto"/>
              </w:rPr>
            </w:pPr>
            <w:r>
              <w:rPr>
                <w:rFonts w:ascii="Arial" w:cs="Arial" w:eastAsia="Arial" w:hAnsi="Arial"/>
                <w:sz w:val="11"/>
                <w:szCs w:val="11"/>
                <w:color w:val="FFFFFF"/>
              </w:rPr>
              <w:t>STROM</w:t>
            </w:r>
          </w:p>
        </w:tc>
        <w:tc>
          <w:tcPr>
            <w:tcW w:w="460" w:type="dxa"/>
            <w:vAlign w:val="bottom"/>
            <w:tcBorders>
              <w:bottom w:val="single" w:sz="8" w:color="351B3D"/>
            </w:tcBorders>
            <w:shd w:val="clear" w:color="auto" w:fill="351B3D"/>
          </w:tcPr>
          <w:p>
            <w:pPr>
              <w:jc w:val="center"/>
              <w:spacing w:after="0"/>
              <w:rPr>
                <w:sz w:val="20"/>
                <w:szCs w:val="20"/>
                <w:color w:val="auto"/>
              </w:rPr>
            </w:pPr>
            <w:r>
              <w:rPr>
                <w:rFonts w:ascii="Arial" w:cs="Arial" w:eastAsia="Arial" w:hAnsi="Arial"/>
                <w:sz w:val="11"/>
                <w:szCs w:val="11"/>
                <w:color w:val="FFFFFF"/>
                <w:w w:val="98"/>
              </w:rPr>
              <w:t>WEBB</w:t>
            </w:r>
          </w:p>
        </w:tc>
        <w:tc>
          <w:tcPr>
            <w:tcW w:w="20" w:type="dxa"/>
            <w:vAlign w:val="bottom"/>
          </w:tcPr>
          <w:p>
            <w:pPr>
              <w:spacing w:after="0"/>
              <w:rPr>
                <w:sz w:val="19"/>
                <w:szCs w:val="19"/>
                <w:color w:val="auto"/>
              </w:rPr>
            </w:pPr>
          </w:p>
        </w:tc>
      </w:tr>
      <w:tr>
        <w:trPr>
          <w:trHeight w:val="285"/>
        </w:trPr>
        <w:tc>
          <w:tcPr>
            <w:tcW w:w="6020" w:type="dxa"/>
            <w:vAlign w:val="bottom"/>
            <w:tcBorders>
              <w:left w:val="single" w:sz="8" w:color="D6D1D8"/>
              <w:right w:val="single" w:sz="8" w:color="D6D1D8"/>
            </w:tcBorders>
            <w:shd w:val="clear" w:color="auto" w:fill="D6D1D8"/>
          </w:tcPr>
          <w:p>
            <w:pPr>
              <w:ind w:left="80"/>
              <w:spacing w:after="0"/>
              <w:rPr>
                <w:sz w:val="20"/>
                <w:szCs w:val="20"/>
                <w:color w:val="auto"/>
              </w:rPr>
            </w:pPr>
            <w:r>
              <w:rPr>
                <w:rFonts w:ascii="Arial" w:cs="Arial" w:eastAsia="Arial" w:hAnsi="Arial"/>
                <w:sz w:val="14"/>
                <w:szCs w:val="14"/>
                <w:color w:val="auto"/>
              </w:rPr>
              <w:t>GAMING OR OTHER REGULATED INDUSTRY</w:t>
            </w:r>
          </w:p>
        </w:tc>
        <w:tc>
          <w:tcPr>
            <w:tcW w:w="480" w:type="dxa"/>
            <w:vAlign w:val="bottom"/>
            <w:tcBorders>
              <w:right w:val="single" w:sz="8" w:color="D6D1D8"/>
            </w:tcBorders>
            <w:shd w:val="clear" w:color="auto" w:fill="D6D1D8"/>
          </w:tcPr>
          <w:p>
            <w:pPr>
              <w:ind w:left="180"/>
              <w:spacing w:after="0"/>
              <w:rPr>
                <w:sz w:val="20"/>
                <w:szCs w:val="20"/>
                <w:color w:val="auto"/>
              </w:rPr>
            </w:pPr>
            <w:r>
              <w:rPr>
                <w:rFonts w:ascii="Arial" w:cs="Arial" w:eastAsia="Arial" w:hAnsi="Arial"/>
                <w:sz w:val="14"/>
                <w:szCs w:val="14"/>
                <w:color w:val="auto"/>
              </w:rPr>
              <w:t>X </w:t>
            </w:r>
          </w:p>
        </w:tc>
        <w:tc>
          <w:tcPr>
            <w:tcW w:w="660" w:type="dxa"/>
            <w:vAlign w:val="bottom"/>
            <w:tcBorders>
              <w:right w:val="single" w:sz="8" w:color="D6D1D8"/>
            </w:tcBorders>
            <w:shd w:val="clear" w:color="auto" w:fill="D6D1D8"/>
          </w:tcPr>
          <w:p>
            <w:pPr>
              <w:jc w:val="center"/>
              <w:spacing w:after="0"/>
              <w:rPr>
                <w:sz w:val="20"/>
                <w:szCs w:val="20"/>
                <w:color w:val="auto"/>
              </w:rPr>
            </w:pPr>
            <w:r>
              <w:rPr>
                <w:rFonts w:ascii="Arial" w:cs="Arial" w:eastAsia="Arial" w:hAnsi="Arial"/>
                <w:sz w:val="14"/>
                <w:szCs w:val="14"/>
                <w:color w:val="auto"/>
                <w:w w:val="73"/>
              </w:rPr>
              <w:t>X </w:t>
            </w:r>
          </w:p>
        </w:tc>
        <w:tc>
          <w:tcPr>
            <w:tcW w:w="500" w:type="dxa"/>
            <w:vAlign w:val="bottom"/>
            <w:tcBorders>
              <w:right w:val="single" w:sz="8" w:color="D6D1D8"/>
            </w:tcBorders>
            <w:shd w:val="clear" w:color="auto" w:fill="D6D1D8"/>
          </w:tcPr>
          <w:p>
            <w:pPr>
              <w:ind w:left="200"/>
              <w:spacing w:after="0"/>
              <w:rPr>
                <w:sz w:val="20"/>
                <w:szCs w:val="20"/>
                <w:color w:val="auto"/>
              </w:rPr>
            </w:pPr>
            <w:r>
              <w:rPr>
                <w:rFonts w:ascii="Arial" w:cs="Arial" w:eastAsia="Arial" w:hAnsi="Arial"/>
                <w:sz w:val="14"/>
                <w:szCs w:val="14"/>
                <w:color w:val="auto"/>
              </w:rPr>
              <w:t>X </w:t>
            </w:r>
          </w:p>
        </w:tc>
        <w:tc>
          <w:tcPr>
            <w:tcW w:w="400" w:type="dxa"/>
            <w:vAlign w:val="bottom"/>
            <w:tcBorders>
              <w:right w:val="single" w:sz="8" w:color="D6D1D8"/>
            </w:tcBorders>
            <w:shd w:val="clear" w:color="auto" w:fill="D6D1D8"/>
          </w:tcPr>
          <w:p>
            <w:pPr>
              <w:spacing w:after="0"/>
              <w:rPr>
                <w:sz w:val="24"/>
                <w:szCs w:val="24"/>
                <w:color w:val="auto"/>
              </w:rPr>
            </w:pPr>
          </w:p>
        </w:tc>
        <w:tc>
          <w:tcPr>
            <w:tcW w:w="660" w:type="dxa"/>
            <w:vAlign w:val="bottom"/>
            <w:tcBorders>
              <w:right w:val="single" w:sz="8" w:color="D6D1D8"/>
            </w:tcBorders>
            <w:shd w:val="clear" w:color="auto" w:fill="D6D1D8"/>
          </w:tcPr>
          <w:p>
            <w:pPr>
              <w:ind w:left="260"/>
              <w:spacing w:after="0"/>
              <w:rPr>
                <w:sz w:val="20"/>
                <w:szCs w:val="20"/>
                <w:color w:val="auto"/>
              </w:rPr>
            </w:pPr>
            <w:r>
              <w:rPr>
                <w:rFonts w:ascii="Arial" w:cs="Arial" w:eastAsia="Arial" w:hAnsi="Arial"/>
                <w:sz w:val="14"/>
                <w:szCs w:val="14"/>
                <w:color w:val="auto"/>
              </w:rPr>
              <w:t>X </w:t>
            </w:r>
          </w:p>
        </w:tc>
        <w:tc>
          <w:tcPr>
            <w:tcW w:w="740" w:type="dxa"/>
            <w:vAlign w:val="bottom"/>
            <w:tcBorders>
              <w:right w:val="single" w:sz="8" w:color="D6D1D8"/>
            </w:tcBorders>
            <w:shd w:val="clear" w:color="auto" w:fill="D6D1D8"/>
          </w:tcPr>
          <w:p>
            <w:pPr>
              <w:ind w:left="300"/>
              <w:spacing w:after="0"/>
              <w:rPr>
                <w:sz w:val="20"/>
                <w:szCs w:val="20"/>
                <w:color w:val="auto"/>
              </w:rPr>
            </w:pPr>
            <w:r>
              <w:rPr>
                <w:rFonts w:ascii="Arial" w:cs="Arial" w:eastAsia="Arial" w:hAnsi="Arial"/>
                <w:sz w:val="14"/>
                <w:szCs w:val="14"/>
                <w:color w:val="auto"/>
              </w:rPr>
              <w:t>X </w:t>
            </w:r>
          </w:p>
        </w:tc>
        <w:tc>
          <w:tcPr>
            <w:tcW w:w="500" w:type="dxa"/>
            <w:vAlign w:val="bottom"/>
            <w:tcBorders>
              <w:right w:val="single" w:sz="8" w:color="D6D1D8"/>
            </w:tcBorders>
            <w:shd w:val="clear" w:color="auto" w:fill="D6D1D8"/>
          </w:tcPr>
          <w:p>
            <w:pPr>
              <w:ind w:left="200"/>
              <w:spacing w:after="0"/>
              <w:rPr>
                <w:sz w:val="20"/>
                <w:szCs w:val="20"/>
                <w:color w:val="auto"/>
              </w:rPr>
            </w:pPr>
            <w:r>
              <w:rPr>
                <w:rFonts w:ascii="Arial" w:cs="Arial" w:eastAsia="Arial" w:hAnsi="Arial"/>
                <w:sz w:val="14"/>
                <w:szCs w:val="14"/>
                <w:color w:val="auto"/>
              </w:rPr>
              <w:t>X</w:t>
            </w:r>
          </w:p>
        </w:tc>
        <w:tc>
          <w:tcPr>
            <w:tcW w:w="500" w:type="dxa"/>
            <w:vAlign w:val="bottom"/>
            <w:tcBorders>
              <w:right w:val="single" w:sz="8" w:color="D6D1D8"/>
            </w:tcBorders>
            <w:shd w:val="clear" w:color="auto" w:fill="D6D1D8"/>
          </w:tcPr>
          <w:p>
            <w:pPr>
              <w:spacing w:after="0"/>
              <w:rPr>
                <w:sz w:val="24"/>
                <w:szCs w:val="24"/>
                <w:color w:val="auto"/>
              </w:rPr>
            </w:pPr>
          </w:p>
        </w:tc>
        <w:tc>
          <w:tcPr>
            <w:tcW w:w="460" w:type="dxa"/>
            <w:vAlign w:val="bottom"/>
            <w:shd w:val="clear" w:color="auto" w:fill="D6D1D8"/>
          </w:tcPr>
          <w:p>
            <w:pPr>
              <w:spacing w:after="0"/>
              <w:rPr>
                <w:sz w:val="24"/>
                <w:szCs w:val="24"/>
                <w:color w:val="auto"/>
              </w:rPr>
            </w:pPr>
          </w:p>
        </w:tc>
        <w:tc>
          <w:tcPr>
            <w:tcW w:w="20" w:type="dxa"/>
            <w:vAlign w:val="bottom"/>
          </w:tcPr>
          <w:p>
            <w:pPr>
              <w:spacing w:after="0"/>
              <w:rPr>
                <w:sz w:val="24"/>
                <w:szCs w:val="24"/>
                <w:color w:val="auto"/>
              </w:rPr>
            </w:pPr>
          </w:p>
        </w:tc>
      </w:tr>
      <w:tr>
        <w:trPr>
          <w:trHeight w:val="160"/>
        </w:trPr>
        <w:tc>
          <w:tcPr>
            <w:tcW w:w="6020" w:type="dxa"/>
            <w:vAlign w:val="bottom"/>
            <w:tcBorders>
              <w:left w:val="single" w:sz="8" w:color="D6D1D8"/>
              <w:right w:val="single" w:sz="8" w:color="D6D1D8"/>
            </w:tcBorders>
            <w:shd w:val="clear" w:color="auto" w:fill="D6D1D8"/>
          </w:tcPr>
          <w:p>
            <w:pPr>
              <w:ind w:left="80"/>
              <w:spacing w:after="0"/>
              <w:rPr>
                <w:sz w:val="20"/>
                <w:szCs w:val="20"/>
                <w:color w:val="auto"/>
              </w:rPr>
            </w:pPr>
            <w:r>
              <w:rPr>
                <w:rFonts w:ascii="Arial" w:cs="Arial" w:eastAsia="Arial" w:hAnsi="Arial"/>
                <w:sz w:val="14"/>
                <w:szCs w:val="14"/>
                <w:color w:val="auto"/>
              </w:rPr>
              <w:t>Government, regulatory and public policy experience enhances the Board’s risk oversight of</w:t>
            </w:r>
          </w:p>
        </w:tc>
        <w:tc>
          <w:tcPr>
            <w:tcW w:w="480" w:type="dxa"/>
            <w:vAlign w:val="bottom"/>
            <w:tcBorders>
              <w:right w:val="single" w:sz="8" w:color="D6D1D8"/>
            </w:tcBorders>
            <w:shd w:val="clear" w:color="auto" w:fill="D6D1D8"/>
          </w:tcPr>
          <w:p>
            <w:pPr>
              <w:spacing w:after="0"/>
              <w:rPr>
                <w:sz w:val="13"/>
                <w:szCs w:val="13"/>
                <w:color w:val="auto"/>
              </w:rPr>
            </w:pPr>
          </w:p>
        </w:tc>
        <w:tc>
          <w:tcPr>
            <w:tcW w:w="660" w:type="dxa"/>
            <w:vAlign w:val="bottom"/>
            <w:tcBorders>
              <w:right w:val="single" w:sz="8" w:color="D6D1D8"/>
            </w:tcBorders>
            <w:shd w:val="clear" w:color="auto" w:fill="D6D1D8"/>
          </w:tcPr>
          <w:p>
            <w:pPr>
              <w:spacing w:after="0"/>
              <w:rPr>
                <w:sz w:val="13"/>
                <w:szCs w:val="13"/>
                <w:color w:val="auto"/>
              </w:rPr>
            </w:pPr>
          </w:p>
        </w:tc>
        <w:tc>
          <w:tcPr>
            <w:tcW w:w="500" w:type="dxa"/>
            <w:vAlign w:val="bottom"/>
            <w:tcBorders>
              <w:right w:val="single" w:sz="8" w:color="D6D1D8"/>
            </w:tcBorders>
            <w:shd w:val="clear" w:color="auto" w:fill="D6D1D8"/>
          </w:tcPr>
          <w:p>
            <w:pPr>
              <w:spacing w:after="0"/>
              <w:rPr>
                <w:sz w:val="13"/>
                <w:szCs w:val="13"/>
                <w:color w:val="auto"/>
              </w:rPr>
            </w:pPr>
          </w:p>
        </w:tc>
        <w:tc>
          <w:tcPr>
            <w:tcW w:w="400" w:type="dxa"/>
            <w:vAlign w:val="bottom"/>
            <w:tcBorders>
              <w:right w:val="single" w:sz="8" w:color="D6D1D8"/>
            </w:tcBorders>
            <w:shd w:val="clear" w:color="auto" w:fill="D6D1D8"/>
          </w:tcPr>
          <w:p>
            <w:pPr>
              <w:spacing w:after="0"/>
              <w:rPr>
                <w:sz w:val="13"/>
                <w:szCs w:val="13"/>
                <w:color w:val="auto"/>
              </w:rPr>
            </w:pPr>
          </w:p>
        </w:tc>
        <w:tc>
          <w:tcPr>
            <w:tcW w:w="660" w:type="dxa"/>
            <w:vAlign w:val="bottom"/>
            <w:tcBorders>
              <w:right w:val="single" w:sz="8" w:color="D6D1D8"/>
            </w:tcBorders>
            <w:shd w:val="clear" w:color="auto" w:fill="D6D1D8"/>
          </w:tcPr>
          <w:p>
            <w:pPr>
              <w:spacing w:after="0"/>
              <w:rPr>
                <w:sz w:val="13"/>
                <w:szCs w:val="13"/>
                <w:color w:val="auto"/>
              </w:rPr>
            </w:pPr>
          </w:p>
        </w:tc>
        <w:tc>
          <w:tcPr>
            <w:tcW w:w="740" w:type="dxa"/>
            <w:vAlign w:val="bottom"/>
            <w:tcBorders>
              <w:right w:val="single" w:sz="8" w:color="D6D1D8"/>
            </w:tcBorders>
            <w:shd w:val="clear" w:color="auto" w:fill="D6D1D8"/>
          </w:tcPr>
          <w:p>
            <w:pPr>
              <w:spacing w:after="0"/>
              <w:rPr>
                <w:sz w:val="13"/>
                <w:szCs w:val="13"/>
                <w:color w:val="auto"/>
              </w:rPr>
            </w:pPr>
          </w:p>
        </w:tc>
        <w:tc>
          <w:tcPr>
            <w:tcW w:w="500" w:type="dxa"/>
            <w:vAlign w:val="bottom"/>
            <w:tcBorders>
              <w:right w:val="single" w:sz="8" w:color="D6D1D8"/>
            </w:tcBorders>
            <w:shd w:val="clear" w:color="auto" w:fill="D6D1D8"/>
          </w:tcPr>
          <w:p>
            <w:pPr>
              <w:spacing w:after="0"/>
              <w:rPr>
                <w:sz w:val="13"/>
                <w:szCs w:val="13"/>
                <w:color w:val="auto"/>
              </w:rPr>
            </w:pPr>
          </w:p>
        </w:tc>
        <w:tc>
          <w:tcPr>
            <w:tcW w:w="500" w:type="dxa"/>
            <w:vAlign w:val="bottom"/>
            <w:tcBorders>
              <w:right w:val="single" w:sz="8" w:color="D6D1D8"/>
            </w:tcBorders>
            <w:shd w:val="clear" w:color="auto" w:fill="D6D1D8"/>
          </w:tcPr>
          <w:p>
            <w:pPr>
              <w:spacing w:after="0"/>
              <w:rPr>
                <w:sz w:val="13"/>
                <w:szCs w:val="13"/>
                <w:color w:val="auto"/>
              </w:rPr>
            </w:pPr>
          </w:p>
        </w:tc>
        <w:tc>
          <w:tcPr>
            <w:tcW w:w="460" w:type="dxa"/>
            <w:vAlign w:val="bottom"/>
            <w:shd w:val="clear" w:color="auto" w:fill="D6D1D8"/>
          </w:tcPr>
          <w:p>
            <w:pPr>
              <w:spacing w:after="0"/>
              <w:rPr>
                <w:sz w:val="13"/>
                <w:szCs w:val="13"/>
                <w:color w:val="auto"/>
              </w:rPr>
            </w:pPr>
          </w:p>
        </w:tc>
        <w:tc>
          <w:tcPr>
            <w:tcW w:w="20" w:type="dxa"/>
            <w:vAlign w:val="bottom"/>
          </w:tcPr>
          <w:p>
            <w:pPr>
              <w:spacing w:after="0"/>
              <w:rPr>
                <w:sz w:val="13"/>
                <w:szCs w:val="13"/>
                <w:color w:val="auto"/>
              </w:rPr>
            </w:pPr>
          </w:p>
        </w:tc>
      </w:tr>
      <w:tr>
        <w:trPr>
          <w:trHeight w:val="189"/>
        </w:trPr>
        <w:tc>
          <w:tcPr>
            <w:tcW w:w="6020" w:type="dxa"/>
            <w:vAlign w:val="bottom"/>
            <w:tcBorders>
              <w:left w:val="single" w:sz="8" w:color="D6D1D8"/>
              <w:right w:val="single" w:sz="8" w:color="D6D1D8"/>
            </w:tcBorders>
            <w:shd w:val="clear" w:color="auto" w:fill="D6D1D8"/>
          </w:tcPr>
          <w:p>
            <w:pPr>
              <w:ind w:left="80"/>
              <w:spacing w:after="0"/>
              <w:rPr>
                <w:sz w:val="20"/>
                <w:szCs w:val="20"/>
                <w:color w:val="auto"/>
              </w:rPr>
            </w:pPr>
            <w:r>
              <w:rPr>
                <w:rFonts w:ascii="Arial" w:cs="Arial" w:eastAsia="Arial" w:hAnsi="Arial"/>
                <w:sz w:val="14"/>
                <w:szCs w:val="14"/>
                <w:color w:val="auto"/>
              </w:rPr>
              <w:t>our business which operates within a highly regulated industry</w:t>
            </w:r>
          </w:p>
        </w:tc>
        <w:tc>
          <w:tcPr>
            <w:tcW w:w="480" w:type="dxa"/>
            <w:vAlign w:val="bottom"/>
            <w:tcBorders>
              <w:right w:val="single" w:sz="8" w:color="D6D1D8"/>
            </w:tcBorders>
            <w:shd w:val="clear" w:color="auto" w:fill="D6D1D8"/>
          </w:tcPr>
          <w:p>
            <w:pPr>
              <w:spacing w:after="0"/>
              <w:rPr>
                <w:sz w:val="16"/>
                <w:szCs w:val="16"/>
                <w:color w:val="auto"/>
              </w:rPr>
            </w:pPr>
          </w:p>
        </w:tc>
        <w:tc>
          <w:tcPr>
            <w:tcW w:w="660" w:type="dxa"/>
            <w:vAlign w:val="bottom"/>
            <w:tcBorders>
              <w:right w:val="single" w:sz="8" w:color="D6D1D8"/>
            </w:tcBorders>
            <w:shd w:val="clear" w:color="auto" w:fill="D6D1D8"/>
          </w:tcPr>
          <w:p>
            <w:pPr>
              <w:spacing w:after="0"/>
              <w:rPr>
                <w:sz w:val="16"/>
                <w:szCs w:val="16"/>
                <w:color w:val="auto"/>
              </w:rPr>
            </w:pPr>
          </w:p>
        </w:tc>
        <w:tc>
          <w:tcPr>
            <w:tcW w:w="500" w:type="dxa"/>
            <w:vAlign w:val="bottom"/>
            <w:tcBorders>
              <w:right w:val="single" w:sz="8" w:color="D6D1D8"/>
            </w:tcBorders>
            <w:shd w:val="clear" w:color="auto" w:fill="D6D1D8"/>
          </w:tcPr>
          <w:p>
            <w:pPr>
              <w:spacing w:after="0"/>
              <w:rPr>
                <w:sz w:val="16"/>
                <w:szCs w:val="16"/>
                <w:color w:val="auto"/>
              </w:rPr>
            </w:pPr>
          </w:p>
        </w:tc>
        <w:tc>
          <w:tcPr>
            <w:tcW w:w="400" w:type="dxa"/>
            <w:vAlign w:val="bottom"/>
            <w:tcBorders>
              <w:right w:val="single" w:sz="8" w:color="D6D1D8"/>
            </w:tcBorders>
            <w:shd w:val="clear" w:color="auto" w:fill="D6D1D8"/>
          </w:tcPr>
          <w:p>
            <w:pPr>
              <w:spacing w:after="0"/>
              <w:rPr>
                <w:sz w:val="16"/>
                <w:szCs w:val="16"/>
                <w:color w:val="auto"/>
              </w:rPr>
            </w:pPr>
          </w:p>
        </w:tc>
        <w:tc>
          <w:tcPr>
            <w:tcW w:w="660" w:type="dxa"/>
            <w:vAlign w:val="bottom"/>
            <w:tcBorders>
              <w:right w:val="single" w:sz="8" w:color="D6D1D8"/>
            </w:tcBorders>
            <w:shd w:val="clear" w:color="auto" w:fill="D6D1D8"/>
          </w:tcPr>
          <w:p>
            <w:pPr>
              <w:spacing w:after="0"/>
              <w:rPr>
                <w:sz w:val="16"/>
                <w:szCs w:val="16"/>
                <w:color w:val="auto"/>
              </w:rPr>
            </w:pPr>
          </w:p>
        </w:tc>
        <w:tc>
          <w:tcPr>
            <w:tcW w:w="740" w:type="dxa"/>
            <w:vAlign w:val="bottom"/>
            <w:tcBorders>
              <w:right w:val="single" w:sz="8" w:color="D6D1D8"/>
            </w:tcBorders>
            <w:shd w:val="clear" w:color="auto" w:fill="D6D1D8"/>
          </w:tcPr>
          <w:p>
            <w:pPr>
              <w:spacing w:after="0"/>
              <w:rPr>
                <w:sz w:val="16"/>
                <w:szCs w:val="16"/>
                <w:color w:val="auto"/>
              </w:rPr>
            </w:pPr>
          </w:p>
        </w:tc>
        <w:tc>
          <w:tcPr>
            <w:tcW w:w="500" w:type="dxa"/>
            <w:vAlign w:val="bottom"/>
            <w:tcBorders>
              <w:right w:val="single" w:sz="8" w:color="D6D1D8"/>
            </w:tcBorders>
            <w:shd w:val="clear" w:color="auto" w:fill="D6D1D8"/>
          </w:tcPr>
          <w:p>
            <w:pPr>
              <w:spacing w:after="0"/>
              <w:rPr>
                <w:sz w:val="16"/>
                <w:szCs w:val="16"/>
                <w:color w:val="auto"/>
              </w:rPr>
            </w:pPr>
          </w:p>
        </w:tc>
        <w:tc>
          <w:tcPr>
            <w:tcW w:w="500" w:type="dxa"/>
            <w:vAlign w:val="bottom"/>
            <w:tcBorders>
              <w:right w:val="single" w:sz="8" w:color="D6D1D8"/>
            </w:tcBorders>
            <w:shd w:val="clear" w:color="auto" w:fill="D6D1D8"/>
          </w:tcPr>
          <w:p>
            <w:pPr>
              <w:spacing w:after="0"/>
              <w:rPr>
                <w:sz w:val="16"/>
                <w:szCs w:val="16"/>
                <w:color w:val="auto"/>
              </w:rPr>
            </w:pPr>
          </w:p>
        </w:tc>
        <w:tc>
          <w:tcPr>
            <w:tcW w:w="460" w:type="dxa"/>
            <w:vAlign w:val="bottom"/>
            <w:shd w:val="clear" w:color="auto" w:fill="D6D1D8"/>
          </w:tcPr>
          <w:p>
            <w:pPr>
              <w:spacing w:after="0"/>
              <w:rPr>
                <w:sz w:val="16"/>
                <w:szCs w:val="16"/>
                <w:color w:val="auto"/>
              </w:rPr>
            </w:pPr>
          </w:p>
        </w:tc>
        <w:tc>
          <w:tcPr>
            <w:tcW w:w="20" w:type="dxa"/>
            <w:vAlign w:val="bottom"/>
          </w:tcPr>
          <w:p>
            <w:pPr>
              <w:spacing w:after="0"/>
              <w:rPr>
                <w:sz w:val="16"/>
                <w:szCs w:val="16"/>
                <w:color w:val="auto"/>
              </w:rPr>
            </w:pPr>
          </w:p>
        </w:tc>
      </w:tr>
      <w:tr>
        <w:trPr>
          <w:trHeight w:val="101"/>
        </w:trPr>
        <w:tc>
          <w:tcPr>
            <w:tcW w:w="6020" w:type="dxa"/>
            <w:vAlign w:val="bottom"/>
            <w:tcBorders>
              <w:left w:val="single" w:sz="8" w:color="D6D1D8"/>
              <w:right w:val="single" w:sz="8" w:color="D6D1D8"/>
            </w:tcBorders>
            <w:shd w:val="clear" w:color="auto" w:fill="D6D1D8"/>
          </w:tcPr>
          <w:p>
            <w:pPr>
              <w:spacing w:after="0"/>
              <w:rPr>
                <w:sz w:val="8"/>
                <w:szCs w:val="8"/>
                <w:color w:val="auto"/>
              </w:rPr>
            </w:pPr>
          </w:p>
        </w:tc>
        <w:tc>
          <w:tcPr>
            <w:tcW w:w="480" w:type="dxa"/>
            <w:vAlign w:val="bottom"/>
            <w:tcBorders>
              <w:right w:val="single" w:sz="8" w:color="D6D1D8"/>
            </w:tcBorders>
            <w:shd w:val="clear" w:color="auto" w:fill="D6D1D8"/>
          </w:tcPr>
          <w:p>
            <w:pPr>
              <w:spacing w:after="0"/>
              <w:rPr>
                <w:sz w:val="8"/>
                <w:szCs w:val="8"/>
                <w:color w:val="auto"/>
              </w:rPr>
            </w:pPr>
          </w:p>
        </w:tc>
        <w:tc>
          <w:tcPr>
            <w:tcW w:w="660" w:type="dxa"/>
            <w:vAlign w:val="bottom"/>
            <w:tcBorders>
              <w:right w:val="single" w:sz="8" w:color="D6D1D8"/>
            </w:tcBorders>
            <w:shd w:val="clear" w:color="auto" w:fill="D6D1D8"/>
          </w:tcPr>
          <w:p>
            <w:pPr>
              <w:spacing w:after="0"/>
              <w:rPr>
                <w:sz w:val="8"/>
                <w:szCs w:val="8"/>
                <w:color w:val="auto"/>
              </w:rPr>
            </w:pPr>
          </w:p>
        </w:tc>
        <w:tc>
          <w:tcPr>
            <w:tcW w:w="500" w:type="dxa"/>
            <w:vAlign w:val="bottom"/>
            <w:tcBorders>
              <w:right w:val="single" w:sz="8" w:color="D6D1D8"/>
            </w:tcBorders>
            <w:shd w:val="clear" w:color="auto" w:fill="D6D1D8"/>
          </w:tcPr>
          <w:p>
            <w:pPr>
              <w:spacing w:after="0"/>
              <w:rPr>
                <w:sz w:val="8"/>
                <w:szCs w:val="8"/>
                <w:color w:val="auto"/>
              </w:rPr>
            </w:pPr>
          </w:p>
        </w:tc>
        <w:tc>
          <w:tcPr>
            <w:tcW w:w="400" w:type="dxa"/>
            <w:vAlign w:val="bottom"/>
            <w:tcBorders>
              <w:right w:val="single" w:sz="8" w:color="D6D1D8"/>
            </w:tcBorders>
            <w:shd w:val="clear" w:color="auto" w:fill="D6D1D8"/>
          </w:tcPr>
          <w:p>
            <w:pPr>
              <w:spacing w:after="0"/>
              <w:rPr>
                <w:sz w:val="8"/>
                <w:szCs w:val="8"/>
                <w:color w:val="auto"/>
              </w:rPr>
            </w:pPr>
          </w:p>
        </w:tc>
        <w:tc>
          <w:tcPr>
            <w:tcW w:w="660" w:type="dxa"/>
            <w:vAlign w:val="bottom"/>
            <w:tcBorders>
              <w:right w:val="single" w:sz="8" w:color="D6D1D8"/>
            </w:tcBorders>
            <w:shd w:val="clear" w:color="auto" w:fill="D6D1D8"/>
          </w:tcPr>
          <w:p>
            <w:pPr>
              <w:spacing w:after="0"/>
              <w:rPr>
                <w:sz w:val="8"/>
                <w:szCs w:val="8"/>
                <w:color w:val="auto"/>
              </w:rPr>
            </w:pPr>
          </w:p>
        </w:tc>
        <w:tc>
          <w:tcPr>
            <w:tcW w:w="740" w:type="dxa"/>
            <w:vAlign w:val="bottom"/>
            <w:tcBorders>
              <w:right w:val="single" w:sz="8" w:color="D6D1D8"/>
            </w:tcBorders>
            <w:shd w:val="clear" w:color="auto" w:fill="D6D1D8"/>
          </w:tcPr>
          <w:p>
            <w:pPr>
              <w:spacing w:after="0"/>
              <w:rPr>
                <w:sz w:val="8"/>
                <w:szCs w:val="8"/>
                <w:color w:val="auto"/>
              </w:rPr>
            </w:pPr>
          </w:p>
        </w:tc>
        <w:tc>
          <w:tcPr>
            <w:tcW w:w="500" w:type="dxa"/>
            <w:vAlign w:val="bottom"/>
            <w:tcBorders>
              <w:right w:val="single" w:sz="8" w:color="D6D1D8"/>
            </w:tcBorders>
            <w:shd w:val="clear" w:color="auto" w:fill="D6D1D8"/>
          </w:tcPr>
          <w:p>
            <w:pPr>
              <w:spacing w:after="0"/>
              <w:rPr>
                <w:sz w:val="8"/>
                <w:szCs w:val="8"/>
                <w:color w:val="auto"/>
              </w:rPr>
            </w:pPr>
          </w:p>
        </w:tc>
        <w:tc>
          <w:tcPr>
            <w:tcW w:w="500" w:type="dxa"/>
            <w:vAlign w:val="bottom"/>
            <w:tcBorders>
              <w:right w:val="single" w:sz="8" w:color="D6D1D8"/>
            </w:tcBorders>
            <w:shd w:val="clear" w:color="auto" w:fill="D6D1D8"/>
          </w:tcPr>
          <w:p>
            <w:pPr>
              <w:spacing w:after="0"/>
              <w:rPr>
                <w:sz w:val="8"/>
                <w:szCs w:val="8"/>
                <w:color w:val="auto"/>
              </w:rPr>
            </w:pPr>
          </w:p>
        </w:tc>
        <w:tc>
          <w:tcPr>
            <w:tcW w:w="460" w:type="dxa"/>
            <w:vAlign w:val="bottom"/>
            <w:shd w:val="clear" w:color="auto" w:fill="D6D1D8"/>
          </w:tcPr>
          <w:p>
            <w:pPr>
              <w:spacing w:after="0"/>
              <w:rPr>
                <w:sz w:val="8"/>
                <w:szCs w:val="8"/>
                <w:color w:val="auto"/>
              </w:rPr>
            </w:pPr>
          </w:p>
        </w:tc>
        <w:tc>
          <w:tcPr>
            <w:tcW w:w="20" w:type="dxa"/>
            <w:vAlign w:val="bottom"/>
          </w:tcPr>
          <w:p>
            <w:pPr>
              <w:spacing w:after="0"/>
              <w:rPr>
                <w:sz w:val="8"/>
                <w:szCs w:val="8"/>
                <w:color w:val="auto"/>
              </w:rPr>
            </w:pPr>
          </w:p>
        </w:tc>
      </w:tr>
      <w:tr>
        <w:trPr>
          <w:trHeight w:val="285"/>
        </w:trPr>
        <w:tc>
          <w:tcPr>
            <w:tcW w:w="6020" w:type="dxa"/>
            <w:vAlign w:val="bottom"/>
          </w:tcPr>
          <w:p>
            <w:pPr>
              <w:ind w:left="80"/>
              <w:spacing w:after="0"/>
              <w:rPr>
                <w:sz w:val="20"/>
                <w:szCs w:val="20"/>
                <w:color w:val="auto"/>
              </w:rPr>
            </w:pPr>
            <w:r>
              <w:rPr>
                <w:rFonts w:ascii="Arial" w:cs="Arial" w:eastAsia="Arial" w:hAnsi="Arial"/>
                <w:sz w:val="14"/>
                <w:szCs w:val="14"/>
                <w:color w:val="auto"/>
              </w:rPr>
              <w:t>TRAVEL, LEISURE, HOSPITALITY &amp; ENTERTAINMENT</w:t>
            </w:r>
          </w:p>
        </w:tc>
        <w:tc>
          <w:tcPr>
            <w:tcW w:w="480" w:type="dxa"/>
            <w:vAlign w:val="bottom"/>
          </w:tcPr>
          <w:p>
            <w:pPr>
              <w:ind w:left="180"/>
              <w:spacing w:after="0"/>
              <w:rPr>
                <w:sz w:val="20"/>
                <w:szCs w:val="20"/>
                <w:color w:val="auto"/>
              </w:rPr>
            </w:pPr>
            <w:r>
              <w:rPr>
                <w:rFonts w:ascii="Arial" w:cs="Arial" w:eastAsia="Arial" w:hAnsi="Arial"/>
                <w:sz w:val="14"/>
                <w:szCs w:val="14"/>
                <w:color w:val="auto"/>
              </w:rPr>
              <w:t>X </w:t>
            </w:r>
          </w:p>
        </w:tc>
        <w:tc>
          <w:tcPr>
            <w:tcW w:w="660" w:type="dxa"/>
            <w:vAlign w:val="bottom"/>
          </w:tcPr>
          <w:p>
            <w:pPr>
              <w:jc w:val="center"/>
              <w:spacing w:after="0"/>
              <w:rPr>
                <w:sz w:val="20"/>
                <w:szCs w:val="20"/>
                <w:color w:val="auto"/>
              </w:rPr>
            </w:pPr>
            <w:r>
              <w:rPr>
                <w:rFonts w:ascii="Arial" w:cs="Arial" w:eastAsia="Arial" w:hAnsi="Arial"/>
                <w:sz w:val="14"/>
                <w:szCs w:val="14"/>
                <w:color w:val="auto"/>
                <w:w w:val="73"/>
              </w:rPr>
              <w:t>X </w:t>
            </w:r>
          </w:p>
        </w:tc>
        <w:tc>
          <w:tcPr>
            <w:tcW w:w="500" w:type="dxa"/>
            <w:vAlign w:val="bottom"/>
          </w:tcPr>
          <w:p>
            <w:pPr>
              <w:spacing w:after="0"/>
              <w:rPr>
                <w:sz w:val="24"/>
                <w:szCs w:val="24"/>
                <w:color w:val="auto"/>
              </w:rPr>
            </w:pPr>
          </w:p>
        </w:tc>
        <w:tc>
          <w:tcPr>
            <w:tcW w:w="400" w:type="dxa"/>
            <w:vAlign w:val="bottom"/>
          </w:tcPr>
          <w:p>
            <w:pPr>
              <w:ind w:left="120"/>
              <w:spacing w:after="0"/>
              <w:rPr>
                <w:sz w:val="20"/>
                <w:szCs w:val="20"/>
                <w:color w:val="auto"/>
              </w:rPr>
            </w:pPr>
            <w:r>
              <w:rPr>
                <w:rFonts w:ascii="Arial" w:cs="Arial" w:eastAsia="Arial" w:hAnsi="Arial"/>
                <w:sz w:val="14"/>
                <w:szCs w:val="14"/>
                <w:color w:val="auto"/>
              </w:rPr>
              <w:t>X </w:t>
            </w:r>
          </w:p>
        </w:tc>
        <w:tc>
          <w:tcPr>
            <w:tcW w:w="66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4"/>
                <w:szCs w:val="14"/>
                <w:color w:val="auto"/>
              </w:rPr>
              <w:t>X </w:t>
            </w:r>
          </w:p>
        </w:tc>
        <w:tc>
          <w:tcPr>
            <w:tcW w:w="500" w:type="dxa"/>
            <w:vAlign w:val="bottom"/>
          </w:tcPr>
          <w:p>
            <w:pPr>
              <w:ind w:left="200"/>
              <w:spacing w:after="0"/>
              <w:rPr>
                <w:sz w:val="20"/>
                <w:szCs w:val="20"/>
                <w:color w:val="auto"/>
              </w:rPr>
            </w:pPr>
            <w:r>
              <w:rPr>
                <w:rFonts w:ascii="Arial" w:cs="Arial" w:eastAsia="Arial" w:hAnsi="Arial"/>
                <w:sz w:val="14"/>
                <w:szCs w:val="14"/>
                <w:color w:val="auto"/>
              </w:rPr>
              <w:t>X </w:t>
            </w:r>
          </w:p>
        </w:tc>
        <w:tc>
          <w:tcPr>
            <w:tcW w:w="500" w:type="dxa"/>
            <w:vAlign w:val="bottom"/>
          </w:tcPr>
          <w:p>
            <w:pPr>
              <w:ind w:left="180"/>
              <w:spacing w:after="0"/>
              <w:rPr>
                <w:sz w:val="20"/>
                <w:szCs w:val="20"/>
                <w:color w:val="auto"/>
              </w:rPr>
            </w:pPr>
            <w:r>
              <w:rPr>
                <w:rFonts w:ascii="Arial" w:cs="Arial" w:eastAsia="Arial" w:hAnsi="Arial"/>
                <w:sz w:val="14"/>
                <w:szCs w:val="14"/>
                <w:color w:val="auto"/>
              </w:rPr>
              <w:t>X </w:t>
            </w:r>
          </w:p>
        </w:tc>
        <w:tc>
          <w:tcPr>
            <w:tcW w:w="460" w:type="dxa"/>
            <w:vAlign w:val="bottom"/>
          </w:tcPr>
          <w:p>
            <w:pPr>
              <w:jc w:val="center"/>
              <w:spacing w:after="0"/>
              <w:rPr>
                <w:sz w:val="20"/>
                <w:szCs w:val="20"/>
                <w:color w:val="auto"/>
              </w:rPr>
            </w:pPr>
            <w:r>
              <w:rPr>
                <w:rFonts w:ascii="Arial" w:cs="Arial" w:eastAsia="Arial" w:hAnsi="Arial"/>
                <w:sz w:val="14"/>
                <w:szCs w:val="14"/>
                <w:color w:val="auto"/>
              </w:rPr>
              <w:t>X</w:t>
            </w:r>
          </w:p>
        </w:tc>
        <w:tc>
          <w:tcPr>
            <w:tcW w:w="20" w:type="dxa"/>
            <w:vAlign w:val="bottom"/>
          </w:tcPr>
          <w:p>
            <w:pPr>
              <w:spacing w:after="0"/>
              <w:rPr>
                <w:sz w:val="24"/>
                <w:szCs w:val="24"/>
                <w:color w:val="auto"/>
              </w:rPr>
            </w:pPr>
          </w:p>
        </w:tc>
      </w:tr>
      <w:tr>
        <w:trPr>
          <w:trHeight w:val="160"/>
        </w:trPr>
        <w:tc>
          <w:tcPr>
            <w:tcW w:w="6020" w:type="dxa"/>
            <w:vAlign w:val="bottom"/>
          </w:tcPr>
          <w:p>
            <w:pPr>
              <w:ind w:left="80"/>
              <w:spacing w:after="0"/>
              <w:rPr>
                <w:sz w:val="20"/>
                <w:szCs w:val="20"/>
                <w:color w:val="auto"/>
              </w:rPr>
            </w:pPr>
            <w:r>
              <w:rPr>
                <w:rFonts w:ascii="Arial" w:cs="Arial" w:eastAsia="Arial" w:hAnsi="Arial"/>
                <w:sz w:val="14"/>
                <w:szCs w:val="14"/>
                <w:color w:val="auto"/>
              </w:rPr>
              <w:t>Experience in a customer-centric industry is key to the Board’s ability to understand</w:t>
            </w: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9"/>
        </w:trPr>
        <w:tc>
          <w:tcPr>
            <w:tcW w:w="6020" w:type="dxa"/>
            <w:vAlign w:val="bottom"/>
          </w:tcPr>
          <w:p>
            <w:pPr>
              <w:ind w:left="80"/>
              <w:spacing w:after="0"/>
              <w:rPr>
                <w:sz w:val="20"/>
                <w:szCs w:val="20"/>
                <w:color w:val="auto"/>
              </w:rPr>
            </w:pPr>
            <w:r>
              <w:rPr>
                <w:rFonts w:ascii="Arial" w:cs="Arial" w:eastAsia="Arial" w:hAnsi="Arial"/>
                <w:sz w:val="14"/>
                <w:szCs w:val="14"/>
                <w:color w:val="auto"/>
              </w:rPr>
              <w:t>consumer needs and identify changes in consumer trends</w:t>
            </w: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01"/>
        </w:trPr>
        <w:tc>
          <w:tcPr>
            <w:tcW w:w="6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85"/>
        </w:trPr>
        <w:tc>
          <w:tcPr>
            <w:tcW w:w="6020" w:type="dxa"/>
            <w:vAlign w:val="bottom"/>
            <w:tcBorders>
              <w:left w:val="single" w:sz="8" w:color="D6D1D8"/>
              <w:right w:val="single" w:sz="8" w:color="D6D1D8"/>
            </w:tcBorders>
            <w:shd w:val="clear" w:color="auto" w:fill="D6D1D8"/>
          </w:tcPr>
          <w:p>
            <w:pPr>
              <w:ind w:left="80"/>
              <w:spacing w:after="0"/>
              <w:rPr>
                <w:sz w:val="20"/>
                <w:szCs w:val="20"/>
                <w:color w:val="auto"/>
              </w:rPr>
            </w:pPr>
            <w:r>
              <w:rPr>
                <w:rFonts w:ascii="Arial" w:cs="Arial" w:eastAsia="Arial" w:hAnsi="Arial"/>
                <w:sz w:val="14"/>
                <w:szCs w:val="14"/>
                <w:color w:val="auto"/>
              </w:rPr>
              <w:t>EXECUTIVE LEADERSHIP</w:t>
            </w:r>
          </w:p>
        </w:tc>
        <w:tc>
          <w:tcPr>
            <w:tcW w:w="480" w:type="dxa"/>
            <w:vAlign w:val="bottom"/>
            <w:tcBorders>
              <w:right w:val="single" w:sz="8" w:color="D6D1D8"/>
            </w:tcBorders>
            <w:shd w:val="clear" w:color="auto" w:fill="D6D1D8"/>
          </w:tcPr>
          <w:p>
            <w:pPr>
              <w:ind w:left="180"/>
              <w:spacing w:after="0"/>
              <w:rPr>
                <w:sz w:val="20"/>
                <w:szCs w:val="20"/>
                <w:color w:val="auto"/>
              </w:rPr>
            </w:pPr>
            <w:r>
              <w:rPr>
                <w:rFonts w:ascii="Arial" w:cs="Arial" w:eastAsia="Arial" w:hAnsi="Arial"/>
                <w:sz w:val="14"/>
                <w:szCs w:val="14"/>
                <w:color w:val="auto"/>
              </w:rPr>
              <w:t>X </w:t>
            </w:r>
          </w:p>
        </w:tc>
        <w:tc>
          <w:tcPr>
            <w:tcW w:w="660" w:type="dxa"/>
            <w:vAlign w:val="bottom"/>
            <w:tcBorders>
              <w:right w:val="single" w:sz="8" w:color="D6D1D8"/>
            </w:tcBorders>
            <w:shd w:val="clear" w:color="auto" w:fill="D6D1D8"/>
          </w:tcPr>
          <w:p>
            <w:pPr>
              <w:jc w:val="center"/>
              <w:spacing w:after="0"/>
              <w:rPr>
                <w:sz w:val="20"/>
                <w:szCs w:val="20"/>
                <w:color w:val="auto"/>
              </w:rPr>
            </w:pPr>
            <w:r>
              <w:rPr>
                <w:rFonts w:ascii="Arial" w:cs="Arial" w:eastAsia="Arial" w:hAnsi="Arial"/>
                <w:sz w:val="14"/>
                <w:szCs w:val="14"/>
                <w:color w:val="auto"/>
                <w:w w:val="73"/>
              </w:rPr>
              <w:t>X </w:t>
            </w:r>
          </w:p>
        </w:tc>
        <w:tc>
          <w:tcPr>
            <w:tcW w:w="500" w:type="dxa"/>
            <w:vAlign w:val="bottom"/>
            <w:tcBorders>
              <w:right w:val="single" w:sz="8" w:color="D6D1D8"/>
            </w:tcBorders>
            <w:shd w:val="clear" w:color="auto" w:fill="D6D1D8"/>
          </w:tcPr>
          <w:p>
            <w:pPr>
              <w:ind w:left="200"/>
              <w:spacing w:after="0"/>
              <w:rPr>
                <w:sz w:val="20"/>
                <w:szCs w:val="20"/>
                <w:color w:val="auto"/>
              </w:rPr>
            </w:pPr>
            <w:r>
              <w:rPr>
                <w:rFonts w:ascii="Arial" w:cs="Arial" w:eastAsia="Arial" w:hAnsi="Arial"/>
                <w:sz w:val="14"/>
                <w:szCs w:val="14"/>
                <w:color w:val="auto"/>
              </w:rPr>
              <w:t>X </w:t>
            </w:r>
          </w:p>
        </w:tc>
        <w:tc>
          <w:tcPr>
            <w:tcW w:w="400" w:type="dxa"/>
            <w:vAlign w:val="bottom"/>
            <w:tcBorders>
              <w:right w:val="single" w:sz="8" w:color="D6D1D8"/>
            </w:tcBorders>
            <w:shd w:val="clear" w:color="auto" w:fill="D6D1D8"/>
          </w:tcPr>
          <w:p>
            <w:pPr>
              <w:spacing w:after="0"/>
              <w:rPr>
                <w:sz w:val="24"/>
                <w:szCs w:val="24"/>
                <w:color w:val="auto"/>
              </w:rPr>
            </w:pPr>
          </w:p>
        </w:tc>
        <w:tc>
          <w:tcPr>
            <w:tcW w:w="660" w:type="dxa"/>
            <w:vAlign w:val="bottom"/>
            <w:tcBorders>
              <w:right w:val="single" w:sz="8" w:color="D6D1D8"/>
            </w:tcBorders>
            <w:shd w:val="clear" w:color="auto" w:fill="D6D1D8"/>
          </w:tcPr>
          <w:p>
            <w:pPr>
              <w:spacing w:after="0"/>
              <w:rPr>
                <w:sz w:val="24"/>
                <w:szCs w:val="24"/>
                <w:color w:val="auto"/>
              </w:rPr>
            </w:pPr>
          </w:p>
        </w:tc>
        <w:tc>
          <w:tcPr>
            <w:tcW w:w="740" w:type="dxa"/>
            <w:vAlign w:val="bottom"/>
            <w:tcBorders>
              <w:right w:val="single" w:sz="8" w:color="D6D1D8"/>
            </w:tcBorders>
            <w:shd w:val="clear" w:color="auto" w:fill="D6D1D8"/>
          </w:tcPr>
          <w:p>
            <w:pPr>
              <w:ind w:left="300"/>
              <w:spacing w:after="0"/>
              <w:rPr>
                <w:sz w:val="20"/>
                <w:szCs w:val="20"/>
                <w:color w:val="auto"/>
              </w:rPr>
            </w:pPr>
            <w:r>
              <w:rPr>
                <w:rFonts w:ascii="Arial" w:cs="Arial" w:eastAsia="Arial" w:hAnsi="Arial"/>
                <w:sz w:val="14"/>
                <w:szCs w:val="14"/>
                <w:color w:val="auto"/>
              </w:rPr>
              <w:t>X </w:t>
            </w:r>
          </w:p>
        </w:tc>
        <w:tc>
          <w:tcPr>
            <w:tcW w:w="500" w:type="dxa"/>
            <w:vAlign w:val="bottom"/>
            <w:tcBorders>
              <w:right w:val="single" w:sz="8" w:color="D6D1D8"/>
            </w:tcBorders>
            <w:shd w:val="clear" w:color="auto" w:fill="D6D1D8"/>
          </w:tcPr>
          <w:p>
            <w:pPr>
              <w:ind w:left="200"/>
              <w:spacing w:after="0"/>
              <w:rPr>
                <w:sz w:val="20"/>
                <w:szCs w:val="20"/>
                <w:color w:val="auto"/>
              </w:rPr>
            </w:pPr>
            <w:r>
              <w:rPr>
                <w:rFonts w:ascii="Arial" w:cs="Arial" w:eastAsia="Arial" w:hAnsi="Arial"/>
                <w:sz w:val="14"/>
                <w:szCs w:val="14"/>
                <w:color w:val="auto"/>
              </w:rPr>
              <w:t>X </w:t>
            </w:r>
          </w:p>
        </w:tc>
        <w:tc>
          <w:tcPr>
            <w:tcW w:w="500" w:type="dxa"/>
            <w:vAlign w:val="bottom"/>
            <w:tcBorders>
              <w:right w:val="single" w:sz="8" w:color="D6D1D8"/>
            </w:tcBorders>
            <w:shd w:val="clear" w:color="auto" w:fill="D6D1D8"/>
          </w:tcPr>
          <w:p>
            <w:pPr>
              <w:spacing w:after="0"/>
              <w:rPr>
                <w:sz w:val="24"/>
                <w:szCs w:val="24"/>
                <w:color w:val="auto"/>
              </w:rPr>
            </w:pPr>
          </w:p>
        </w:tc>
        <w:tc>
          <w:tcPr>
            <w:tcW w:w="46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X</w:t>
            </w:r>
          </w:p>
        </w:tc>
        <w:tc>
          <w:tcPr>
            <w:tcW w:w="20" w:type="dxa"/>
            <w:vAlign w:val="bottom"/>
          </w:tcPr>
          <w:p>
            <w:pPr>
              <w:spacing w:after="0"/>
              <w:rPr>
                <w:sz w:val="24"/>
                <w:szCs w:val="24"/>
                <w:color w:val="auto"/>
              </w:rPr>
            </w:pPr>
          </w:p>
        </w:tc>
      </w:tr>
      <w:tr>
        <w:trPr>
          <w:trHeight w:val="160"/>
        </w:trPr>
        <w:tc>
          <w:tcPr>
            <w:tcW w:w="6020" w:type="dxa"/>
            <w:vAlign w:val="bottom"/>
            <w:tcBorders>
              <w:left w:val="single" w:sz="8" w:color="D6D1D8"/>
              <w:right w:val="single" w:sz="8" w:color="D6D1D8"/>
            </w:tcBorders>
            <w:shd w:val="clear" w:color="auto" w:fill="D6D1D8"/>
          </w:tcPr>
          <w:p>
            <w:pPr>
              <w:ind w:left="80"/>
              <w:spacing w:after="0"/>
              <w:rPr>
                <w:sz w:val="20"/>
                <w:szCs w:val="20"/>
                <w:color w:val="auto"/>
              </w:rPr>
            </w:pPr>
            <w:r>
              <w:rPr>
                <w:rFonts w:ascii="Arial" w:cs="Arial" w:eastAsia="Arial" w:hAnsi="Arial"/>
                <w:sz w:val="14"/>
                <w:szCs w:val="14"/>
                <w:color w:val="auto"/>
              </w:rPr>
              <w:t>Experience as a public company executive empowers the Board’s oversight of our growth</w:t>
            </w:r>
          </w:p>
        </w:tc>
        <w:tc>
          <w:tcPr>
            <w:tcW w:w="480" w:type="dxa"/>
            <w:vAlign w:val="bottom"/>
            <w:tcBorders>
              <w:right w:val="single" w:sz="8" w:color="D6D1D8"/>
            </w:tcBorders>
            <w:shd w:val="clear" w:color="auto" w:fill="D6D1D8"/>
          </w:tcPr>
          <w:p>
            <w:pPr>
              <w:spacing w:after="0"/>
              <w:rPr>
                <w:sz w:val="13"/>
                <w:szCs w:val="13"/>
                <w:color w:val="auto"/>
              </w:rPr>
            </w:pPr>
          </w:p>
        </w:tc>
        <w:tc>
          <w:tcPr>
            <w:tcW w:w="660" w:type="dxa"/>
            <w:vAlign w:val="bottom"/>
            <w:tcBorders>
              <w:right w:val="single" w:sz="8" w:color="D6D1D8"/>
            </w:tcBorders>
            <w:shd w:val="clear" w:color="auto" w:fill="D6D1D8"/>
          </w:tcPr>
          <w:p>
            <w:pPr>
              <w:spacing w:after="0"/>
              <w:rPr>
                <w:sz w:val="13"/>
                <w:szCs w:val="13"/>
                <w:color w:val="auto"/>
              </w:rPr>
            </w:pPr>
          </w:p>
        </w:tc>
        <w:tc>
          <w:tcPr>
            <w:tcW w:w="500" w:type="dxa"/>
            <w:vAlign w:val="bottom"/>
            <w:tcBorders>
              <w:right w:val="single" w:sz="8" w:color="D6D1D8"/>
            </w:tcBorders>
            <w:shd w:val="clear" w:color="auto" w:fill="D6D1D8"/>
          </w:tcPr>
          <w:p>
            <w:pPr>
              <w:spacing w:after="0"/>
              <w:rPr>
                <w:sz w:val="13"/>
                <w:szCs w:val="13"/>
                <w:color w:val="auto"/>
              </w:rPr>
            </w:pPr>
          </w:p>
        </w:tc>
        <w:tc>
          <w:tcPr>
            <w:tcW w:w="400" w:type="dxa"/>
            <w:vAlign w:val="bottom"/>
            <w:tcBorders>
              <w:right w:val="single" w:sz="8" w:color="D6D1D8"/>
            </w:tcBorders>
            <w:shd w:val="clear" w:color="auto" w:fill="D6D1D8"/>
          </w:tcPr>
          <w:p>
            <w:pPr>
              <w:spacing w:after="0"/>
              <w:rPr>
                <w:sz w:val="13"/>
                <w:szCs w:val="13"/>
                <w:color w:val="auto"/>
              </w:rPr>
            </w:pPr>
          </w:p>
        </w:tc>
        <w:tc>
          <w:tcPr>
            <w:tcW w:w="660" w:type="dxa"/>
            <w:vAlign w:val="bottom"/>
            <w:tcBorders>
              <w:right w:val="single" w:sz="8" w:color="D6D1D8"/>
            </w:tcBorders>
            <w:shd w:val="clear" w:color="auto" w:fill="D6D1D8"/>
          </w:tcPr>
          <w:p>
            <w:pPr>
              <w:spacing w:after="0"/>
              <w:rPr>
                <w:sz w:val="13"/>
                <w:szCs w:val="13"/>
                <w:color w:val="auto"/>
              </w:rPr>
            </w:pPr>
          </w:p>
        </w:tc>
        <w:tc>
          <w:tcPr>
            <w:tcW w:w="740" w:type="dxa"/>
            <w:vAlign w:val="bottom"/>
            <w:tcBorders>
              <w:right w:val="single" w:sz="8" w:color="D6D1D8"/>
            </w:tcBorders>
            <w:shd w:val="clear" w:color="auto" w:fill="D6D1D8"/>
          </w:tcPr>
          <w:p>
            <w:pPr>
              <w:spacing w:after="0"/>
              <w:rPr>
                <w:sz w:val="13"/>
                <w:szCs w:val="13"/>
                <w:color w:val="auto"/>
              </w:rPr>
            </w:pPr>
          </w:p>
        </w:tc>
        <w:tc>
          <w:tcPr>
            <w:tcW w:w="500" w:type="dxa"/>
            <w:vAlign w:val="bottom"/>
            <w:tcBorders>
              <w:right w:val="single" w:sz="8" w:color="D6D1D8"/>
            </w:tcBorders>
            <w:shd w:val="clear" w:color="auto" w:fill="D6D1D8"/>
          </w:tcPr>
          <w:p>
            <w:pPr>
              <w:spacing w:after="0"/>
              <w:rPr>
                <w:sz w:val="13"/>
                <w:szCs w:val="13"/>
                <w:color w:val="auto"/>
              </w:rPr>
            </w:pPr>
          </w:p>
        </w:tc>
        <w:tc>
          <w:tcPr>
            <w:tcW w:w="500" w:type="dxa"/>
            <w:vAlign w:val="bottom"/>
            <w:tcBorders>
              <w:right w:val="single" w:sz="8" w:color="D6D1D8"/>
            </w:tcBorders>
            <w:shd w:val="clear" w:color="auto" w:fill="D6D1D8"/>
          </w:tcPr>
          <w:p>
            <w:pPr>
              <w:spacing w:after="0"/>
              <w:rPr>
                <w:sz w:val="13"/>
                <w:szCs w:val="13"/>
                <w:color w:val="auto"/>
              </w:rPr>
            </w:pPr>
          </w:p>
        </w:tc>
        <w:tc>
          <w:tcPr>
            <w:tcW w:w="460" w:type="dxa"/>
            <w:vAlign w:val="bottom"/>
            <w:shd w:val="clear" w:color="auto" w:fill="D6D1D8"/>
          </w:tcPr>
          <w:p>
            <w:pPr>
              <w:spacing w:after="0"/>
              <w:rPr>
                <w:sz w:val="13"/>
                <w:szCs w:val="13"/>
                <w:color w:val="auto"/>
              </w:rPr>
            </w:pPr>
          </w:p>
        </w:tc>
        <w:tc>
          <w:tcPr>
            <w:tcW w:w="20" w:type="dxa"/>
            <w:vAlign w:val="bottom"/>
          </w:tcPr>
          <w:p>
            <w:pPr>
              <w:spacing w:after="0"/>
              <w:rPr>
                <w:sz w:val="13"/>
                <w:szCs w:val="13"/>
                <w:color w:val="auto"/>
              </w:rPr>
            </w:pPr>
          </w:p>
        </w:tc>
      </w:tr>
      <w:tr>
        <w:trPr>
          <w:trHeight w:val="189"/>
        </w:trPr>
        <w:tc>
          <w:tcPr>
            <w:tcW w:w="6020" w:type="dxa"/>
            <w:vAlign w:val="bottom"/>
            <w:tcBorders>
              <w:left w:val="single" w:sz="8" w:color="D6D1D8"/>
              <w:right w:val="single" w:sz="8" w:color="D6D1D8"/>
            </w:tcBorders>
            <w:shd w:val="clear" w:color="auto" w:fill="D6D1D8"/>
          </w:tcPr>
          <w:p>
            <w:pPr>
              <w:ind w:left="80"/>
              <w:spacing w:after="0"/>
              <w:rPr>
                <w:sz w:val="20"/>
                <w:szCs w:val="20"/>
                <w:color w:val="auto"/>
              </w:rPr>
            </w:pPr>
            <w:r>
              <w:rPr>
                <w:rFonts w:ascii="Arial" w:cs="Arial" w:eastAsia="Arial" w:hAnsi="Arial"/>
                <w:sz w:val="14"/>
                <w:szCs w:val="14"/>
                <w:color w:val="auto"/>
              </w:rPr>
              <w:t>strategies and operating plans</w:t>
            </w:r>
          </w:p>
        </w:tc>
        <w:tc>
          <w:tcPr>
            <w:tcW w:w="480" w:type="dxa"/>
            <w:vAlign w:val="bottom"/>
            <w:tcBorders>
              <w:right w:val="single" w:sz="8" w:color="D6D1D8"/>
            </w:tcBorders>
            <w:shd w:val="clear" w:color="auto" w:fill="D6D1D8"/>
          </w:tcPr>
          <w:p>
            <w:pPr>
              <w:spacing w:after="0"/>
              <w:rPr>
                <w:sz w:val="16"/>
                <w:szCs w:val="16"/>
                <w:color w:val="auto"/>
              </w:rPr>
            </w:pPr>
          </w:p>
        </w:tc>
        <w:tc>
          <w:tcPr>
            <w:tcW w:w="660" w:type="dxa"/>
            <w:vAlign w:val="bottom"/>
            <w:tcBorders>
              <w:right w:val="single" w:sz="8" w:color="D6D1D8"/>
            </w:tcBorders>
            <w:shd w:val="clear" w:color="auto" w:fill="D6D1D8"/>
          </w:tcPr>
          <w:p>
            <w:pPr>
              <w:spacing w:after="0"/>
              <w:rPr>
                <w:sz w:val="16"/>
                <w:szCs w:val="16"/>
                <w:color w:val="auto"/>
              </w:rPr>
            </w:pPr>
          </w:p>
        </w:tc>
        <w:tc>
          <w:tcPr>
            <w:tcW w:w="500" w:type="dxa"/>
            <w:vAlign w:val="bottom"/>
            <w:tcBorders>
              <w:right w:val="single" w:sz="8" w:color="D6D1D8"/>
            </w:tcBorders>
            <w:shd w:val="clear" w:color="auto" w:fill="D6D1D8"/>
          </w:tcPr>
          <w:p>
            <w:pPr>
              <w:spacing w:after="0"/>
              <w:rPr>
                <w:sz w:val="16"/>
                <w:szCs w:val="16"/>
                <w:color w:val="auto"/>
              </w:rPr>
            </w:pPr>
          </w:p>
        </w:tc>
        <w:tc>
          <w:tcPr>
            <w:tcW w:w="400" w:type="dxa"/>
            <w:vAlign w:val="bottom"/>
            <w:tcBorders>
              <w:right w:val="single" w:sz="8" w:color="D6D1D8"/>
            </w:tcBorders>
            <w:shd w:val="clear" w:color="auto" w:fill="D6D1D8"/>
          </w:tcPr>
          <w:p>
            <w:pPr>
              <w:spacing w:after="0"/>
              <w:rPr>
                <w:sz w:val="16"/>
                <w:szCs w:val="16"/>
                <w:color w:val="auto"/>
              </w:rPr>
            </w:pPr>
          </w:p>
        </w:tc>
        <w:tc>
          <w:tcPr>
            <w:tcW w:w="660" w:type="dxa"/>
            <w:vAlign w:val="bottom"/>
            <w:tcBorders>
              <w:right w:val="single" w:sz="8" w:color="D6D1D8"/>
            </w:tcBorders>
            <w:shd w:val="clear" w:color="auto" w:fill="D6D1D8"/>
          </w:tcPr>
          <w:p>
            <w:pPr>
              <w:spacing w:after="0"/>
              <w:rPr>
                <w:sz w:val="16"/>
                <w:szCs w:val="16"/>
                <w:color w:val="auto"/>
              </w:rPr>
            </w:pPr>
          </w:p>
        </w:tc>
        <w:tc>
          <w:tcPr>
            <w:tcW w:w="740" w:type="dxa"/>
            <w:vAlign w:val="bottom"/>
            <w:tcBorders>
              <w:right w:val="single" w:sz="8" w:color="D6D1D8"/>
            </w:tcBorders>
            <w:shd w:val="clear" w:color="auto" w:fill="D6D1D8"/>
          </w:tcPr>
          <w:p>
            <w:pPr>
              <w:spacing w:after="0"/>
              <w:rPr>
                <w:sz w:val="16"/>
                <w:szCs w:val="16"/>
                <w:color w:val="auto"/>
              </w:rPr>
            </w:pPr>
          </w:p>
        </w:tc>
        <w:tc>
          <w:tcPr>
            <w:tcW w:w="500" w:type="dxa"/>
            <w:vAlign w:val="bottom"/>
            <w:tcBorders>
              <w:right w:val="single" w:sz="8" w:color="D6D1D8"/>
            </w:tcBorders>
            <w:shd w:val="clear" w:color="auto" w:fill="D6D1D8"/>
          </w:tcPr>
          <w:p>
            <w:pPr>
              <w:spacing w:after="0"/>
              <w:rPr>
                <w:sz w:val="16"/>
                <w:szCs w:val="16"/>
                <w:color w:val="auto"/>
              </w:rPr>
            </w:pPr>
          </w:p>
        </w:tc>
        <w:tc>
          <w:tcPr>
            <w:tcW w:w="500" w:type="dxa"/>
            <w:vAlign w:val="bottom"/>
            <w:tcBorders>
              <w:right w:val="single" w:sz="8" w:color="D6D1D8"/>
            </w:tcBorders>
            <w:shd w:val="clear" w:color="auto" w:fill="D6D1D8"/>
          </w:tcPr>
          <w:p>
            <w:pPr>
              <w:spacing w:after="0"/>
              <w:rPr>
                <w:sz w:val="16"/>
                <w:szCs w:val="16"/>
                <w:color w:val="auto"/>
              </w:rPr>
            </w:pPr>
          </w:p>
        </w:tc>
        <w:tc>
          <w:tcPr>
            <w:tcW w:w="460" w:type="dxa"/>
            <w:vAlign w:val="bottom"/>
            <w:shd w:val="clear" w:color="auto" w:fill="D6D1D8"/>
          </w:tcPr>
          <w:p>
            <w:pPr>
              <w:spacing w:after="0"/>
              <w:rPr>
                <w:sz w:val="16"/>
                <w:szCs w:val="16"/>
                <w:color w:val="auto"/>
              </w:rPr>
            </w:pPr>
          </w:p>
        </w:tc>
        <w:tc>
          <w:tcPr>
            <w:tcW w:w="20" w:type="dxa"/>
            <w:vAlign w:val="bottom"/>
          </w:tcPr>
          <w:p>
            <w:pPr>
              <w:spacing w:after="0"/>
              <w:rPr>
                <w:sz w:val="16"/>
                <w:szCs w:val="16"/>
                <w:color w:val="auto"/>
              </w:rPr>
            </w:pPr>
          </w:p>
        </w:tc>
      </w:tr>
      <w:tr>
        <w:trPr>
          <w:trHeight w:val="101"/>
        </w:trPr>
        <w:tc>
          <w:tcPr>
            <w:tcW w:w="6020" w:type="dxa"/>
            <w:vAlign w:val="bottom"/>
            <w:tcBorders>
              <w:left w:val="single" w:sz="8" w:color="D6D1D8"/>
              <w:right w:val="single" w:sz="8" w:color="D6D1D8"/>
            </w:tcBorders>
            <w:shd w:val="clear" w:color="auto" w:fill="D6D1D8"/>
          </w:tcPr>
          <w:p>
            <w:pPr>
              <w:spacing w:after="0"/>
              <w:rPr>
                <w:sz w:val="8"/>
                <w:szCs w:val="8"/>
                <w:color w:val="auto"/>
              </w:rPr>
            </w:pPr>
          </w:p>
        </w:tc>
        <w:tc>
          <w:tcPr>
            <w:tcW w:w="480" w:type="dxa"/>
            <w:vAlign w:val="bottom"/>
            <w:tcBorders>
              <w:right w:val="single" w:sz="8" w:color="D6D1D8"/>
            </w:tcBorders>
            <w:shd w:val="clear" w:color="auto" w:fill="D6D1D8"/>
          </w:tcPr>
          <w:p>
            <w:pPr>
              <w:spacing w:after="0"/>
              <w:rPr>
                <w:sz w:val="8"/>
                <w:szCs w:val="8"/>
                <w:color w:val="auto"/>
              </w:rPr>
            </w:pPr>
          </w:p>
        </w:tc>
        <w:tc>
          <w:tcPr>
            <w:tcW w:w="660" w:type="dxa"/>
            <w:vAlign w:val="bottom"/>
            <w:tcBorders>
              <w:right w:val="single" w:sz="8" w:color="D6D1D8"/>
            </w:tcBorders>
            <w:shd w:val="clear" w:color="auto" w:fill="D6D1D8"/>
          </w:tcPr>
          <w:p>
            <w:pPr>
              <w:spacing w:after="0"/>
              <w:rPr>
                <w:sz w:val="8"/>
                <w:szCs w:val="8"/>
                <w:color w:val="auto"/>
              </w:rPr>
            </w:pPr>
          </w:p>
        </w:tc>
        <w:tc>
          <w:tcPr>
            <w:tcW w:w="500" w:type="dxa"/>
            <w:vAlign w:val="bottom"/>
            <w:tcBorders>
              <w:right w:val="single" w:sz="8" w:color="D6D1D8"/>
            </w:tcBorders>
            <w:shd w:val="clear" w:color="auto" w:fill="D6D1D8"/>
          </w:tcPr>
          <w:p>
            <w:pPr>
              <w:spacing w:after="0"/>
              <w:rPr>
                <w:sz w:val="8"/>
                <w:szCs w:val="8"/>
                <w:color w:val="auto"/>
              </w:rPr>
            </w:pPr>
          </w:p>
        </w:tc>
        <w:tc>
          <w:tcPr>
            <w:tcW w:w="400" w:type="dxa"/>
            <w:vAlign w:val="bottom"/>
            <w:tcBorders>
              <w:right w:val="single" w:sz="8" w:color="D6D1D8"/>
            </w:tcBorders>
            <w:shd w:val="clear" w:color="auto" w:fill="D6D1D8"/>
          </w:tcPr>
          <w:p>
            <w:pPr>
              <w:spacing w:after="0"/>
              <w:rPr>
                <w:sz w:val="8"/>
                <w:szCs w:val="8"/>
                <w:color w:val="auto"/>
              </w:rPr>
            </w:pPr>
          </w:p>
        </w:tc>
        <w:tc>
          <w:tcPr>
            <w:tcW w:w="660" w:type="dxa"/>
            <w:vAlign w:val="bottom"/>
            <w:tcBorders>
              <w:right w:val="single" w:sz="8" w:color="D6D1D8"/>
            </w:tcBorders>
            <w:shd w:val="clear" w:color="auto" w:fill="D6D1D8"/>
          </w:tcPr>
          <w:p>
            <w:pPr>
              <w:spacing w:after="0"/>
              <w:rPr>
                <w:sz w:val="8"/>
                <w:szCs w:val="8"/>
                <w:color w:val="auto"/>
              </w:rPr>
            </w:pPr>
          </w:p>
        </w:tc>
        <w:tc>
          <w:tcPr>
            <w:tcW w:w="740" w:type="dxa"/>
            <w:vAlign w:val="bottom"/>
            <w:tcBorders>
              <w:right w:val="single" w:sz="8" w:color="D6D1D8"/>
            </w:tcBorders>
            <w:shd w:val="clear" w:color="auto" w:fill="D6D1D8"/>
          </w:tcPr>
          <w:p>
            <w:pPr>
              <w:spacing w:after="0"/>
              <w:rPr>
                <w:sz w:val="8"/>
                <w:szCs w:val="8"/>
                <w:color w:val="auto"/>
              </w:rPr>
            </w:pPr>
          </w:p>
        </w:tc>
        <w:tc>
          <w:tcPr>
            <w:tcW w:w="500" w:type="dxa"/>
            <w:vAlign w:val="bottom"/>
            <w:tcBorders>
              <w:right w:val="single" w:sz="8" w:color="D6D1D8"/>
            </w:tcBorders>
            <w:shd w:val="clear" w:color="auto" w:fill="D6D1D8"/>
          </w:tcPr>
          <w:p>
            <w:pPr>
              <w:spacing w:after="0"/>
              <w:rPr>
                <w:sz w:val="8"/>
                <w:szCs w:val="8"/>
                <w:color w:val="auto"/>
              </w:rPr>
            </w:pPr>
          </w:p>
        </w:tc>
        <w:tc>
          <w:tcPr>
            <w:tcW w:w="500" w:type="dxa"/>
            <w:vAlign w:val="bottom"/>
            <w:tcBorders>
              <w:right w:val="single" w:sz="8" w:color="D6D1D8"/>
            </w:tcBorders>
            <w:shd w:val="clear" w:color="auto" w:fill="D6D1D8"/>
          </w:tcPr>
          <w:p>
            <w:pPr>
              <w:spacing w:after="0"/>
              <w:rPr>
                <w:sz w:val="8"/>
                <w:szCs w:val="8"/>
                <w:color w:val="auto"/>
              </w:rPr>
            </w:pPr>
          </w:p>
        </w:tc>
        <w:tc>
          <w:tcPr>
            <w:tcW w:w="460" w:type="dxa"/>
            <w:vAlign w:val="bottom"/>
            <w:shd w:val="clear" w:color="auto" w:fill="D6D1D8"/>
          </w:tcPr>
          <w:p>
            <w:pPr>
              <w:spacing w:after="0"/>
              <w:rPr>
                <w:sz w:val="8"/>
                <w:szCs w:val="8"/>
                <w:color w:val="auto"/>
              </w:rPr>
            </w:pPr>
          </w:p>
        </w:tc>
        <w:tc>
          <w:tcPr>
            <w:tcW w:w="20" w:type="dxa"/>
            <w:vAlign w:val="bottom"/>
          </w:tcPr>
          <w:p>
            <w:pPr>
              <w:spacing w:after="0"/>
              <w:rPr>
                <w:sz w:val="8"/>
                <w:szCs w:val="8"/>
                <w:color w:val="auto"/>
              </w:rPr>
            </w:pPr>
          </w:p>
        </w:tc>
      </w:tr>
      <w:tr>
        <w:trPr>
          <w:trHeight w:val="285"/>
        </w:trPr>
        <w:tc>
          <w:tcPr>
            <w:tcW w:w="6020" w:type="dxa"/>
            <w:vAlign w:val="bottom"/>
          </w:tcPr>
          <w:p>
            <w:pPr>
              <w:ind w:left="80"/>
              <w:spacing w:after="0"/>
              <w:rPr>
                <w:sz w:val="20"/>
                <w:szCs w:val="20"/>
                <w:color w:val="auto"/>
              </w:rPr>
            </w:pPr>
            <w:r>
              <w:rPr>
                <w:rFonts w:ascii="Arial" w:cs="Arial" w:eastAsia="Arial" w:hAnsi="Arial"/>
                <w:sz w:val="14"/>
                <w:szCs w:val="14"/>
                <w:color w:val="auto"/>
              </w:rPr>
              <w:t>OUTSIDE PUBLIC BOARDS</w:t>
            </w:r>
          </w:p>
        </w:tc>
        <w:tc>
          <w:tcPr>
            <w:tcW w:w="480" w:type="dxa"/>
            <w:vAlign w:val="bottom"/>
          </w:tcPr>
          <w:p>
            <w:pPr>
              <w:ind w:left="180"/>
              <w:spacing w:after="0"/>
              <w:rPr>
                <w:sz w:val="20"/>
                <w:szCs w:val="20"/>
                <w:color w:val="auto"/>
              </w:rPr>
            </w:pPr>
            <w:r>
              <w:rPr>
                <w:rFonts w:ascii="Arial" w:cs="Arial" w:eastAsia="Arial" w:hAnsi="Arial"/>
                <w:sz w:val="14"/>
                <w:szCs w:val="14"/>
                <w:color w:val="auto"/>
              </w:rPr>
              <w:t>X </w:t>
            </w:r>
          </w:p>
        </w:tc>
        <w:tc>
          <w:tcPr>
            <w:tcW w:w="660" w:type="dxa"/>
            <w:vAlign w:val="bottom"/>
          </w:tcPr>
          <w:p>
            <w:pPr>
              <w:jc w:val="center"/>
              <w:spacing w:after="0"/>
              <w:rPr>
                <w:sz w:val="20"/>
                <w:szCs w:val="20"/>
                <w:color w:val="auto"/>
              </w:rPr>
            </w:pPr>
            <w:r>
              <w:rPr>
                <w:rFonts w:ascii="Arial" w:cs="Arial" w:eastAsia="Arial" w:hAnsi="Arial"/>
                <w:sz w:val="14"/>
                <w:szCs w:val="14"/>
                <w:color w:val="auto"/>
                <w:w w:val="73"/>
              </w:rPr>
              <w:t>X </w:t>
            </w:r>
          </w:p>
        </w:tc>
        <w:tc>
          <w:tcPr>
            <w:tcW w:w="500" w:type="dxa"/>
            <w:vAlign w:val="bottom"/>
          </w:tcPr>
          <w:p>
            <w:pPr>
              <w:ind w:left="200"/>
              <w:spacing w:after="0"/>
              <w:rPr>
                <w:sz w:val="20"/>
                <w:szCs w:val="20"/>
                <w:color w:val="auto"/>
              </w:rPr>
            </w:pPr>
            <w:r>
              <w:rPr>
                <w:rFonts w:ascii="Arial" w:cs="Arial" w:eastAsia="Arial" w:hAnsi="Arial"/>
                <w:sz w:val="14"/>
                <w:szCs w:val="14"/>
                <w:color w:val="auto"/>
              </w:rPr>
              <w:t>X </w:t>
            </w:r>
          </w:p>
        </w:tc>
        <w:tc>
          <w:tcPr>
            <w:tcW w:w="40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4"/>
                <w:szCs w:val="14"/>
                <w:color w:val="auto"/>
              </w:rPr>
              <w:t>X </w:t>
            </w:r>
          </w:p>
        </w:tc>
        <w:tc>
          <w:tcPr>
            <w:tcW w:w="740" w:type="dxa"/>
            <w:vAlign w:val="bottom"/>
          </w:tcPr>
          <w:p>
            <w:pPr>
              <w:ind w:left="300"/>
              <w:spacing w:after="0"/>
              <w:rPr>
                <w:sz w:val="20"/>
                <w:szCs w:val="20"/>
                <w:color w:val="auto"/>
              </w:rPr>
            </w:pPr>
            <w:r>
              <w:rPr>
                <w:rFonts w:ascii="Arial" w:cs="Arial" w:eastAsia="Arial" w:hAnsi="Arial"/>
                <w:sz w:val="14"/>
                <w:szCs w:val="14"/>
                <w:color w:val="auto"/>
              </w:rPr>
              <w:t>X </w:t>
            </w:r>
          </w:p>
        </w:tc>
        <w:tc>
          <w:tcPr>
            <w:tcW w:w="500" w:type="dxa"/>
            <w:vAlign w:val="bottom"/>
          </w:tcPr>
          <w:p>
            <w:pPr>
              <w:ind w:left="200"/>
              <w:spacing w:after="0"/>
              <w:rPr>
                <w:sz w:val="20"/>
                <w:szCs w:val="20"/>
                <w:color w:val="auto"/>
              </w:rPr>
            </w:pPr>
            <w:r>
              <w:rPr>
                <w:rFonts w:ascii="Arial" w:cs="Arial" w:eastAsia="Arial" w:hAnsi="Arial"/>
                <w:sz w:val="14"/>
                <w:szCs w:val="14"/>
                <w:color w:val="auto"/>
              </w:rPr>
              <w:t>X </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rPr>
              <w:t>X</w:t>
            </w:r>
          </w:p>
        </w:tc>
        <w:tc>
          <w:tcPr>
            <w:tcW w:w="20" w:type="dxa"/>
            <w:vAlign w:val="bottom"/>
          </w:tcPr>
          <w:p>
            <w:pPr>
              <w:spacing w:after="0"/>
              <w:rPr>
                <w:sz w:val="24"/>
                <w:szCs w:val="24"/>
                <w:color w:val="auto"/>
              </w:rPr>
            </w:pPr>
          </w:p>
        </w:tc>
      </w:tr>
      <w:tr>
        <w:trPr>
          <w:trHeight w:val="160"/>
        </w:trPr>
        <w:tc>
          <w:tcPr>
            <w:tcW w:w="6020" w:type="dxa"/>
            <w:vAlign w:val="bottom"/>
          </w:tcPr>
          <w:p>
            <w:pPr>
              <w:ind w:left="80"/>
              <w:spacing w:after="0"/>
              <w:rPr>
                <w:sz w:val="20"/>
                <w:szCs w:val="20"/>
                <w:color w:val="auto"/>
              </w:rPr>
            </w:pPr>
            <w:r>
              <w:rPr>
                <w:rFonts w:ascii="Arial" w:cs="Arial" w:eastAsia="Arial" w:hAnsi="Arial"/>
                <w:sz w:val="14"/>
                <w:szCs w:val="14"/>
                <w:color w:val="auto"/>
              </w:rPr>
              <w:t>Corporate governance fluency provides additional shareholder and stakeholder</w:t>
            </w: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9"/>
        </w:trPr>
        <w:tc>
          <w:tcPr>
            <w:tcW w:w="6020" w:type="dxa"/>
            <w:vAlign w:val="bottom"/>
          </w:tcPr>
          <w:p>
            <w:pPr>
              <w:ind w:left="80"/>
              <w:spacing w:after="0"/>
              <w:rPr>
                <w:sz w:val="20"/>
                <w:szCs w:val="20"/>
                <w:color w:val="auto"/>
              </w:rPr>
            </w:pPr>
            <w:r>
              <w:rPr>
                <w:rFonts w:ascii="Arial" w:cs="Arial" w:eastAsia="Arial" w:hAnsi="Arial"/>
                <w:sz w:val="14"/>
                <w:szCs w:val="14"/>
                <w:color w:val="auto"/>
              </w:rPr>
              <w:t>perspectives</w:t>
            </w: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01"/>
        </w:trPr>
        <w:tc>
          <w:tcPr>
            <w:tcW w:w="6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85"/>
        </w:trPr>
        <w:tc>
          <w:tcPr>
            <w:tcW w:w="6020" w:type="dxa"/>
            <w:vAlign w:val="bottom"/>
            <w:tcBorders>
              <w:left w:val="single" w:sz="8" w:color="D6D1D8"/>
              <w:right w:val="single" w:sz="8" w:color="D6D1D8"/>
            </w:tcBorders>
            <w:shd w:val="clear" w:color="auto" w:fill="D6D1D8"/>
          </w:tcPr>
          <w:p>
            <w:pPr>
              <w:ind w:left="80"/>
              <w:spacing w:after="0"/>
              <w:rPr>
                <w:sz w:val="20"/>
                <w:szCs w:val="20"/>
                <w:color w:val="auto"/>
              </w:rPr>
            </w:pPr>
            <w:r>
              <w:rPr>
                <w:rFonts w:ascii="Arial" w:cs="Arial" w:eastAsia="Arial" w:hAnsi="Arial"/>
                <w:sz w:val="14"/>
                <w:szCs w:val="14"/>
                <w:color w:val="auto"/>
              </w:rPr>
              <w:t>FINANCE &amp; ACCOUNTING</w:t>
            </w:r>
          </w:p>
        </w:tc>
        <w:tc>
          <w:tcPr>
            <w:tcW w:w="480" w:type="dxa"/>
            <w:vAlign w:val="bottom"/>
            <w:tcBorders>
              <w:right w:val="single" w:sz="8" w:color="D6D1D8"/>
            </w:tcBorders>
            <w:shd w:val="clear" w:color="auto" w:fill="D6D1D8"/>
          </w:tcPr>
          <w:p>
            <w:pPr>
              <w:spacing w:after="0"/>
              <w:rPr>
                <w:sz w:val="24"/>
                <w:szCs w:val="24"/>
                <w:color w:val="auto"/>
              </w:rPr>
            </w:pPr>
          </w:p>
        </w:tc>
        <w:tc>
          <w:tcPr>
            <w:tcW w:w="660" w:type="dxa"/>
            <w:vAlign w:val="bottom"/>
            <w:tcBorders>
              <w:right w:val="single" w:sz="8" w:color="D6D1D8"/>
            </w:tcBorders>
            <w:shd w:val="clear" w:color="auto" w:fill="D6D1D8"/>
          </w:tcPr>
          <w:p>
            <w:pPr>
              <w:jc w:val="center"/>
              <w:spacing w:after="0"/>
              <w:rPr>
                <w:sz w:val="20"/>
                <w:szCs w:val="20"/>
                <w:color w:val="auto"/>
              </w:rPr>
            </w:pPr>
            <w:r>
              <w:rPr>
                <w:rFonts w:ascii="Arial" w:cs="Arial" w:eastAsia="Arial" w:hAnsi="Arial"/>
                <w:sz w:val="14"/>
                <w:szCs w:val="14"/>
                <w:color w:val="auto"/>
                <w:w w:val="73"/>
              </w:rPr>
              <w:t>X </w:t>
            </w:r>
          </w:p>
        </w:tc>
        <w:tc>
          <w:tcPr>
            <w:tcW w:w="500" w:type="dxa"/>
            <w:vAlign w:val="bottom"/>
            <w:tcBorders>
              <w:right w:val="single" w:sz="8" w:color="D6D1D8"/>
            </w:tcBorders>
            <w:shd w:val="clear" w:color="auto" w:fill="D6D1D8"/>
          </w:tcPr>
          <w:p>
            <w:pPr>
              <w:ind w:left="200"/>
              <w:spacing w:after="0"/>
              <w:rPr>
                <w:sz w:val="20"/>
                <w:szCs w:val="20"/>
                <w:color w:val="auto"/>
              </w:rPr>
            </w:pPr>
            <w:r>
              <w:rPr>
                <w:rFonts w:ascii="Arial" w:cs="Arial" w:eastAsia="Arial" w:hAnsi="Arial"/>
                <w:sz w:val="14"/>
                <w:szCs w:val="14"/>
                <w:color w:val="auto"/>
              </w:rPr>
              <w:t xml:space="preserve">X* </w:t>
            </w:r>
          </w:p>
        </w:tc>
        <w:tc>
          <w:tcPr>
            <w:tcW w:w="400" w:type="dxa"/>
            <w:vAlign w:val="bottom"/>
            <w:tcBorders>
              <w:right w:val="single" w:sz="8" w:color="D6D1D8"/>
            </w:tcBorders>
            <w:shd w:val="clear" w:color="auto" w:fill="D6D1D8"/>
          </w:tcPr>
          <w:p>
            <w:pPr>
              <w:ind w:left="120"/>
              <w:spacing w:after="0"/>
              <w:rPr>
                <w:sz w:val="20"/>
                <w:szCs w:val="20"/>
                <w:color w:val="auto"/>
              </w:rPr>
            </w:pPr>
            <w:r>
              <w:rPr>
                <w:rFonts w:ascii="Arial" w:cs="Arial" w:eastAsia="Arial" w:hAnsi="Arial"/>
                <w:sz w:val="14"/>
                <w:szCs w:val="14"/>
                <w:color w:val="auto"/>
              </w:rPr>
              <w:t>X </w:t>
            </w:r>
          </w:p>
        </w:tc>
        <w:tc>
          <w:tcPr>
            <w:tcW w:w="660" w:type="dxa"/>
            <w:vAlign w:val="bottom"/>
            <w:tcBorders>
              <w:right w:val="single" w:sz="8" w:color="D6D1D8"/>
            </w:tcBorders>
            <w:shd w:val="clear" w:color="auto" w:fill="D6D1D8"/>
          </w:tcPr>
          <w:p>
            <w:pPr>
              <w:spacing w:after="0"/>
              <w:rPr>
                <w:sz w:val="24"/>
                <w:szCs w:val="24"/>
                <w:color w:val="auto"/>
              </w:rPr>
            </w:pPr>
          </w:p>
        </w:tc>
        <w:tc>
          <w:tcPr>
            <w:tcW w:w="740" w:type="dxa"/>
            <w:vAlign w:val="bottom"/>
            <w:tcBorders>
              <w:right w:val="single" w:sz="8" w:color="D6D1D8"/>
            </w:tcBorders>
            <w:shd w:val="clear" w:color="auto" w:fill="D6D1D8"/>
          </w:tcPr>
          <w:p>
            <w:pPr>
              <w:spacing w:after="0"/>
              <w:rPr>
                <w:sz w:val="24"/>
                <w:szCs w:val="24"/>
                <w:color w:val="auto"/>
              </w:rPr>
            </w:pPr>
          </w:p>
        </w:tc>
        <w:tc>
          <w:tcPr>
            <w:tcW w:w="500" w:type="dxa"/>
            <w:vAlign w:val="bottom"/>
            <w:tcBorders>
              <w:right w:val="single" w:sz="8" w:color="D6D1D8"/>
            </w:tcBorders>
            <w:shd w:val="clear" w:color="auto" w:fill="D6D1D8"/>
          </w:tcPr>
          <w:p>
            <w:pPr>
              <w:ind w:left="200"/>
              <w:spacing w:after="0"/>
              <w:rPr>
                <w:sz w:val="20"/>
                <w:szCs w:val="20"/>
                <w:color w:val="auto"/>
              </w:rPr>
            </w:pPr>
            <w:r>
              <w:rPr>
                <w:rFonts w:ascii="Arial" w:cs="Arial" w:eastAsia="Arial" w:hAnsi="Arial"/>
                <w:sz w:val="14"/>
                <w:szCs w:val="14"/>
                <w:color w:val="auto"/>
              </w:rPr>
              <w:t>X </w:t>
            </w:r>
          </w:p>
        </w:tc>
        <w:tc>
          <w:tcPr>
            <w:tcW w:w="500" w:type="dxa"/>
            <w:vAlign w:val="bottom"/>
            <w:tcBorders>
              <w:right w:val="single" w:sz="8" w:color="D6D1D8"/>
            </w:tcBorders>
            <w:shd w:val="clear" w:color="auto" w:fill="D6D1D8"/>
          </w:tcPr>
          <w:p>
            <w:pPr>
              <w:spacing w:after="0"/>
              <w:rPr>
                <w:sz w:val="24"/>
                <w:szCs w:val="24"/>
                <w:color w:val="auto"/>
              </w:rPr>
            </w:pPr>
          </w:p>
        </w:tc>
        <w:tc>
          <w:tcPr>
            <w:tcW w:w="46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94"/>
              </w:rPr>
              <w:t>X*</w:t>
            </w:r>
          </w:p>
        </w:tc>
        <w:tc>
          <w:tcPr>
            <w:tcW w:w="20" w:type="dxa"/>
            <w:vAlign w:val="bottom"/>
          </w:tcPr>
          <w:p>
            <w:pPr>
              <w:spacing w:after="0"/>
              <w:rPr>
                <w:sz w:val="24"/>
                <w:szCs w:val="24"/>
                <w:color w:val="auto"/>
              </w:rPr>
            </w:pPr>
          </w:p>
        </w:tc>
      </w:tr>
      <w:tr>
        <w:trPr>
          <w:trHeight w:val="160"/>
        </w:trPr>
        <w:tc>
          <w:tcPr>
            <w:tcW w:w="6020" w:type="dxa"/>
            <w:vAlign w:val="bottom"/>
            <w:tcBorders>
              <w:left w:val="single" w:sz="8" w:color="D6D1D8"/>
              <w:right w:val="single" w:sz="8" w:color="D6D1D8"/>
            </w:tcBorders>
            <w:shd w:val="clear" w:color="auto" w:fill="D6D1D8"/>
          </w:tcPr>
          <w:p>
            <w:pPr>
              <w:ind w:left="80"/>
              <w:spacing w:after="0"/>
              <w:rPr>
                <w:sz w:val="20"/>
                <w:szCs w:val="20"/>
                <w:color w:val="auto"/>
              </w:rPr>
            </w:pPr>
            <w:r>
              <w:rPr>
                <w:rFonts w:ascii="Arial" w:cs="Arial" w:eastAsia="Arial" w:hAnsi="Arial"/>
                <w:sz w:val="14"/>
                <w:szCs w:val="14"/>
                <w:color w:val="auto"/>
              </w:rPr>
              <w:t>Financial expertise provides greater understanding of internal controls over financial</w:t>
            </w:r>
          </w:p>
        </w:tc>
        <w:tc>
          <w:tcPr>
            <w:tcW w:w="480" w:type="dxa"/>
            <w:vAlign w:val="bottom"/>
            <w:tcBorders>
              <w:right w:val="single" w:sz="8" w:color="D6D1D8"/>
            </w:tcBorders>
            <w:shd w:val="clear" w:color="auto" w:fill="D6D1D8"/>
          </w:tcPr>
          <w:p>
            <w:pPr>
              <w:spacing w:after="0"/>
              <w:rPr>
                <w:sz w:val="13"/>
                <w:szCs w:val="13"/>
                <w:color w:val="auto"/>
              </w:rPr>
            </w:pPr>
          </w:p>
        </w:tc>
        <w:tc>
          <w:tcPr>
            <w:tcW w:w="660" w:type="dxa"/>
            <w:vAlign w:val="bottom"/>
            <w:tcBorders>
              <w:right w:val="single" w:sz="8" w:color="D6D1D8"/>
            </w:tcBorders>
            <w:shd w:val="clear" w:color="auto" w:fill="D6D1D8"/>
          </w:tcPr>
          <w:p>
            <w:pPr>
              <w:spacing w:after="0"/>
              <w:rPr>
                <w:sz w:val="13"/>
                <w:szCs w:val="13"/>
                <w:color w:val="auto"/>
              </w:rPr>
            </w:pPr>
          </w:p>
        </w:tc>
        <w:tc>
          <w:tcPr>
            <w:tcW w:w="500" w:type="dxa"/>
            <w:vAlign w:val="bottom"/>
            <w:tcBorders>
              <w:right w:val="single" w:sz="8" w:color="D6D1D8"/>
            </w:tcBorders>
            <w:shd w:val="clear" w:color="auto" w:fill="D6D1D8"/>
          </w:tcPr>
          <w:p>
            <w:pPr>
              <w:spacing w:after="0"/>
              <w:rPr>
                <w:sz w:val="13"/>
                <w:szCs w:val="13"/>
                <w:color w:val="auto"/>
              </w:rPr>
            </w:pPr>
          </w:p>
        </w:tc>
        <w:tc>
          <w:tcPr>
            <w:tcW w:w="400" w:type="dxa"/>
            <w:vAlign w:val="bottom"/>
            <w:tcBorders>
              <w:right w:val="single" w:sz="8" w:color="D6D1D8"/>
            </w:tcBorders>
            <w:shd w:val="clear" w:color="auto" w:fill="D6D1D8"/>
          </w:tcPr>
          <w:p>
            <w:pPr>
              <w:spacing w:after="0"/>
              <w:rPr>
                <w:sz w:val="13"/>
                <w:szCs w:val="13"/>
                <w:color w:val="auto"/>
              </w:rPr>
            </w:pPr>
          </w:p>
        </w:tc>
        <w:tc>
          <w:tcPr>
            <w:tcW w:w="660" w:type="dxa"/>
            <w:vAlign w:val="bottom"/>
            <w:tcBorders>
              <w:right w:val="single" w:sz="8" w:color="D6D1D8"/>
            </w:tcBorders>
            <w:shd w:val="clear" w:color="auto" w:fill="D6D1D8"/>
          </w:tcPr>
          <w:p>
            <w:pPr>
              <w:spacing w:after="0"/>
              <w:rPr>
                <w:sz w:val="13"/>
                <w:szCs w:val="13"/>
                <w:color w:val="auto"/>
              </w:rPr>
            </w:pPr>
          </w:p>
        </w:tc>
        <w:tc>
          <w:tcPr>
            <w:tcW w:w="740" w:type="dxa"/>
            <w:vAlign w:val="bottom"/>
            <w:tcBorders>
              <w:right w:val="single" w:sz="8" w:color="D6D1D8"/>
            </w:tcBorders>
            <w:shd w:val="clear" w:color="auto" w:fill="D6D1D8"/>
          </w:tcPr>
          <w:p>
            <w:pPr>
              <w:spacing w:after="0"/>
              <w:rPr>
                <w:sz w:val="13"/>
                <w:szCs w:val="13"/>
                <w:color w:val="auto"/>
              </w:rPr>
            </w:pPr>
          </w:p>
        </w:tc>
        <w:tc>
          <w:tcPr>
            <w:tcW w:w="500" w:type="dxa"/>
            <w:vAlign w:val="bottom"/>
            <w:tcBorders>
              <w:right w:val="single" w:sz="8" w:color="D6D1D8"/>
            </w:tcBorders>
            <w:shd w:val="clear" w:color="auto" w:fill="D6D1D8"/>
          </w:tcPr>
          <w:p>
            <w:pPr>
              <w:spacing w:after="0"/>
              <w:rPr>
                <w:sz w:val="13"/>
                <w:szCs w:val="13"/>
                <w:color w:val="auto"/>
              </w:rPr>
            </w:pPr>
          </w:p>
        </w:tc>
        <w:tc>
          <w:tcPr>
            <w:tcW w:w="500" w:type="dxa"/>
            <w:vAlign w:val="bottom"/>
            <w:tcBorders>
              <w:right w:val="single" w:sz="8" w:color="D6D1D8"/>
            </w:tcBorders>
            <w:shd w:val="clear" w:color="auto" w:fill="D6D1D8"/>
          </w:tcPr>
          <w:p>
            <w:pPr>
              <w:spacing w:after="0"/>
              <w:rPr>
                <w:sz w:val="13"/>
                <w:szCs w:val="13"/>
                <w:color w:val="auto"/>
              </w:rPr>
            </w:pPr>
          </w:p>
        </w:tc>
        <w:tc>
          <w:tcPr>
            <w:tcW w:w="460" w:type="dxa"/>
            <w:vAlign w:val="bottom"/>
            <w:shd w:val="clear" w:color="auto" w:fill="D6D1D8"/>
          </w:tcPr>
          <w:p>
            <w:pPr>
              <w:spacing w:after="0"/>
              <w:rPr>
                <w:sz w:val="13"/>
                <w:szCs w:val="13"/>
                <w:color w:val="auto"/>
              </w:rPr>
            </w:pPr>
          </w:p>
        </w:tc>
        <w:tc>
          <w:tcPr>
            <w:tcW w:w="20" w:type="dxa"/>
            <w:vAlign w:val="bottom"/>
          </w:tcPr>
          <w:p>
            <w:pPr>
              <w:spacing w:after="0"/>
              <w:rPr>
                <w:sz w:val="13"/>
                <w:szCs w:val="13"/>
                <w:color w:val="auto"/>
              </w:rPr>
            </w:pPr>
          </w:p>
        </w:tc>
      </w:tr>
      <w:tr>
        <w:trPr>
          <w:trHeight w:val="189"/>
        </w:trPr>
        <w:tc>
          <w:tcPr>
            <w:tcW w:w="6020" w:type="dxa"/>
            <w:vAlign w:val="bottom"/>
            <w:tcBorders>
              <w:left w:val="single" w:sz="8" w:color="D6D1D8"/>
              <w:right w:val="single" w:sz="8" w:color="D6D1D8"/>
            </w:tcBorders>
            <w:shd w:val="clear" w:color="auto" w:fill="D6D1D8"/>
          </w:tcPr>
          <w:p>
            <w:pPr>
              <w:ind w:left="80"/>
              <w:spacing w:after="0"/>
              <w:rPr>
                <w:sz w:val="20"/>
                <w:szCs w:val="20"/>
                <w:color w:val="auto"/>
              </w:rPr>
            </w:pPr>
            <w:r>
              <w:rPr>
                <w:rFonts w:ascii="Arial" w:cs="Arial" w:eastAsia="Arial" w:hAnsi="Arial"/>
                <w:sz w:val="14"/>
                <w:szCs w:val="14"/>
                <w:color w:val="auto"/>
              </w:rPr>
              <w:t>reporting, disclosures, and capital allocation strategy</w:t>
            </w:r>
          </w:p>
        </w:tc>
        <w:tc>
          <w:tcPr>
            <w:tcW w:w="480" w:type="dxa"/>
            <w:vAlign w:val="bottom"/>
            <w:tcBorders>
              <w:right w:val="single" w:sz="8" w:color="D6D1D8"/>
            </w:tcBorders>
            <w:shd w:val="clear" w:color="auto" w:fill="D6D1D8"/>
          </w:tcPr>
          <w:p>
            <w:pPr>
              <w:spacing w:after="0"/>
              <w:rPr>
                <w:sz w:val="16"/>
                <w:szCs w:val="16"/>
                <w:color w:val="auto"/>
              </w:rPr>
            </w:pPr>
          </w:p>
        </w:tc>
        <w:tc>
          <w:tcPr>
            <w:tcW w:w="660" w:type="dxa"/>
            <w:vAlign w:val="bottom"/>
            <w:tcBorders>
              <w:right w:val="single" w:sz="8" w:color="D6D1D8"/>
            </w:tcBorders>
            <w:shd w:val="clear" w:color="auto" w:fill="D6D1D8"/>
          </w:tcPr>
          <w:p>
            <w:pPr>
              <w:spacing w:after="0"/>
              <w:rPr>
                <w:sz w:val="16"/>
                <w:szCs w:val="16"/>
                <w:color w:val="auto"/>
              </w:rPr>
            </w:pPr>
          </w:p>
        </w:tc>
        <w:tc>
          <w:tcPr>
            <w:tcW w:w="500" w:type="dxa"/>
            <w:vAlign w:val="bottom"/>
            <w:tcBorders>
              <w:right w:val="single" w:sz="8" w:color="D6D1D8"/>
            </w:tcBorders>
            <w:shd w:val="clear" w:color="auto" w:fill="D6D1D8"/>
          </w:tcPr>
          <w:p>
            <w:pPr>
              <w:spacing w:after="0"/>
              <w:rPr>
                <w:sz w:val="16"/>
                <w:szCs w:val="16"/>
                <w:color w:val="auto"/>
              </w:rPr>
            </w:pPr>
          </w:p>
        </w:tc>
        <w:tc>
          <w:tcPr>
            <w:tcW w:w="400" w:type="dxa"/>
            <w:vAlign w:val="bottom"/>
            <w:tcBorders>
              <w:right w:val="single" w:sz="8" w:color="D6D1D8"/>
            </w:tcBorders>
            <w:shd w:val="clear" w:color="auto" w:fill="D6D1D8"/>
          </w:tcPr>
          <w:p>
            <w:pPr>
              <w:spacing w:after="0"/>
              <w:rPr>
                <w:sz w:val="16"/>
                <w:szCs w:val="16"/>
                <w:color w:val="auto"/>
              </w:rPr>
            </w:pPr>
          </w:p>
        </w:tc>
        <w:tc>
          <w:tcPr>
            <w:tcW w:w="660" w:type="dxa"/>
            <w:vAlign w:val="bottom"/>
            <w:tcBorders>
              <w:right w:val="single" w:sz="8" w:color="D6D1D8"/>
            </w:tcBorders>
            <w:shd w:val="clear" w:color="auto" w:fill="D6D1D8"/>
          </w:tcPr>
          <w:p>
            <w:pPr>
              <w:spacing w:after="0"/>
              <w:rPr>
                <w:sz w:val="16"/>
                <w:szCs w:val="16"/>
                <w:color w:val="auto"/>
              </w:rPr>
            </w:pPr>
          </w:p>
        </w:tc>
        <w:tc>
          <w:tcPr>
            <w:tcW w:w="740" w:type="dxa"/>
            <w:vAlign w:val="bottom"/>
            <w:tcBorders>
              <w:right w:val="single" w:sz="8" w:color="D6D1D8"/>
            </w:tcBorders>
            <w:shd w:val="clear" w:color="auto" w:fill="D6D1D8"/>
          </w:tcPr>
          <w:p>
            <w:pPr>
              <w:spacing w:after="0"/>
              <w:rPr>
                <w:sz w:val="16"/>
                <w:szCs w:val="16"/>
                <w:color w:val="auto"/>
              </w:rPr>
            </w:pPr>
          </w:p>
        </w:tc>
        <w:tc>
          <w:tcPr>
            <w:tcW w:w="500" w:type="dxa"/>
            <w:vAlign w:val="bottom"/>
            <w:tcBorders>
              <w:right w:val="single" w:sz="8" w:color="D6D1D8"/>
            </w:tcBorders>
            <w:shd w:val="clear" w:color="auto" w:fill="D6D1D8"/>
          </w:tcPr>
          <w:p>
            <w:pPr>
              <w:spacing w:after="0"/>
              <w:rPr>
                <w:sz w:val="16"/>
                <w:szCs w:val="16"/>
                <w:color w:val="auto"/>
              </w:rPr>
            </w:pPr>
          </w:p>
        </w:tc>
        <w:tc>
          <w:tcPr>
            <w:tcW w:w="500" w:type="dxa"/>
            <w:vAlign w:val="bottom"/>
            <w:tcBorders>
              <w:right w:val="single" w:sz="8" w:color="D6D1D8"/>
            </w:tcBorders>
            <w:shd w:val="clear" w:color="auto" w:fill="D6D1D8"/>
          </w:tcPr>
          <w:p>
            <w:pPr>
              <w:spacing w:after="0"/>
              <w:rPr>
                <w:sz w:val="16"/>
                <w:szCs w:val="16"/>
                <w:color w:val="auto"/>
              </w:rPr>
            </w:pPr>
          </w:p>
        </w:tc>
        <w:tc>
          <w:tcPr>
            <w:tcW w:w="460" w:type="dxa"/>
            <w:vAlign w:val="bottom"/>
            <w:shd w:val="clear" w:color="auto" w:fill="D6D1D8"/>
          </w:tcPr>
          <w:p>
            <w:pPr>
              <w:spacing w:after="0"/>
              <w:rPr>
                <w:sz w:val="16"/>
                <w:szCs w:val="16"/>
                <w:color w:val="auto"/>
              </w:rPr>
            </w:pPr>
          </w:p>
        </w:tc>
        <w:tc>
          <w:tcPr>
            <w:tcW w:w="20" w:type="dxa"/>
            <w:vAlign w:val="bottom"/>
          </w:tcPr>
          <w:p>
            <w:pPr>
              <w:spacing w:after="0"/>
              <w:rPr>
                <w:sz w:val="16"/>
                <w:szCs w:val="16"/>
                <w:color w:val="auto"/>
              </w:rPr>
            </w:pPr>
          </w:p>
        </w:tc>
      </w:tr>
      <w:tr>
        <w:trPr>
          <w:trHeight w:val="101"/>
        </w:trPr>
        <w:tc>
          <w:tcPr>
            <w:tcW w:w="6020" w:type="dxa"/>
            <w:vAlign w:val="bottom"/>
            <w:tcBorders>
              <w:left w:val="single" w:sz="8" w:color="D6D1D8"/>
              <w:right w:val="single" w:sz="8" w:color="D6D1D8"/>
            </w:tcBorders>
            <w:shd w:val="clear" w:color="auto" w:fill="D6D1D8"/>
          </w:tcPr>
          <w:p>
            <w:pPr>
              <w:spacing w:after="0"/>
              <w:rPr>
                <w:sz w:val="8"/>
                <w:szCs w:val="8"/>
                <w:color w:val="auto"/>
              </w:rPr>
            </w:pPr>
          </w:p>
        </w:tc>
        <w:tc>
          <w:tcPr>
            <w:tcW w:w="480" w:type="dxa"/>
            <w:vAlign w:val="bottom"/>
            <w:tcBorders>
              <w:right w:val="single" w:sz="8" w:color="D6D1D8"/>
            </w:tcBorders>
            <w:shd w:val="clear" w:color="auto" w:fill="D6D1D8"/>
          </w:tcPr>
          <w:p>
            <w:pPr>
              <w:spacing w:after="0"/>
              <w:rPr>
                <w:sz w:val="8"/>
                <w:szCs w:val="8"/>
                <w:color w:val="auto"/>
              </w:rPr>
            </w:pPr>
          </w:p>
        </w:tc>
        <w:tc>
          <w:tcPr>
            <w:tcW w:w="660" w:type="dxa"/>
            <w:vAlign w:val="bottom"/>
            <w:tcBorders>
              <w:right w:val="single" w:sz="8" w:color="D6D1D8"/>
            </w:tcBorders>
            <w:shd w:val="clear" w:color="auto" w:fill="D6D1D8"/>
          </w:tcPr>
          <w:p>
            <w:pPr>
              <w:spacing w:after="0"/>
              <w:rPr>
                <w:sz w:val="8"/>
                <w:szCs w:val="8"/>
                <w:color w:val="auto"/>
              </w:rPr>
            </w:pPr>
          </w:p>
        </w:tc>
        <w:tc>
          <w:tcPr>
            <w:tcW w:w="500" w:type="dxa"/>
            <w:vAlign w:val="bottom"/>
            <w:tcBorders>
              <w:right w:val="single" w:sz="8" w:color="D6D1D8"/>
            </w:tcBorders>
            <w:shd w:val="clear" w:color="auto" w:fill="D6D1D8"/>
          </w:tcPr>
          <w:p>
            <w:pPr>
              <w:spacing w:after="0"/>
              <w:rPr>
                <w:sz w:val="8"/>
                <w:szCs w:val="8"/>
                <w:color w:val="auto"/>
              </w:rPr>
            </w:pPr>
          </w:p>
        </w:tc>
        <w:tc>
          <w:tcPr>
            <w:tcW w:w="400" w:type="dxa"/>
            <w:vAlign w:val="bottom"/>
            <w:tcBorders>
              <w:right w:val="single" w:sz="8" w:color="D6D1D8"/>
            </w:tcBorders>
            <w:shd w:val="clear" w:color="auto" w:fill="D6D1D8"/>
          </w:tcPr>
          <w:p>
            <w:pPr>
              <w:spacing w:after="0"/>
              <w:rPr>
                <w:sz w:val="8"/>
                <w:szCs w:val="8"/>
                <w:color w:val="auto"/>
              </w:rPr>
            </w:pPr>
          </w:p>
        </w:tc>
        <w:tc>
          <w:tcPr>
            <w:tcW w:w="660" w:type="dxa"/>
            <w:vAlign w:val="bottom"/>
            <w:tcBorders>
              <w:right w:val="single" w:sz="8" w:color="D6D1D8"/>
            </w:tcBorders>
            <w:shd w:val="clear" w:color="auto" w:fill="D6D1D8"/>
          </w:tcPr>
          <w:p>
            <w:pPr>
              <w:spacing w:after="0"/>
              <w:rPr>
                <w:sz w:val="8"/>
                <w:szCs w:val="8"/>
                <w:color w:val="auto"/>
              </w:rPr>
            </w:pPr>
          </w:p>
        </w:tc>
        <w:tc>
          <w:tcPr>
            <w:tcW w:w="740" w:type="dxa"/>
            <w:vAlign w:val="bottom"/>
            <w:tcBorders>
              <w:right w:val="single" w:sz="8" w:color="D6D1D8"/>
            </w:tcBorders>
            <w:shd w:val="clear" w:color="auto" w:fill="D6D1D8"/>
          </w:tcPr>
          <w:p>
            <w:pPr>
              <w:spacing w:after="0"/>
              <w:rPr>
                <w:sz w:val="8"/>
                <w:szCs w:val="8"/>
                <w:color w:val="auto"/>
              </w:rPr>
            </w:pPr>
          </w:p>
        </w:tc>
        <w:tc>
          <w:tcPr>
            <w:tcW w:w="500" w:type="dxa"/>
            <w:vAlign w:val="bottom"/>
            <w:tcBorders>
              <w:right w:val="single" w:sz="8" w:color="D6D1D8"/>
            </w:tcBorders>
            <w:shd w:val="clear" w:color="auto" w:fill="D6D1D8"/>
          </w:tcPr>
          <w:p>
            <w:pPr>
              <w:spacing w:after="0"/>
              <w:rPr>
                <w:sz w:val="8"/>
                <w:szCs w:val="8"/>
                <w:color w:val="auto"/>
              </w:rPr>
            </w:pPr>
          </w:p>
        </w:tc>
        <w:tc>
          <w:tcPr>
            <w:tcW w:w="500" w:type="dxa"/>
            <w:vAlign w:val="bottom"/>
            <w:tcBorders>
              <w:right w:val="single" w:sz="8" w:color="D6D1D8"/>
            </w:tcBorders>
            <w:shd w:val="clear" w:color="auto" w:fill="D6D1D8"/>
          </w:tcPr>
          <w:p>
            <w:pPr>
              <w:spacing w:after="0"/>
              <w:rPr>
                <w:sz w:val="8"/>
                <w:szCs w:val="8"/>
                <w:color w:val="auto"/>
              </w:rPr>
            </w:pPr>
          </w:p>
        </w:tc>
        <w:tc>
          <w:tcPr>
            <w:tcW w:w="460" w:type="dxa"/>
            <w:vAlign w:val="bottom"/>
            <w:shd w:val="clear" w:color="auto" w:fill="D6D1D8"/>
          </w:tcPr>
          <w:p>
            <w:pPr>
              <w:spacing w:after="0"/>
              <w:rPr>
                <w:sz w:val="8"/>
                <w:szCs w:val="8"/>
                <w:color w:val="auto"/>
              </w:rPr>
            </w:pPr>
          </w:p>
        </w:tc>
        <w:tc>
          <w:tcPr>
            <w:tcW w:w="20" w:type="dxa"/>
            <w:vAlign w:val="bottom"/>
          </w:tcPr>
          <w:p>
            <w:pPr>
              <w:spacing w:after="0"/>
              <w:rPr>
                <w:sz w:val="8"/>
                <w:szCs w:val="8"/>
                <w:color w:val="auto"/>
              </w:rPr>
            </w:pPr>
          </w:p>
        </w:tc>
      </w:tr>
      <w:tr>
        <w:trPr>
          <w:trHeight w:val="285"/>
        </w:trPr>
        <w:tc>
          <w:tcPr>
            <w:tcW w:w="6020" w:type="dxa"/>
            <w:vAlign w:val="bottom"/>
          </w:tcPr>
          <w:p>
            <w:pPr>
              <w:ind w:left="80"/>
              <w:spacing w:after="0"/>
              <w:rPr>
                <w:sz w:val="20"/>
                <w:szCs w:val="20"/>
                <w:color w:val="auto"/>
              </w:rPr>
            </w:pPr>
            <w:r>
              <w:rPr>
                <w:rFonts w:ascii="Arial" w:cs="Arial" w:eastAsia="Arial" w:hAnsi="Arial"/>
                <w:sz w:val="14"/>
                <w:szCs w:val="14"/>
                <w:color w:val="auto"/>
              </w:rPr>
              <w:t>CYBERSECURITY &amp; DATA PRIVACY</w:t>
            </w:r>
          </w:p>
        </w:tc>
        <w:tc>
          <w:tcPr>
            <w:tcW w:w="480" w:type="dxa"/>
            <w:vAlign w:val="bottom"/>
          </w:tcPr>
          <w:p>
            <w:pPr>
              <w:ind w:left="180"/>
              <w:spacing w:after="0"/>
              <w:rPr>
                <w:sz w:val="20"/>
                <w:szCs w:val="20"/>
                <w:color w:val="auto"/>
              </w:rPr>
            </w:pPr>
            <w:r>
              <w:rPr>
                <w:rFonts w:ascii="Arial" w:cs="Arial" w:eastAsia="Arial" w:hAnsi="Arial"/>
                <w:sz w:val="14"/>
                <w:szCs w:val="14"/>
                <w:color w:val="auto"/>
              </w:rPr>
              <w:t>X </w:t>
            </w:r>
          </w:p>
        </w:tc>
        <w:tc>
          <w:tcPr>
            <w:tcW w:w="660" w:type="dxa"/>
            <w:vAlign w:val="bottom"/>
          </w:tcPr>
          <w:p>
            <w:pPr>
              <w:jc w:val="center"/>
              <w:spacing w:after="0"/>
              <w:rPr>
                <w:sz w:val="20"/>
                <w:szCs w:val="20"/>
                <w:color w:val="auto"/>
              </w:rPr>
            </w:pPr>
            <w:r>
              <w:rPr>
                <w:rFonts w:ascii="Arial" w:cs="Arial" w:eastAsia="Arial" w:hAnsi="Arial"/>
                <w:sz w:val="14"/>
                <w:szCs w:val="14"/>
                <w:color w:val="auto"/>
                <w:w w:val="73"/>
              </w:rPr>
              <w:t>X </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rPr>
              <w:t>X</w:t>
            </w:r>
          </w:p>
        </w:tc>
        <w:tc>
          <w:tcPr>
            <w:tcW w:w="20" w:type="dxa"/>
            <w:vAlign w:val="bottom"/>
          </w:tcPr>
          <w:p>
            <w:pPr>
              <w:spacing w:after="0"/>
              <w:rPr>
                <w:sz w:val="24"/>
                <w:szCs w:val="24"/>
                <w:color w:val="auto"/>
              </w:rPr>
            </w:pPr>
          </w:p>
        </w:tc>
      </w:tr>
      <w:tr>
        <w:trPr>
          <w:trHeight w:val="160"/>
        </w:trPr>
        <w:tc>
          <w:tcPr>
            <w:tcW w:w="6020" w:type="dxa"/>
            <w:vAlign w:val="bottom"/>
          </w:tcPr>
          <w:p>
            <w:pPr>
              <w:ind w:left="80"/>
              <w:spacing w:after="0"/>
              <w:rPr>
                <w:sz w:val="20"/>
                <w:szCs w:val="20"/>
                <w:color w:val="auto"/>
              </w:rPr>
            </w:pPr>
            <w:r>
              <w:rPr>
                <w:rFonts w:ascii="Arial" w:cs="Arial" w:eastAsia="Arial" w:hAnsi="Arial"/>
                <w:sz w:val="14"/>
                <w:szCs w:val="14"/>
                <w:color w:val="auto"/>
              </w:rPr>
              <w:t>Technology and information security expertise enhances the Board’s risk oversight of data</w:t>
            </w: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9"/>
        </w:trPr>
        <w:tc>
          <w:tcPr>
            <w:tcW w:w="6020" w:type="dxa"/>
            <w:vAlign w:val="bottom"/>
          </w:tcPr>
          <w:p>
            <w:pPr>
              <w:ind w:left="80"/>
              <w:spacing w:after="0"/>
              <w:rPr>
                <w:sz w:val="20"/>
                <w:szCs w:val="20"/>
                <w:color w:val="auto"/>
              </w:rPr>
            </w:pPr>
            <w:r>
              <w:rPr>
                <w:rFonts w:ascii="Arial" w:cs="Arial" w:eastAsia="Arial" w:hAnsi="Arial"/>
                <w:sz w:val="14"/>
                <w:szCs w:val="14"/>
                <w:color w:val="auto"/>
              </w:rPr>
              <w:t>and privacy management and cybersecurity</w:t>
            </w: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01"/>
        </w:trPr>
        <w:tc>
          <w:tcPr>
            <w:tcW w:w="6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85"/>
        </w:trPr>
        <w:tc>
          <w:tcPr>
            <w:tcW w:w="6020" w:type="dxa"/>
            <w:vAlign w:val="bottom"/>
            <w:tcBorders>
              <w:left w:val="single" w:sz="8" w:color="D6D1D8"/>
              <w:right w:val="single" w:sz="8" w:color="D6D1D8"/>
            </w:tcBorders>
            <w:shd w:val="clear" w:color="auto" w:fill="D6D1D8"/>
          </w:tcPr>
          <w:p>
            <w:pPr>
              <w:ind w:left="80"/>
              <w:spacing w:after="0"/>
              <w:rPr>
                <w:sz w:val="20"/>
                <w:szCs w:val="20"/>
                <w:color w:val="auto"/>
              </w:rPr>
            </w:pPr>
            <w:r>
              <w:rPr>
                <w:rFonts w:ascii="Arial" w:cs="Arial" w:eastAsia="Arial" w:hAnsi="Arial"/>
                <w:sz w:val="14"/>
                <w:szCs w:val="14"/>
                <w:color w:val="auto"/>
              </w:rPr>
              <w:t>GEOPOLITICAL AFFAIRS</w:t>
            </w:r>
          </w:p>
        </w:tc>
        <w:tc>
          <w:tcPr>
            <w:tcW w:w="480" w:type="dxa"/>
            <w:vAlign w:val="bottom"/>
            <w:tcBorders>
              <w:right w:val="single" w:sz="8" w:color="D6D1D8"/>
            </w:tcBorders>
            <w:shd w:val="clear" w:color="auto" w:fill="D6D1D8"/>
          </w:tcPr>
          <w:p>
            <w:pPr>
              <w:spacing w:after="0"/>
              <w:rPr>
                <w:sz w:val="24"/>
                <w:szCs w:val="24"/>
                <w:color w:val="auto"/>
              </w:rPr>
            </w:pPr>
          </w:p>
        </w:tc>
        <w:tc>
          <w:tcPr>
            <w:tcW w:w="660" w:type="dxa"/>
            <w:vAlign w:val="bottom"/>
            <w:tcBorders>
              <w:right w:val="single" w:sz="8" w:color="D6D1D8"/>
            </w:tcBorders>
            <w:shd w:val="clear" w:color="auto" w:fill="D6D1D8"/>
          </w:tcPr>
          <w:p>
            <w:pPr>
              <w:jc w:val="center"/>
              <w:spacing w:after="0"/>
              <w:rPr>
                <w:sz w:val="20"/>
                <w:szCs w:val="20"/>
                <w:color w:val="auto"/>
              </w:rPr>
            </w:pPr>
            <w:r>
              <w:rPr>
                <w:rFonts w:ascii="Arial" w:cs="Arial" w:eastAsia="Arial" w:hAnsi="Arial"/>
                <w:sz w:val="14"/>
                <w:szCs w:val="14"/>
                <w:color w:val="auto"/>
                <w:w w:val="73"/>
              </w:rPr>
              <w:t>X </w:t>
            </w:r>
          </w:p>
        </w:tc>
        <w:tc>
          <w:tcPr>
            <w:tcW w:w="500" w:type="dxa"/>
            <w:vAlign w:val="bottom"/>
            <w:tcBorders>
              <w:right w:val="single" w:sz="8" w:color="D6D1D8"/>
            </w:tcBorders>
            <w:shd w:val="clear" w:color="auto" w:fill="D6D1D8"/>
          </w:tcPr>
          <w:p>
            <w:pPr>
              <w:spacing w:after="0"/>
              <w:rPr>
                <w:sz w:val="24"/>
                <w:szCs w:val="24"/>
                <w:color w:val="auto"/>
              </w:rPr>
            </w:pPr>
          </w:p>
        </w:tc>
        <w:tc>
          <w:tcPr>
            <w:tcW w:w="400" w:type="dxa"/>
            <w:vAlign w:val="bottom"/>
            <w:tcBorders>
              <w:right w:val="single" w:sz="8" w:color="D6D1D8"/>
            </w:tcBorders>
            <w:shd w:val="clear" w:color="auto" w:fill="D6D1D8"/>
          </w:tcPr>
          <w:p>
            <w:pPr>
              <w:spacing w:after="0"/>
              <w:rPr>
                <w:sz w:val="24"/>
                <w:szCs w:val="24"/>
                <w:color w:val="auto"/>
              </w:rPr>
            </w:pPr>
          </w:p>
        </w:tc>
        <w:tc>
          <w:tcPr>
            <w:tcW w:w="660" w:type="dxa"/>
            <w:vAlign w:val="bottom"/>
            <w:tcBorders>
              <w:right w:val="single" w:sz="8" w:color="D6D1D8"/>
            </w:tcBorders>
            <w:shd w:val="clear" w:color="auto" w:fill="D6D1D8"/>
          </w:tcPr>
          <w:p>
            <w:pPr>
              <w:spacing w:after="0"/>
              <w:rPr>
                <w:sz w:val="24"/>
                <w:szCs w:val="24"/>
                <w:color w:val="auto"/>
              </w:rPr>
            </w:pPr>
          </w:p>
        </w:tc>
        <w:tc>
          <w:tcPr>
            <w:tcW w:w="740" w:type="dxa"/>
            <w:vAlign w:val="bottom"/>
            <w:tcBorders>
              <w:right w:val="single" w:sz="8" w:color="D6D1D8"/>
            </w:tcBorders>
            <w:shd w:val="clear" w:color="auto" w:fill="D6D1D8"/>
          </w:tcPr>
          <w:p>
            <w:pPr>
              <w:spacing w:after="0"/>
              <w:rPr>
                <w:sz w:val="24"/>
                <w:szCs w:val="24"/>
                <w:color w:val="auto"/>
              </w:rPr>
            </w:pPr>
          </w:p>
        </w:tc>
        <w:tc>
          <w:tcPr>
            <w:tcW w:w="500" w:type="dxa"/>
            <w:vAlign w:val="bottom"/>
            <w:tcBorders>
              <w:right w:val="single" w:sz="8" w:color="D6D1D8"/>
            </w:tcBorders>
            <w:shd w:val="clear" w:color="auto" w:fill="D6D1D8"/>
          </w:tcPr>
          <w:p>
            <w:pPr>
              <w:spacing w:after="0"/>
              <w:rPr>
                <w:sz w:val="24"/>
                <w:szCs w:val="24"/>
                <w:color w:val="auto"/>
              </w:rPr>
            </w:pPr>
          </w:p>
        </w:tc>
        <w:tc>
          <w:tcPr>
            <w:tcW w:w="500" w:type="dxa"/>
            <w:vAlign w:val="bottom"/>
            <w:tcBorders>
              <w:right w:val="single" w:sz="8" w:color="D6D1D8"/>
            </w:tcBorders>
            <w:shd w:val="clear" w:color="auto" w:fill="D6D1D8"/>
          </w:tcPr>
          <w:p>
            <w:pPr>
              <w:ind w:left="180"/>
              <w:spacing w:after="0"/>
              <w:rPr>
                <w:sz w:val="20"/>
                <w:szCs w:val="20"/>
                <w:color w:val="auto"/>
              </w:rPr>
            </w:pPr>
            <w:r>
              <w:rPr>
                <w:rFonts w:ascii="Arial" w:cs="Arial" w:eastAsia="Arial" w:hAnsi="Arial"/>
                <w:sz w:val="14"/>
                <w:szCs w:val="14"/>
                <w:color w:val="auto"/>
              </w:rPr>
              <w:t>X</w:t>
            </w:r>
          </w:p>
        </w:tc>
        <w:tc>
          <w:tcPr>
            <w:tcW w:w="460" w:type="dxa"/>
            <w:vAlign w:val="bottom"/>
            <w:shd w:val="clear" w:color="auto" w:fill="D6D1D8"/>
          </w:tcPr>
          <w:p>
            <w:pPr>
              <w:spacing w:after="0"/>
              <w:rPr>
                <w:sz w:val="24"/>
                <w:szCs w:val="24"/>
                <w:color w:val="auto"/>
              </w:rPr>
            </w:pPr>
          </w:p>
        </w:tc>
        <w:tc>
          <w:tcPr>
            <w:tcW w:w="20" w:type="dxa"/>
            <w:vAlign w:val="bottom"/>
          </w:tcPr>
          <w:p>
            <w:pPr>
              <w:spacing w:after="0"/>
              <w:rPr>
                <w:sz w:val="24"/>
                <w:szCs w:val="24"/>
                <w:color w:val="auto"/>
              </w:rPr>
            </w:pPr>
          </w:p>
        </w:tc>
      </w:tr>
      <w:tr>
        <w:trPr>
          <w:trHeight w:val="160"/>
        </w:trPr>
        <w:tc>
          <w:tcPr>
            <w:tcW w:w="6020" w:type="dxa"/>
            <w:vAlign w:val="bottom"/>
            <w:tcBorders>
              <w:left w:val="single" w:sz="8" w:color="D6D1D8"/>
              <w:right w:val="single" w:sz="8" w:color="D6D1D8"/>
            </w:tcBorders>
            <w:shd w:val="clear" w:color="auto" w:fill="D6D1D8"/>
          </w:tcPr>
          <w:p>
            <w:pPr>
              <w:ind w:left="80"/>
              <w:spacing w:after="0"/>
              <w:rPr>
                <w:sz w:val="20"/>
                <w:szCs w:val="20"/>
                <w:color w:val="auto"/>
              </w:rPr>
            </w:pPr>
            <w:r>
              <w:rPr>
                <w:rFonts w:ascii="Arial" w:cs="Arial" w:eastAsia="Arial" w:hAnsi="Arial"/>
                <w:sz w:val="14"/>
                <w:szCs w:val="14"/>
                <w:color w:val="auto"/>
              </w:rPr>
              <w:t>Experience in navigating geopolitical risks and opportunities enhances the Board’s oversight</w:t>
            </w:r>
          </w:p>
        </w:tc>
        <w:tc>
          <w:tcPr>
            <w:tcW w:w="480" w:type="dxa"/>
            <w:vAlign w:val="bottom"/>
            <w:tcBorders>
              <w:right w:val="single" w:sz="8" w:color="D6D1D8"/>
            </w:tcBorders>
            <w:shd w:val="clear" w:color="auto" w:fill="D6D1D8"/>
          </w:tcPr>
          <w:p>
            <w:pPr>
              <w:spacing w:after="0"/>
              <w:rPr>
                <w:sz w:val="13"/>
                <w:szCs w:val="13"/>
                <w:color w:val="auto"/>
              </w:rPr>
            </w:pPr>
          </w:p>
        </w:tc>
        <w:tc>
          <w:tcPr>
            <w:tcW w:w="660" w:type="dxa"/>
            <w:vAlign w:val="bottom"/>
            <w:tcBorders>
              <w:right w:val="single" w:sz="8" w:color="D6D1D8"/>
            </w:tcBorders>
            <w:shd w:val="clear" w:color="auto" w:fill="D6D1D8"/>
          </w:tcPr>
          <w:p>
            <w:pPr>
              <w:spacing w:after="0"/>
              <w:rPr>
                <w:sz w:val="13"/>
                <w:szCs w:val="13"/>
                <w:color w:val="auto"/>
              </w:rPr>
            </w:pPr>
          </w:p>
        </w:tc>
        <w:tc>
          <w:tcPr>
            <w:tcW w:w="500" w:type="dxa"/>
            <w:vAlign w:val="bottom"/>
            <w:tcBorders>
              <w:right w:val="single" w:sz="8" w:color="D6D1D8"/>
            </w:tcBorders>
            <w:shd w:val="clear" w:color="auto" w:fill="D6D1D8"/>
          </w:tcPr>
          <w:p>
            <w:pPr>
              <w:spacing w:after="0"/>
              <w:rPr>
                <w:sz w:val="13"/>
                <w:szCs w:val="13"/>
                <w:color w:val="auto"/>
              </w:rPr>
            </w:pPr>
          </w:p>
        </w:tc>
        <w:tc>
          <w:tcPr>
            <w:tcW w:w="400" w:type="dxa"/>
            <w:vAlign w:val="bottom"/>
            <w:tcBorders>
              <w:right w:val="single" w:sz="8" w:color="D6D1D8"/>
            </w:tcBorders>
            <w:shd w:val="clear" w:color="auto" w:fill="D6D1D8"/>
          </w:tcPr>
          <w:p>
            <w:pPr>
              <w:spacing w:after="0"/>
              <w:rPr>
                <w:sz w:val="13"/>
                <w:szCs w:val="13"/>
                <w:color w:val="auto"/>
              </w:rPr>
            </w:pPr>
          </w:p>
        </w:tc>
        <w:tc>
          <w:tcPr>
            <w:tcW w:w="660" w:type="dxa"/>
            <w:vAlign w:val="bottom"/>
            <w:tcBorders>
              <w:right w:val="single" w:sz="8" w:color="D6D1D8"/>
            </w:tcBorders>
            <w:shd w:val="clear" w:color="auto" w:fill="D6D1D8"/>
          </w:tcPr>
          <w:p>
            <w:pPr>
              <w:spacing w:after="0"/>
              <w:rPr>
                <w:sz w:val="13"/>
                <w:szCs w:val="13"/>
                <w:color w:val="auto"/>
              </w:rPr>
            </w:pPr>
          </w:p>
        </w:tc>
        <w:tc>
          <w:tcPr>
            <w:tcW w:w="740" w:type="dxa"/>
            <w:vAlign w:val="bottom"/>
            <w:tcBorders>
              <w:right w:val="single" w:sz="8" w:color="D6D1D8"/>
            </w:tcBorders>
            <w:shd w:val="clear" w:color="auto" w:fill="D6D1D8"/>
          </w:tcPr>
          <w:p>
            <w:pPr>
              <w:spacing w:after="0"/>
              <w:rPr>
                <w:sz w:val="13"/>
                <w:szCs w:val="13"/>
                <w:color w:val="auto"/>
              </w:rPr>
            </w:pPr>
          </w:p>
        </w:tc>
        <w:tc>
          <w:tcPr>
            <w:tcW w:w="500" w:type="dxa"/>
            <w:vAlign w:val="bottom"/>
            <w:tcBorders>
              <w:right w:val="single" w:sz="8" w:color="D6D1D8"/>
            </w:tcBorders>
            <w:shd w:val="clear" w:color="auto" w:fill="D6D1D8"/>
          </w:tcPr>
          <w:p>
            <w:pPr>
              <w:spacing w:after="0"/>
              <w:rPr>
                <w:sz w:val="13"/>
                <w:szCs w:val="13"/>
                <w:color w:val="auto"/>
              </w:rPr>
            </w:pPr>
          </w:p>
        </w:tc>
        <w:tc>
          <w:tcPr>
            <w:tcW w:w="500" w:type="dxa"/>
            <w:vAlign w:val="bottom"/>
            <w:tcBorders>
              <w:right w:val="single" w:sz="8" w:color="D6D1D8"/>
            </w:tcBorders>
            <w:shd w:val="clear" w:color="auto" w:fill="D6D1D8"/>
          </w:tcPr>
          <w:p>
            <w:pPr>
              <w:spacing w:after="0"/>
              <w:rPr>
                <w:sz w:val="13"/>
                <w:szCs w:val="13"/>
                <w:color w:val="auto"/>
              </w:rPr>
            </w:pPr>
          </w:p>
        </w:tc>
        <w:tc>
          <w:tcPr>
            <w:tcW w:w="460" w:type="dxa"/>
            <w:vAlign w:val="bottom"/>
            <w:shd w:val="clear" w:color="auto" w:fill="D6D1D8"/>
          </w:tcPr>
          <w:p>
            <w:pPr>
              <w:spacing w:after="0"/>
              <w:rPr>
                <w:sz w:val="13"/>
                <w:szCs w:val="13"/>
                <w:color w:val="auto"/>
              </w:rPr>
            </w:pPr>
          </w:p>
        </w:tc>
        <w:tc>
          <w:tcPr>
            <w:tcW w:w="20" w:type="dxa"/>
            <w:vAlign w:val="bottom"/>
          </w:tcPr>
          <w:p>
            <w:pPr>
              <w:spacing w:after="0"/>
              <w:rPr>
                <w:sz w:val="13"/>
                <w:szCs w:val="13"/>
                <w:color w:val="auto"/>
              </w:rPr>
            </w:pPr>
          </w:p>
        </w:tc>
      </w:tr>
      <w:tr>
        <w:trPr>
          <w:trHeight w:val="189"/>
        </w:trPr>
        <w:tc>
          <w:tcPr>
            <w:tcW w:w="6020" w:type="dxa"/>
            <w:vAlign w:val="bottom"/>
            <w:tcBorders>
              <w:left w:val="single" w:sz="8" w:color="D6D1D8"/>
              <w:right w:val="single" w:sz="8" w:color="D6D1D8"/>
            </w:tcBorders>
            <w:shd w:val="clear" w:color="auto" w:fill="D6D1D8"/>
          </w:tcPr>
          <w:p>
            <w:pPr>
              <w:ind w:left="80"/>
              <w:spacing w:after="0"/>
              <w:rPr>
                <w:sz w:val="20"/>
                <w:szCs w:val="20"/>
                <w:color w:val="auto"/>
              </w:rPr>
            </w:pPr>
            <w:r>
              <w:rPr>
                <w:rFonts w:ascii="Arial" w:cs="Arial" w:eastAsia="Arial" w:hAnsi="Arial"/>
                <w:sz w:val="14"/>
                <w:szCs w:val="14"/>
                <w:color w:val="auto"/>
              </w:rPr>
              <w:t>of risks related to international operations and foreign market access</w:t>
            </w:r>
          </w:p>
        </w:tc>
        <w:tc>
          <w:tcPr>
            <w:tcW w:w="480" w:type="dxa"/>
            <w:vAlign w:val="bottom"/>
            <w:tcBorders>
              <w:right w:val="single" w:sz="8" w:color="D6D1D8"/>
            </w:tcBorders>
            <w:shd w:val="clear" w:color="auto" w:fill="D6D1D8"/>
          </w:tcPr>
          <w:p>
            <w:pPr>
              <w:spacing w:after="0"/>
              <w:rPr>
                <w:sz w:val="16"/>
                <w:szCs w:val="16"/>
                <w:color w:val="auto"/>
              </w:rPr>
            </w:pPr>
          </w:p>
        </w:tc>
        <w:tc>
          <w:tcPr>
            <w:tcW w:w="660" w:type="dxa"/>
            <w:vAlign w:val="bottom"/>
            <w:tcBorders>
              <w:right w:val="single" w:sz="8" w:color="D6D1D8"/>
            </w:tcBorders>
            <w:shd w:val="clear" w:color="auto" w:fill="D6D1D8"/>
          </w:tcPr>
          <w:p>
            <w:pPr>
              <w:spacing w:after="0"/>
              <w:rPr>
                <w:sz w:val="16"/>
                <w:szCs w:val="16"/>
                <w:color w:val="auto"/>
              </w:rPr>
            </w:pPr>
          </w:p>
        </w:tc>
        <w:tc>
          <w:tcPr>
            <w:tcW w:w="500" w:type="dxa"/>
            <w:vAlign w:val="bottom"/>
            <w:tcBorders>
              <w:right w:val="single" w:sz="8" w:color="D6D1D8"/>
            </w:tcBorders>
            <w:shd w:val="clear" w:color="auto" w:fill="D6D1D8"/>
          </w:tcPr>
          <w:p>
            <w:pPr>
              <w:spacing w:after="0"/>
              <w:rPr>
                <w:sz w:val="16"/>
                <w:szCs w:val="16"/>
                <w:color w:val="auto"/>
              </w:rPr>
            </w:pPr>
          </w:p>
        </w:tc>
        <w:tc>
          <w:tcPr>
            <w:tcW w:w="400" w:type="dxa"/>
            <w:vAlign w:val="bottom"/>
            <w:tcBorders>
              <w:right w:val="single" w:sz="8" w:color="D6D1D8"/>
            </w:tcBorders>
            <w:shd w:val="clear" w:color="auto" w:fill="D6D1D8"/>
          </w:tcPr>
          <w:p>
            <w:pPr>
              <w:spacing w:after="0"/>
              <w:rPr>
                <w:sz w:val="16"/>
                <w:szCs w:val="16"/>
                <w:color w:val="auto"/>
              </w:rPr>
            </w:pPr>
          </w:p>
        </w:tc>
        <w:tc>
          <w:tcPr>
            <w:tcW w:w="660" w:type="dxa"/>
            <w:vAlign w:val="bottom"/>
            <w:tcBorders>
              <w:right w:val="single" w:sz="8" w:color="D6D1D8"/>
            </w:tcBorders>
            <w:shd w:val="clear" w:color="auto" w:fill="D6D1D8"/>
          </w:tcPr>
          <w:p>
            <w:pPr>
              <w:spacing w:after="0"/>
              <w:rPr>
                <w:sz w:val="16"/>
                <w:szCs w:val="16"/>
                <w:color w:val="auto"/>
              </w:rPr>
            </w:pPr>
          </w:p>
        </w:tc>
        <w:tc>
          <w:tcPr>
            <w:tcW w:w="740" w:type="dxa"/>
            <w:vAlign w:val="bottom"/>
            <w:tcBorders>
              <w:right w:val="single" w:sz="8" w:color="D6D1D8"/>
            </w:tcBorders>
            <w:shd w:val="clear" w:color="auto" w:fill="D6D1D8"/>
          </w:tcPr>
          <w:p>
            <w:pPr>
              <w:spacing w:after="0"/>
              <w:rPr>
                <w:sz w:val="16"/>
                <w:szCs w:val="16"/>
                <w:color w:val="auto"/>
              </w:rPr>
            </w:pPr>
          </w:p>
        </w:tc>
        <w:tc>
          <w:tcPr>
            <w:tcW w:w="500" w:type="dxa"/>
            <w:vAlign w:val="bottom"/>
            <w:tcBorders>
              <w:right w:val="single" w:sz="8" w:color="D6D1D8"/>
            </w:tcBorders>
            <w:shd w:val="clear" w:color="auto" w:fill="D6D1D8"/>
          </w:tcPr>
          <w:p>
            <w:pPr>
              <w:spacing w:after="0"/>
              <w:rPr>
                <w:sz w:val="16"/>
                <w:szCs w:val="16"/>
                <w:color w:val="auto"/>
              </w:rPr>
            </w:pPr>
          </w:p>
        </w:tc>
        <w:tc>
          <w:tcPr>
            <w:tcW w:w="500" w:type="dxa"/>
            <w:vAlign w:val="bottom"/>
            <w:tcBorders>
              <w:right w:val="single" w:sz="8" w:color="D6D1D8"/>
            </w:tcBorders>
            <w:shd w:val="clear" w:color="auto" w:fill="D6D1D8"/>
          </w:tcPr>
          <w:p>
            <w:pPr>
              <w:spacing w:after="0"/>
              <w:rPr>
                <w:sz w:val="16"/>
                <w:szCs w:val="16"/>
                <w:color w:val="auto"/>
              </w:rPr>
            </w:pPr>
          </w:p>
        </w:tc>
        <w:tc>
          <w:tcPr>
            <w:tcW w:w="460" w:type="dxa"/>
            <w:vAlign w:val="bottom"/>
            <w:shd w:val="clear" w:color="auto" w:fill="D6D1D8"/>
          </w:tcPr>
          <w:p>
            <w:pPr>
              <w:spacing w:after="0"/>
              <w:rPr>
                <w:sz w:val="16"/>
                <w:szCs w:val="16"/>
                <w:color w:val="auto"/>
              </w:rPr>
            </w:pPr>
          </w:p>
        </w:tc>
        <w:tc>
          <w:tcPr>
            <w:tcW w:w="20" w:type="dxa"/>
            <w:vAlign w:val="bottom"/>
          </w:tcPr>
          <w:p>
            <w:pPr>
              <w:spacing w:after="0"/>
              <w:rPr>
                <w:sz w:val="16"/>
                <w:szCs w:val="16"/>
                <w:color w:val="auto"/>
              </w:rPr>
            </w:pPr>
          </w:p>
        </w:tc>
      </w:tr>
      <w:tr>
        <w:trPr>
          <w:trHeight w:val="101"/>
        </w:trPr>
        <w:tc>
          <w:tcPr>
            <w:tcW w:w="6020" w:type="dxa"/>
            <w:vAlign w:val="bottom"/>
            <w:tcBorders>
              <w:left w:val="single" w:sz="8" w:color="D6D1D8"/>
              <w:right w:val="single" w:sz="8" w:color="D6D1D8"/>
            </w:tcBorders>
            <w:shd w:val="clear" w:color="auto" w:fill="D6D1D8"/>
          </w:tcPr>
          <w:p>
            <w:pPr>
              <w:spacing w:after="0"/>
              <w:rPr>
                <w:sz w:val="8"/>
                <w:szCs w:val="8"/>
                <w:color w:val="auto"/>
              </w:rPr>
            </w:pPr>
          </w:p>
        </w:tc>
        <w:tc>
          <w:tcPr>
            <w:tcW w:w="480" w:type="dxa"/>
            <w:vAlign w:val="bottom"/>
            <w:tcBorders>
              <w:right w:val="single" w:sz="8" w:color="D6D1D8"/>
            </w:tcBorders>
            <w:shd w:val="clear" w:color="auto" w:fill="D6D1D8"/>
          </w:tcPr>
          <w:p>
            <w:pPr>
              <w:spacing w:after="0"/>
              <w:rPr>
                <w:sz w:val="8"/>
                <w:szCs w:val="8"/>
                <w:color w:val="auto"/>
              </w:rPr>
            </w:pPr>
          </w:p>
        </w:tc>
        <w:tc>
          <w:tcPr>
            <w:tcW w:w="660" w:type="dxa"/>
            <w:vAlign w:val="bottom"/>
            <w:tcBorders>
              <w:right w:val="single" w:sz="8" w:color="D6D1D8"/>
            </w:tcBorders>
            <w:shd w:val="clear" w:color="auto" w:fill="D6D1D8"/>
          </w:tcPr>
          <w:p>
            <w:pPr>
              <w:spacing w:after="0"/>
              <w:rPr>
                <w:sz w:val="8"/>
                <w:szCs w:val="8"/>
                <w:color w:val="auto"/>
              </w:rPr>
            </w:pPr>
          </w:p>
        </w:tc>
        <w:tc>
          <w:tcPr>
            <w:tcW w:w="500" w:type="dxa"/>
            <w:vAlign w:val="bottom"/>
            <w:tcBorders>
              <w:right w:val="single" w:sz="8" w:color="D6D1D8"/>
            </w:tcBorders>
            <w:shd w:val="clear" w:color="auto" w:fill="D6D1D8"/>
          </w:tcPr>
          <w:p>
            <w:pPr>
              <w:spacing w:after="0"/>
              <w:rPr>
                <w:sz w:val="8"/>
                <w:szCs w:val="8"/>
                <w:color w:val="auto"/>
              </w:rPr>
            </w:pPr>
          </w:p>
        </w:tc>
        <w:tc>
          <w:tcPr>
            <w:tcW w:w="400" w:type="dxa"/>
            <w:vAlign w:val="bottom"/>
            <w:tcBorders>
              <w:right w:val="single" w:sz="8" w:color="D6D1D8"/>
            </w:tcBorders>
            <w:shd w:val="clear" w:color="auto" w:fill="D6D1D8"/>
          </w:tcPr>
          <w:p>
            <w:pPr>
              <w:spacing w:after="0"/>
              <w:rPr>
                <w:sz w:val="8"/>
                <w:szCs w:val="8"/>
                <w:color w:val="auto"/>
              </w:rPr>
            </w:pPr>
          </w:p>
        </w:tc>
        <w:tc>
          <w:tcPr>
            <w:tcW w:w="660" w:type="dxa"/>
            <w:vAlign w:val="bottom"/>
            <w:tcBorders>
              <w:right w:val="single" w:sz="8" w:color="D6D1D8"/>
            </w:tcBorders>
            <w:shd w:val="clear" w:color="auto" w:fill="D6D1D8"/>
          </w:tcPr>
          <w:p>
            <w:pPr>
              <w:spacing w:after="0"/>
              <w:rPr>
                <w:sz w:val="8"/>
                <w:szCs w:val="8"/>
                <w:color w:val="auto"/>
              </w:rPr>
            </w:pPr>
          </w:p>
        </w:tc>
        <w:tc>
          <w:tcPr>
            <w:tcW w:w="740" w:type="dxa"/>
            <w:vAlign w:val="bottom"/>
            <w:tcBorders>
              <w:right w:val="single" w:sz="8" w:color="D6D1D8"/>
            </w:tcBorders>
            <w:shd w:val="clear" w:color="auto" w:fill="D6D1D8"/>
          </w:tcPr>
          <w:p>
            <w:pPr>
              <w:spacing w:after="0"/>
              <w:rPr>
                <w:sz w:val="8"/>
                <w:szCs w:val="8"/>
                <w:color w:val="auto"/>
              </w:rPr>
            </w:pPr>
          </w:p>
        </w:tc>
        <w:tc>
          <w:tcPr>
            <w:tcW w:w="500" w:type="dxa"/>
            <w:vAlign w:val="bottom"/>
            <w:tcBorders>
              <w:right w:val="single" w:sz="8" w:color="D6D1D8"/>
            </w:tcBorders>
            <w:shd w:val="clear" w:color="auto" w:fill="D6D1D8"/>
          </w:tcPr>
          <w:p>
            <w:pPr>
              <w:spacing w:after="0"/>
              <w:rPr>
                <w:sz w:val="8"/>
                <w:szCs w:val="8"/>
                <w:color w:val="auto"/>
              </w:rPr>
            </w:pPr>
          </w:p>
        </w:tc>
        <w:tc>
          <w:tcPr>
            <w:tcW w:w="500" w:type="dxa"/>
            <w:vAlign w:val="bottom"/>
            <w:tcBorders>
              <w:right w:val="single" w:sz="8" w:color="D6D1D8"/>
            </w:tcBorders>
            <w:shd w:val="clear" w:color="auto" w:fill="D6D1D8"/>
          </w:tcPr>
          <w:p>
            <w:pPr>
              <w:spacing w:after="0"/>
              <w:rPr>
                <w:sz w:val="8"/>
                <w:szCs w:val="8"/>
                <w:color w:val="auto"/>
              </w:rPr>
            </w:pPr>
          </w:p>
        </w:tc>
        <w:tc>
          <w:tcPr>
            <w:tcW w:w="460" w:type="dxa"/>
            <w:vAlign w:val="bottom"/>
            <w:shd w:val="clear" w:color="auto" w:fill="D6D1D8"/>
          </w:tcPr>
          <w:p>
            <w:pPr>
              <w:spacing w:after="0"/>
              <w:rPr>
                <w:sz w:val="8"/>
                <w:szCs w:val="8"/>
                <w:color w:val="auto"/>
              </w:rPr>
            </w:pPr>
          </w:p>
        </w:tc>
        <w:tc>
          <w:tcPr>
            <w:tcW w:w="20" w:type="dxa"/>
            <w:vAlign w:val="bottom"/>
          </w:tcPr>
          <w:p>
            <w:pPr>
              <w:spacing w:after="0"/>
              <w:rPr>
                <w:sz w:val="8"/>
                <w:szCs w:val="8"/>
                <w:color w:val="auto"/>
              </w:rPr>
            </w:pPr>
          </w:p>
        </w:tc>
      </w:tr>
      <w:tr>
        <w:trPr>
          <w:trHeight w:val="285"/>
        </w:trPr>
        <w:tc>
          <w:tcPr>
            <w:tcW w:w="6020" w:type="dxa"/>
            <w:vAlign w:val="bottom"/>
          </w:tcPr>
          <w:p>
            <w:pPr>
              <w:ind w:left="80"/>
              <w:spacing w:after="0"/>
              <w:rPr>
                <w:sz w:val="20"/>
                <w:szCs w:val="20"/>
                <w:color w:val="auto"/>
              </w:rPr>
            </w:pPr>
            <w:r>
              <w:rPr>
                <w:rFonts w:ascii="Arial" w:cs="Arial" w:eastAsia="Arial" w:hAnsi="Arial"/>
                <w:sz w:val="14"/>
                <w:szCs w:val="14"/>
                <w:color w:val="auto"/>
              </w:rPr>
              <w:t>REAL ESTATE &amp; PROJECT CONSTRUCTION</w:t>
            </w:r>
          </w:p>
        </w:tc>
        <w:tc>
          <w:tcPr>
            <w:tcW w:w="480" w:type="dxa"/>
            <w:vAlign w:val="bottom"/>
          </w:tcPr>
          <w:p>
            <w:pPr>
              <w:ind w:left="180"/>
              <w:spacing w:after="0"/>
              <w:rPr>
                <w:sz w:val="20"/>
                <w:szCs w:val="20"/>
                <w:color w:val="auto"/>
              </w:rPr>
            </w:pPr>
            <w:r>
              <w:rPr>
                <w:rFonts w:ascii="Arial" w:cs="Arial" w:eastAsia="Arial" w:hAnsi="Arial"/>
                <w:sz w:val="14"/>
                <w:szCs w:val="14"/>
                <w:color w:val="auto"/>
              </w:rPr>
              <w:t>X </w:t>
            </w:r>
          </w:p>
        </w:tc>
        <w:tc>
          <w:tcPr>
            <w:tcW w:w="660" w:type="dxa"/>
            <w:vAlign w:val="bottom"/>
          </w:tcPr>
          <w:p>
            <w:pPr>
              <w:jc w:val="center"/>
              <w:spacing w:after="0"/>
              <w:rPr>
                <w:sz w:val="20"/>
                <w:szCs w:val="20"/>
                <w:color w:val="auto"/>
              </w:rPr>
            </w:pPr>
            <w:r>
              <w:rPr>
                <w:rFonts w:ascii="Arial" w:cs="Arial" w:eastAsia="Arial" w:hAnsi="Arial"/>
                <w:sz w:val="14"/>
                <w:szCs w:val="14"/>
                <w:color w:val="auto"/>
                <w:w w:val="73"/>
              </w:rPr>
              <w:t>X </w:t>
            </w:r>
          </w:p>
        </w:tc>
        <w:tc>
          <w:tcPr>
            <w:tcW w:w="500" w:type="dxa"/>
            <w:vAlign w:val="bottom"/>
          </w:tcPr>
          <w:p>
            <w:pPr>
              <w:ind w:left="200"/>
              <w:spacing w:after="0"/>
              <w:rPr>
                <w:sz w:val="20"/>
                <w:szCs w:val="20"/>
                <w:color w:val="auto"/>
              </w:rPr>
            </w:pPr>
            <w:r>
              <w:rPr>
                <w:rFonts w:ascii="Arial" w:cs="Arial" w:eastAsia="Arial" w:hAnsi="Arial"/>
                <w:sz w:val="14"/>
                <w:szCs w:val="14"/>
                <w:color w:val="auto"/>
              </w:rPr>
              <w:t>X </w:t>
            </w:r>
          </w:p>
        </w:tc>
        <w:tc>
          <w:tcPr>
            <w:tcW w:w="400" w:type="dxa"/>
            <w:vAlign w:val="bottom"/>
          </w:tcPr>
          <w:p>
            <w:pPr>
              <w:ind w:left="120"/>
              <w:spacing w:after="0"/>
              <w:rPr>
                <w:sz w:val="20"/>
                <w:szCs w:val="20"/>
                <w:color w:val="auto"/>
              </w:rPr>
            </w:pPr>
            <w:r>
              <w:rPr>
                <w:rFonts w:ascii="Arial" w:cs="Arial" w:eastAsia="Arial" w:hAnsi="Arial"/>
                <w:sz w:val="14"/>
                <w:szCs w:val="14"/>
                <w:color w:val="auto"/>
              </w:rPr>
              <w:t>X </w:t>
            </w:r>
          </w:p>
        </w:tc>
        <w:tc>
          <w:tcPr>
            <w:tcW w:w="660" w:type="dxa"/>
            <w:vAlign w:val="bottom"/>
          </w:tcPr>
          <w:p>
            <w:pPr>
              <w:ind w:left="260"/>
              <w:spacing w:after="0"/>
              <w:rPr>
                <w:sz w:val="20"/>
                <w:szCs w:val="20"/>
                <w:color w:val="auto"/>
              </w:rPr>
            </w:pPr>
            <w:r>
              <w:rPr>
                <w:rFonts w:ascii="Arial" w:cs="Arial" w:eastAsia="Arial" w:hAnsi="Arial"/>
                <w:sz w:val="14"/>
                <w:szCs w:val="14"/>
                <w:color w:val="auto"/>
              </w:rPr>
              <w:t>X </w:t>
            </w:r>
          </w:p>
        </w:tc>
        <w:tc>
          <w:tcPr>
            <w:tcW w:w="740" w:type="dxa"/>
            <w:vAlign w:val="bottom"/>
          </w:tcPr>
          <w:p>
            <w:pPr>
              <w:ind w:left="300"/>
              <w:spacing w:after="0"/>
              <w:rPr>
                <w:sz w:val="20"/>
                <w:szCs w:val="20"/>
                <w:color w:val="auto"/>
              </w:rPr>
            </w:pPr>
            <w:r>
              <w:rPr>
                <w:rFonts w:ascii="Arial" w:cs="Arial" w:eastAsia="Arial" w:hAnsi="Arial"/>
                <w:sz w:val="14"/>
                <w:szCs w:val="14"/>
                <w:color w:val="auto"/>
              </w:rPr>
              <w:t>X </w:t>
            </w:r>
          </w:p>
        </w:tc>
        <w:tc>
          <w:tcPr>
            <w:tcW w:w="500" w:type="dxa"/>
            <w:vAlign w:val="bottom"/>
          </w:tcPr>
          <w:p>
            <w:pPr>
              <w:ind w:left="200"/>
              <w:spacing w:after="0"/>
              <w:rPr>
                <w:sz w:val="20"/>
                <w:szCs w:val="20"/>
                <w:color w:val="auto"/>
              </w:rPr>
            </w:pPr>
            <w:r>
              <w:rPr>
                <w:rFonts w:ascii="Arial" w:cs="Arial" w:eastAsia="Arial" w:hAnsi="Arial"/>
                <w:sz w:val="14"/>
                <w:szCs w:val="14"/>
                <w:color w:val="auto"/>
              </w:rPr>
              <w:t>X </w:t>
            </w:r>
          </w:p>
        </w:tc>
        <w:tc>
          <w:tcPr>
            <w:tcW w:w="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rPr>
              <w:t>X</w:t>
            </w:r>
          </w:p>
        </w:tc>
        <w:tc>
          <w:tcPr>
            <w:tcW w:w="20" w:type="dxa"/>
            <w:vAlign w:val="bottom"/>
          </w:tcPr>
          <w:p>
            <w:pPr>
              <w:spacing w:after="0"/>
              <w:rPr>
                <w:sz w:val="24"/>
                <w:szCs w:val="24"/>
                <w:color w:val="auto"/>
              </w:rPr>
            </w:pPr>
          </w:p>
        </w:tc>
      </w:tr>
      <w:tr>
        <w:trPr>
          <w:trHeight w:val="160"/>
        </w:trPr>
        <w:tc>
          <w:tcPr>
            <w:tcW w:w="6020" w:type="dxa"/>
            <w:vAlign w:val="bottom"/>
          </w:tcPr>
          <w:p>
            <w:pPr>
              <w:ind w:left="80"/>
              <w:spacing w:after="0"/>
              <w:rPr>
                <w:sz w:val="20"/>
                <w:szCs w:val="20"/>
                <w:color w:val="auto"/>
              </w:rPr>
            </w:pPr>
            <w:r>
              <w:rPr>
                <w:rFonts w:ascii="Arial" w:cs="Arial" w:eastAsia="Arial" w:hAnsi="Arial"/>
                <w:sz w:val="14"/>
                <w:szCs w:val="14"/>
                <w:color w:val="auto"/>
              </w:rPr>
              <w:t>Experience in real estate and ground-up development informs the Board’s oversight of</w:t>
            </w: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9"/>
        </w:trPr>
        <w:tc>
          <w:tcPr>
            <w:tcW w:w="6020" w:type="dxa"/>
            <w:vAlign w:val="bottom"/>
          </w:tcPr>
          <w:p>
            <w:pPr>
              <w:ind w:left="80"/>
              <w:spacing w:after="0"/>
              <w:rPr>
                <w:sz w:val="20"/>
                <w:szCs w:val="20"/>
                <w:color w:val="auto"/>
              </w:rPr>
            </w:pPr>
            <w:r>
              <w:rPr>
                <w:rFonts w:ascii="Arial" w:cs="Arial" w:eastAsia="Arial" w:hAnsi="Arial"/>
                <w:sz w:val="14"/>
                <w:szCs w:val="14"/>
                <w:color w:val="auto"/>
              </w:rPr>
              <w:t>operational and developmental strategies</w:t>
            </w: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01"/>
        </w:trPr>
        <w:tc>
          <w:tcPr>
            <w:tcW w:w="6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85"/>
        </w:trPr>
        <w:tc>
          <w:tcPr>
            <w:tcW w:w="6020" w:type="dxa"/>
            <w:vAlign w:val="bottom"/>
            <w:tcBorders>
              <w:left w:val="single" w:sz="8" w:color="D6D1D8"/>
              <w:right w:val="single" w:sz="8" w:color="D6D1D8"/>
            </w:tcBorders>
            <w:shd w:val="clear" w:color="auto" w:fill="D6D1D8"/>
          </w:tcPr>
          <w:p>
            <w:pPr>
              <w:ind w:left="80"/>
              <w:spacing w:after="0"/>
              <w:rPr>
                <w:sz w:val="20"/>
                <w:szCs w:val="20"/>
                <w:color w:val="auto"/>
              </w:rPr>
            </w:pPr>
            <w:r>
              <w:rPr>
                <w:rFonts w:ascii="Arial" w:cs="Arial" w:eastAsia="Arial" w:hAnsi="Arial"/>
                <w:sz w:val="14"/>
                <w:szCs w:val="14"/>
                <w:color w:val="auto"/>
              </w:rPr>
              <w:t>ENVIRONMENTAL &amp; SUSTAINABILITY</w:t>
            </w:r>
          </w:p>
        </w:tc>
        <w:tc>
          <w:tcPr>
            <w:tcW w:w="480" w:type="dxa"/>
            <w:vAlign w:val="bottom"/>
            <w:tcBorders>
              <w:right w:val="single" w:sz="8" w:color="D6D1D8"/>
            </w:tcBorders>
            <w:shd w:val="clear" w:color="auto" w:fill="D6D1D8"/>
          </w:tcPr>
          <w:p>
            <w:pPr>
              <w:ind w:left="180"/>
              <w:spacing w:after="0"/>
              <w:rPr>
                <w:sz w:val="20"/>
                <w:szCs w:val="20"/>
                <w:color w:val="auto"/>
              </w:rPr>
            </w:pPr>
            <w:r>
              <w:rPr>
                <w:rFonts w:ascii="Arial" w:cs="Arial" w:eastAsia="Arial" w:hAnsi="Arial"/>
                <w:sz w:val="14"/>
                <w:szCs w:val="14"/>
                <w:color w:val="auto"/>
              </w:rPr>
              <w:t>X </w:t>
            </w:r>
          </w:p>
        </w:tc>
        <w:tc>
          <w:tcPr>
            <w:tcW w:w="660" w:type="dxa"/>
            <w:vAlign w:val="bottom"/>
            <w:tcBorders>
              <w:right w:val="single" w:sz="8" w:color="D6D1D8"/>
            </w:tcBorders>
            <w:shd w:val="clear" w:color="auto" w:fill="D6D1D8"/>
          </w:tcPr>
          <w:p>
            <w:pPr>
              <w:spacing w:after="0"/>
              <w:rPr>
                <w:sz w:val="24"/>
                <w:szCs w:val="24"/>
                <w:color w:val="auto"/>
              </w:rPr>
            </w:pPr>
          </w:p>
        </w:tc>
        <w:tc>
          <w:tcPr>
            <w:tcW w:w="500" w:type="dxa"/>
            <w:vAlign w:val="bottom"/>
            <w:tcBorders>
              <w:right w:val="single" w:sz="8" w:color="D6D1D8"/>
            </w:tcBorders>
            <w:shd w:val="clear" w:color="auto" w:fill="D6D1D8"/>
          </w:tcPr>
          <w:p>
            <w:pPr>
              <w:spacing w:after="0"/>
              <w:rPr>
                <w:sz w:val="24"/>
                <w:szCs w:val="24"/>
                <w:color w:val="auto"/>
              </w:rPr>
            </w:pPr>
          </w:p>
        </w:tc>
        <w:tc>
          <w:tcPr>
            <w:tcW w:w="400" w:type="dxa"/>
            <w:vAlign w:val="bottom"/>
            <w:tcBorders>
              <w:right w:val="single" w:sz="8" w:color="D6D1D8"/>
            </w:tcBorders>
            <w:shd w:val="clear" w:color="auto" w:fill="D6D1D8"/>
          </w:tcPr>
          <w:p>
            <w:pPr>
              <w:spacing w:after="0"/>
              <w:rPr>
                <w:sz w:val="24"/>
                <w:szCs w:val="24"/>
                <w:color w:val="auto"/>
              </w:rPr>
            </w:pPr>
          </w:p>
        </w:tc>
        <w:tc>
          <w:tcPr>
            <w:tcW w:w="660" w:type="dxa"/>
            <w:vAlign w:val="bottom"/>
            <w:tcBorders>
              <w:right w:val="single" w:sz="8" w:color="D6D1D8"/>
            </w:tcBorders>
            <w:shd w:val="clear" w:color="auto" w:fill="D6D1D8"/>
          </w:tcPr>
          <w:p>
            <w:pPr>
              <w:ind w:left="260"/>
              <w:spacing w:after="0"/>
              <w:rPr>
                <w:sz w:val="20"/>
                <w:szCs w:val="20"/>
                <w:color w:val="auto"/>
              </w:rPr>
            </w:pPr>
            <w:r>
              <w:rPr>
                <w:rFonts w:ascii="Arial" w:cs="Arial" w:eastAsia="Arial" w:hAnsi="Arial"/>
                <w:sz w:val="14"/>
                <w:szCs w:val="14"/>
                <w:color w:val="auto"/>
              </w:rPr>
              <w:t>X </w:t>
            </w:r>
          </w:p>
        </w:tc>
        <w:tc>
          <w:tcPr>
            <w:tcW w:w="740" w:type="dxa"/>
            <w:vAlign w:val="bottom"/>
            <w:tcBorders>
              <w:right w:val="single" w:sz="8" w:color="D6D1D8"/>
            </w:tcBorders>
            <w:shd w:val="clear" w:color="auto" w:fill="D6D1D8"/>
          </w:tcPr>
          <w:p>
            <w:pPr>
              <w:spacing w:after="0"/>
              <w:rPr>
                <w:sz w:val="24"/>
                <w:szCs w:val="24"/>
                <w:color w:val="auto"/>
              </w:rPr>
            </w:pPr>
          </w:p>
        </w:tc>
        <w:tc>
          <w:tcPr>
            <w:tcW w:w="500" w:type="dxa"/>
            <w:vAlign w:val="bottom"/>
            <w:tcBorders>
              <w:right w:val="single" w:sz="8" w:color="D6D1D8"/>
            </w:tcBorders>
            <w:shd w:val="clear" w:color="auto" w:fill="D6D1D8"/>
          </w:tcPr>
          <w:p>
            <w:pPr>
              <w:spacing w:after="0"/>
              <w:rPr>
                <w:sz w:val="24"/>
                <w:szCs w:val="24"/>
                <w:color w:val="auto"/>
              </w:rPr>
            </w:pPr>
          </w:p>
        </w:tc>
        <w:tc>
          <w:tcPr>
            <w:tcW w:w="500" w:type="dxa"/>
            <w:vAlign w:val="bottom"/>
            <w:tcBorders>
              <w:right w:val="single" w:sz="8" w:color="D6D1D8"/>
            </w:tcBorders>
            <w:shd w:val="clear" w:color="auto" w:fill="D6D1D8"/>
          </w:tcPr>
          <w:p>
            <w:pPr>
              <w:ind w:left="180"/>
              <w:spacing w:after="0"/>
              <w:rPr>
                <w:sz w:val="20"/>
                <w:szCs w:val="20"/>
                <w:color w:val="auto"/>
              </w:rPr>
            </w:pPr>
            <w:r>
              <w:rPr>
                <w:rFonts w:ascii="Arial" w:cs="Arial" w:eastAsia="Arial" w:hAnsi="Arial"/>
                <w:sz w:val="14"/>
                <w:szCs w:val="14"/>
                <w:color w:val="auto"/>
              </w:rPr>
              <w:t>X </w:t>
            </w:r>
          </w:p>
        </w:tc>
        <w:tc>
          <w:tcPr>
            <w:tcW w:w="46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X</w:t>
            </w:r>
          </w:p>
        </w:tc>
        <w:tc>
          <w:tcPr>
            <w:tcW w:w="20" w:type="dxa"/>
            <w:vAlign w:val="bottom"/>
          </w:tcPr>
          <w:p>
            <w:pPr>
              <w:spacing w:after="0"/>
              <w:rPr>
                <w:sz w:val="24"/>
                <w:szCs w:val="24"/>
                <w:color w:val="auto"/>
              </w:rPr>
            </w:pPr>
          </w:p>
        </w:tc>
      </w:tr>
      <w:tr>
        <w:trPr>
          <w:trHeight w:val="160"/>
        </w:trPr>
        <w:tc>
          <w:tcPr>
            <w:tcW w:w="6020" w:type="dxa"/>
            <w:vAlign w:val="bottom"/>
            <w:tcBorders>
              <w:left w:val="single" w:sz="8" w:color="D6D1D8"/>
              <w:right w:val="single" w:sz="8" w:color="D6D1D8"/>
            </w:tcBorders>
            <w:shd w:val="clear" w:color="auto" w:fill="D6D1D8"/>
          </w:tcPr>
          <w:p>
            <w:pPr>
              <w:ind w:left="80"/>
              <w:spacing w:after="0"/>
              <w:rPr>
                <w:sz w:val="20"/>
                <w:szCs w:val="20"/>
                <w:color w:val="auto"/>
              </w:rPr>
            </w:pPr>
            <w:r>
              <w:rPr>
                <w:rFonts w:ascii="Arial" w:cs="Arial" w:eastAsia="Arial" w:hAnsi="Arial"/>
                <w:sz w:val="14"/>
                <w:szCs w:val="14"/>
                <w:color w:val="auto"/>
              </w:rPr>
              <w:t>Hands-on expertise driving real-world sustainability processes empowers the Board’s</w:t>
            </w:r>
          </w:p>
        </w:tc>
        <w:tc>
          <w:tcPr>
            <w:tcW w:w="480" w:type="dxa"/>
            <w:vAlign w:val="bottom"/>
            <w:tcBorders>
              <w:right w:val="single" w:sz="8" w:color="D6D1D8"/>
            </w:tcBorders>
            <w:shd w:val="clear" w:color="auto" w:fill="D6D1D8"/>
          </w:tcPr>
          <w:p>
            <w:pPr>
              <w:spacing w:after="0"/>
              <w:rPr>
                <w:sz w:val="13"/>
                <w:szCs w:val="13"/>
                <w:color w:val="auto"/>
              </w:rPr>
            </w:pPr>
          </w:p>
        </w:tc>
        <w:tc>
          <w:tcPr>
            <w:tcW w:w="660" w:type="dxa"/>
            <w:vAlign w:val="bottom"/>
            <w:tcBorders>
              <w:right w:val="single" w:sz="8" w:color="D6D1D8"/>
            </w:tcBorders>
            <w:shd w:val="clear" w:color="auto" w:fill="D6D1D8"/>
          </w:tcPr>
          <w:p>
            <w:pPr>
              <w:spacing w:after="0"/>
              <w:rPr>
                <w:sz w:val="13"/>
                <w:szCs w:val="13"/>
                <w:color w:val="auto"/>
              </w:rPr>
            </w:pPr>
          </w:p>
        </w:tc>
        <w:tc>
          <w:tcPr>
            <w:tcW w:w="500" w:type="dxa"/>
            <w:vAlign w:val="bottom"/>
            <w:tcBorders>
              <w:right w:val="single" w:sz="8" w:color="D6D1D8"/>
            </w:tcBorders>
            <w:shd w:val="clear" w:color="auto" w:fill="D6D1D8"/>
          </w:tcPr>
          <w:p>
            <w:pPr>
              <w:spacing w:after="0"/>
              <w:rPr>
                <w:sz w:val="13"/>
                <w:szCs w:val="13"/>
                <w:color w:val="auto"/>
              </w:rPr>
            </w:pPr>
          </w:p>
        </w:tc>
        <w:tc>
          <w:tcPr>
            <w:tcW w:w="400" w:type="dxa"/>
            <w:vAlign w:val="bottom"/>
            <w:tcBorders>
              <w:right w:val="single" w:sz="8" w:color="D6D1D8"/>
            </w:tcBorders>
            <w:shd w:val="clear" w:color="auto" w:fill="D6D1D8"/>
          </w:tcPr>
          <w:p>
            <w:pPr>
              <w:spacing w:after="0"/>
              <w:rPr>
                <w:sz w:val="13"/>
                <w:szCs w:val="13"/>
                <w:color w:val="auto"/>
              </w:rPr>
            </w:pPr>
          </w:p>
        </w:tc>
        <w:tc>
          <w:tcPr>
            <w:tcW w:w="660" w:type="dxa"/>
            <w:vAlign w:val="bottom"/>
            <w:tcBorders>
              <w:right w:val="single" w:sz="8" w:color="D6D1D8"/>
            </w:tcBorders>
            <w:shd w:val="clear" w:color="auto" w:fill="D6D1D8"/>
          </w:tcPr>
          <w:p>
            <w:pPr>
              <w:spacing w:after="0"/>
              <w:rPr>
                <w:sz w:val="13"/>
                <w:szCs w:val="13"/>
                <w:color w:val="auto"/>
              </w:rPr>
            </w:pPr>
          </w:p>
        </w:tc>
        <w:tc>
          <w:tcPr>
            <w:tcW w:w="740" w:type="dxa"/>
            <w:vAlign w:val="bottom"/>
            <w:tcBorders>
              <w:right w:val="single" w:sz="8" w:color="D6D1D8"/>
            </w:tcBorders>
            <w:shd w:val="clear" w:color="auto" w:fill="D6D1D8"/>
          </w:tcPr>
          <w:p>
            <w:pPr>
              <w:spacing w:after="0"/>
              <w:rPr>
                <w:sz w:val="13"/>
                <w:szCs w:val="13"/>
                <w:color w:val="auto"/>
              </w:rPr>
            </w:pPr>
          </w:p>
        </w:tc>
        <w:tc>
          <w:tcPr>
            <w:tcW w:w="500" w:type="dxa"/>
            <w:vAlign w:val="bottom"/>
            <w:tcBorders>
              <w:right w:val="single" w:sz="8" w:color="D6D1D8"/>
            </w:tcBorders>
            <w:shd w:val="clear" w:color="auto" w:fill="D6D1D8"/>
          </w:tcPr>
          <w:p>
            <w:pPr>
              <w:spacing w:after="0"/>
              <w:rPr>
                <w:sz w:val="13"/>
                <w:szCs w:val="13"/>
                <w:color w:val="auto"/>
              </w:rPr>
            </w:pPr>
          </w:p>
        </w:tc>
        <w:tc>
          <w:tcPr>
            <w:tcW w:w="500" w:type="dxa"/>
            <w:vAlign w:val="bottom"/>
            <w:tcBorders>
              <w:right w:val="single" w:sz="8" w:color="D6D1D8"/>
            </w:tcBorders>
            <w:shd w:val="clear" w:color="auto" w:fill="D6D1D8"/>
          </w:tcPr>
          <w:p>
            <w:pPr>
              <w:spacing w:after="0"/>
              <w:rPr>
                <w:sz w:val="13"/>
                <w:szCs w:val="13"/>
                <w:color w:val="auto"/>
              </w:rPr>
            </w:pPr>
          </w:p>
        </w:tc>
        <w:tc>
          <w:tcPr>
            <w:tcW w:w="460" w:type="dxa"/>
            <w:vAlign w:val="bottom"/>
            <w:shd w:val="clear" w:color="auto" w:fill="D6D1D8"/>
          </w:tcPr>
          <w:p>
            <w:pPr>
              <w:spacing w:after="0"/>
              <w:rPr>
                <w:sz w:val="13"/>
                <w:szCs w:val="13"/>
                <w:color w:val="auto"/>
              </w:rPr>
            </w:pPr>
          </w:p>
        </w:tc>
        <w:tc>
          <w:tcPr>
            <w:tcW w:w="20" w:type="dxa"/>
            <w:vAlign w:val="bottom"/>
          </w:tcPr>
          <w:p>
            <w:pPr>
              <w:spacing w:after="0"/>
              <w:rPr>
                <w:sz w:val="13"/>
                <w:szCs w:val="13"/>
                <w:color w:val="auto"/>
              </w:rPr>
            </w:pPr>
          </w:p>
        </w:tc>
      </w:tr>
      <w:tr>
        <w:trPr>
          <w:trHeight w:val="189"/>
        </w:trPr>
        <w:tc>
          <w:tcPr>
            <w:tcW w:w="6020" w:type="dxa"/>
            <w:vAlign w:val="bottom"/>
            <w:tcBorders>
              <w:left w:val="single" w:sz="8" w:color="D6D1D8"/>
              <w:right w:val="single" w:sz="8" w:color="D6D1D8"/>
            </w:tcBorders>
            <w:shd w:val="clear" w:color="auto" w:fill="D6D1D8"/>
          </w:tcPr>
          <w:p>
            <w:pPr>
              <w:ind w:left="80"/>
              <w:spacing w:after="0"/>
              <w:rPr>
                <w:sz w:val="20"/>
                <w:szCs w:val="20"/>
                <w:color w:val="auto"/>
              </w:rPr>
            </w:pPr>
            <w:r>
              <w:rPr>
                <w:rFonts w:ascii="Arial" w:cs="Arial" w:eastAsia="Arial" w:hAnsi="Arial"/>
                <w:sz w:val="14"/>
                <w:szCs w:val="14"/>
                <w:color w:val="auto"/>
              </w:rPr>
              <w:t>oversight of corporate responsibility initiatives</w:t>
            </w:r>
          </w:p>
        </w:tc>
        <w:tc>
          <w:tcPr>
            <w:tcW w:w="480" w:type="dxa"/>
            <w:vAlign w:val="bottom"/>
            <w:tcBorders>
              <w:right w:val="single" w:sz="8" w:color="D6D1D8"/>
            </w:tcBorders>
            <w:shd w:val="clear" w:color="auto" w:fill="D6D1D8"/>
          </w:tcPr>
          <w:p>
            <w:pPr>
              <w:spacing w:after="0"/>
              <w:rPr>
                <w:sz w:val="16"/>
                <w:szCs w:val="16"/>
                <w:color w:val="auto"/>
              </w:rPr>
            </w:pPr>
          </w:p>
        </w:tc>
        <w:tc>
          <w:tcPr>
            <w:tcW w:w="660" w:type="dxa"/>
            <w:vAlign w:val="bottom"/>
            <w:tcBorders>
              <w:right w:val="single" w:sz="8" w:color="D6D1D8"/>
            </w:tcBorders>
            <w:shd w:val="clear" w:color="auto" w:fill="D6D1D8"/>
          </w:tcPr>
          <w:p>
            <w:pPr>
              <w:spacing w:after="0"/>
              <w:rPr>
                <w:sz w:val="16"/>
                <w:szCs w:val="16"/>
                <w:color w:val="auto"/>
              </w:rPr>
            </w:pPr>
          </w:p>
        </w:tc>
        <w:tc>
          <w:tcPr>
            <w:tcW w:w="500" w:type="dxa"/>
            <w:vAlign w:val="bottom"/>
            <w:tcBorders>
              <w:right w:val="single" w:sz="8" w:color="D6D1D8"/>
            </w:tcBorders>
            <w:shd w:val="clear" w:color="auto" w:fill="D6D1D8"/>
          </w:tcPr>
          <w:p>
            <w:pPr>
              <w:spacing w:after="0"/>
              <w:rPr>
                <w:sz w:val="16"/>
                <w:szCs w:val="16"/>
                <w:color w:val="auto"/>
              </w:rPr>
            </w:pPr>
          </w:p>
        </w:tc>
        <w:tc>
          <w:tcPr>
            <w:tcW w:w="400" w:type="dxa"/>
            <w:vAlign w:val="bottom"/>
            <w:tcBorders>
              <w:right w:val="single" w:sz="8" w:color="D6D1D8"/>
            </w:tcBorders>
            <w:shd w:val="clear" w:color="auto" w:fill="D6D1D8"/>
          </w:tcPr>
          <w:p>
            <w:pPr>
              <w:spacing w:after="0"/>
              <w:rPr>
                <w:sz w:val="16"/>
                <w:szCs w:val="16"/>
                <w:color w:val="auto"/>
              </w:rPr>
            </w:pPr>
          </w:p>
        </w:tc>
        <w:tc>
          <w:tcPr>
            <w:tcW w:w="660" w:type="dxa"/>
            <w:vAlign w:val="bottom"/>
            <w:tcBorders>
              <w:right w:val="single" w:sz="8" w:color="D6D1D8"/>
            </w:tcBorders>
            <w:shd w:val="clear" w:color="auto" w:fill="D6D1D8"/>
          </w:tcPr>
          <w:p>
            <w:pPr>
              <w:spacing w:after="0"/>
              <w:rPr>
                <w:sz w:val="16"/>
                <w:szCs w:val="16"/>
                <w:color w:val="auto"/>
              </w:rPr>
            </w:pPr>
          </w:p>
        </w:tc>
        <w:tc>
          <w:tcPr>
            <w:tcW w:w="740" w:type="dxa"/>
            <w:vAlign w:val="bottom"/>
            <w:tcBorders>
              <w:right w:val="single" w:sz="8" w:color="D6D1D8"/>
            </w:tcBorders>
            <w:shd w:val="clear" w:color="auto" w:fill="D6D1D8"/>
          </w:tcPr>
          <w:p>
            <w:pPr>
              <w:spacing w:after="0"/>
              <w:rPr>
                <w:sz w:val="16"/>
                <w:szCs w:val="16"/>
                <w:color w:val="auto"/>
              </w:rPr>
            </w:pPr>
          </w:p>
        </w:tc>
        <w:tc>
          <w:tcPr>
            <w:tcW w:w="500" w:type="dxa"/>
            <w:vAlign w:val="bottom"/>
            <w:tcBorders>
              <w:right w:val="single" w:sz="8" w:color="D6D1D8"/>
            </w:tcBorders>
            <w:shd w:val="clear" w:color="auto" w:fill="D6D1D8"/>
          </w:tcPr>
          <w:p>
            <w:pPr>
              <w:spacing w:after="0"/>
              <w:rPr>
                <w:sz w:val="16"/>
                <w:szCs w:val="16"/>
                <w:color w:val="auto"/>
              </w:rPr>
            </w:pPr>
          </w:p>
        </w:tc>
        <w:tc>
          <w:tcPr>
            <w:tcW w:w="500" w:type="dxa"/>
            <w:vAlign w:val="bottom"/>
            <w:tcBorders>
              <w:right w:val="single" w:sz="8" w:color="D6D1D8"/>
            </w:tcBorders>
            <w:shd w:val="clear" w:color="auto" w:fill="D6D1D8"/>
          </w:tcPr>
          <w:p>
            <w:pPr>
              <w:spacing w:after="0"/>
              <w:rPr>
                <w:sz w:val="16"/>
                <w:szCs w:val="16"/>
                <w:color w:val="auto"/>
              </w:rPr>
            </w:pPr>
          </w:p>
        </w:tc>
        <w:tc>
          <w:tcPr>
            <w:tcW w:w="460" w:type="dxa"/>
            <w:vAlign w:val="bottom"/>
            <w:shd w:val="clear" w:color="auto" w:fill="D6D1D8"/>
          </w:tcPr>
          <w:p>
            <w:pPr>
              <w:spacing w:after="0"/>
              <w:rPr>
                <w:sz w:val="16"/>
                <w:szCs w:val="16"/>
                <w:color w:val="auto"/>
              </w:rPr>
            </w:pPr>
          </w:p>
        </w:tc>
        <w:tc>
          <w:tcPr>
            <w:tcW w:w="20" w:type="dxa"/>
            <w:vAlign w:val="bottom"/>
          </w:tcPr>
          <w:p>
            <w:pPr>
              <w:spacing w:after="0"/>
              <w:rPr>
                <w:sz w:val="16"/>
                <w:szCs w:val="16"/>
                <w:color w:val="auto"/>
              </w:rPr>
            </w:pPr>
          </w:p>
        </w:tc>
      </w:tr>
      <w:tr>
        <w:trPr>
          <w:trHeight w:val="101"/>
        </w:trPr>
        <w:tc>
          <w:tcPr>
            <w:tcW w:w="6020" w:type="dxa"/>
            <w:vAlign w:val="bottom"/>
            <w:tcBorders>
              <w:left w:val="single" w:sz="8" w:color="D6D1D8"/>
              <w:bottom w:val="single" w:sz="8" w:color="auto"/>
              <w:right w:val="single" w:sz="8" w:color="D6D1D8"/>
            </w:tcBorders>
            <w:shd w:val="clear" w:color="auto" w:fill="D6D1D8"/>
          </w:tcPr>
          <w:p>
            <w:pPr>
              <w:spacing w:after="0"/>
              <w:rPr>
                <w:sz w:val="8"/>
                <w:szCs w:val="8"/>
                <w:color w:val="auto"/>
              </w:rPr>
            </w:pPr>
          </w:p>
        </w:tc>
        <w:tc>
          <w:tcPr>
            <w:tcW w:w="480" w:type="dxa"/>
            <w:vAlign w:val="bottom"/>
            <w:tcBorders>
              <w:bottom w:val="single" w:sz="8" w:color="auto"/>
              <w:right w:val="single" w:sz="8" w:color="D6D1D8"/>
            </w:tcBorders>
            <w:shd w:val="clear" w:color="auto" w:fill="D6D1D8"/>
          </w:tcPr>
          <w:p>
            <w:pPr>
              <w:spacing w:after="0"/>
              <w:rPr>
                <w:sz w:val="8"/>
                <w:szCs w:val="8"/>
                <w:color w:val="auto"/>
              </w:rPr>
            </w:pPr>
          </w:p>
        </w:tc>
        <w:tc>
          <w:tcPr>
            <w:tcW w:w="660" w:type="dxa"/>
            <w:vAlign w:val="bottom"/>
            <w:tcBorders>
              <w:bottom w:val="single" w:sz="8" w:color="auto"/>
              <w:right w:val="single" w:sz="8" w:color="D6D1D8"/>
            </w:tcBorders>
            <w:shd w:val="clear" w:color="auto" w:fill="D6D1D8"/>
          </w:tcPr>
          <w:p>
            <w:pPr>
              <w:spacing w:after="0"/>
              <w:rPr>
                <w:sz w:val="8"/>
                <w:szCs w:val="8"/>
                <w:color w:val="auto"/>
              </w:rPr>
            </w:pPr>
          </w:p>
        </w:tc>
        <w:tc>
          <w:tcPr>
            <w:tcW w:w="500" w:type="dxa"/>
            <w:vAlign w:val="bottom"/>
            <w:tcBorders>
              <w:bottom w:val="single" w:sz="8" w:color="auto"/>
              <w:right w:val="single" w:sz="8" w:color="D6D1D8"/>
            </w:tcBorders>
            <w:shd w:val="clear" w:color="auto" w:fill="D6D1D8"/>
          </w:tcPr>
          <w:p>
            <w:pPr>
              <w:spacing w:after="0"/>
              <w:rPr>
                <w:sz w:val="8"/>
                <w:szCs w:val="8"/>
                <w:color w:val="auto"/>
              </w:rPr>
            </w:pPr>
          </w:p>
        </w:tc>
        <w:tc>
          <w:tcPr>
            <w:tcW w:w="400" w:type="dxa"/>
            <w:vAlign w:val="bottom"/>
            <w:tcBorders>
              <w:bottom w:val="single" w:sz="8" w:color="auto"/>
              <w:right w:val="single" w:sz="8" w:color="D6D1D8"/>
            </w:tcBorders>
            <w:shd w:val="clear" w:color="auto" w:fill="D6D1D8"/>
          </w:tcPr>
          <w:p>
            <w:pPr>
              <w:spacing w:after="0"/>
              <w:rPr>
                <w:sz w:val="8"/>
                <w:szCs w:val="8"/>
                <w:color w:val="auto"/>
              </w:rPr>
            </w:pPr>
          </w:p>
        </w:tc>
        <w:tc>
          <w:tcPr>
            <w:tcW w:w="660" w:type="dxa"/>
            <w:vAlign w:val="bottom"/>
            <w:tcBorders>
              <w:bottom w:val="single" w:sz="8" w:color="auto"/>
              <w:right w:val="single" w:sz="8" w:color="D6D1D8"/>
            </w:tcBorders>
            <w:shd w:val="clear" w:color="auto" w:fill="D6D1D8"/>
          </w:tcPr>
          <w:p>
            <w:pPr>
              <w:spacing w:after="0"/>
              <w:rPr>
                <w:sz w:val="8"/>
                <w:szCs w:val="8"/>
                <w:color w:val="auto"/>
              </w:rPr>
            </w:pPr>
          </w:p>
        </w:tc>
        <w:tc>
          <w:tcPr>
            <w:tcW w:w="740" w:type="dxa"/>
            <w:vAlign w:val="bottom"/>
            <w:tcBorders>
              <w:bottom w:val="single" w:sz="8" w:color="auto"/>
              <w:right w:val="single" w:sz="8" w:color="D6D1D8"/>
            </w:tcBorders>
            <w:shd w:val="clear" w:color="auto" w:fill="D6D1D8"/>
          </w:tcPr>
          <w:p>
            <w:pPr>
              <w:spacing w:after="0"/>
              <w:rPr>
                <w:sz w:val="8"/>
                <w:szCs w:val="8"/>
                <w:color w:val="auto"/>
              </w:rPr>
            </w:pPr>
          </w:p>
        </w:tc>
        <w:tc>
          <w:tcPr>
            <w:tcW w:w="500" w:type="dxa"/>
            <w:vAlign w:val="bottom"/>
            <w:tcBorders>
              <w:bottom w:val="single" w:sz="8" w:color="auto"/>
              <w:right w:val="single" w:sz="8" w:color="D6D1D8"/>
            </w:tcBorders>
            <w:shd w:val="clear" w:color="auto" w:fill="D6D1D8"/>
          </w:tcPr>
          <w:p>
            <w:pPr>
              <w:spacing w:after="0"/>
              <w:rPr>
                <w:sz w:val="8"/>
                <w:szCs w:val="8"/>
                <w:color w:val="auto"/>
              </w:rPr>
            </w:pPr>
          </w:p>
        </w:tc>
        <w:tc>
          <w:tcPr>
            <w:tcW w:w="500" w:type="dxa"/>
            <w:vAlign w:val="bottom"/>
            <w:tcBorders>
              <w:bottom w:val="single" w:sz="8" w:color="auto"/>
              <w:right w:val="single" w:sz="8" w:color="D6D1D8"/>
            </w:tcBorders>
            <w:shd w:val="clear" w:color="auto" w:fill="D6D1D8"/>
          </w:tcPr>
          <w:p>
            <w:pPr>
              <w:spacing w:after="0"/>
              <w:rPr>
                <w:sz w:val="8"/>
                <w:szCs w:val="8"/>
                <w:color w:val="auto"/>
              </w:rPr>
            </w:pPr>
          </w:p>
        </w:tc>
        <w:tc>
          <w:tcPr>
            <w:tcW w:w="460" w:type="dxa"/>
            <w:vAlign w:val="bottom"/>
            <w:tcBorders>
              <w:bottom w:val="single" w:sz="8" w:color="auto"/>
            </w:tcBorders>
            <w:shd w:val="clear" w:color="auto" w:fill="D6D1D8"/>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93"/>
        </w:trPr>
        <w:tc>
          <w:tcPr>
            <w:tcW w:w="60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Male Director</w:t>
            </w:r>
          </w:p>
        </w:tc>
        <w:tc>
          <w:tcPr>
            <w:tcW w:w="48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73"/>
              </w:rPr>
              <w:t>X </w:t>
            </w:r>
          </w:p>
        </w:tc>
        <w:tc>
          <w:tcPr>
            <w:tcW w:w="50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X </w:t>
            </w:r>
          </w:p>
        </w:tc>
        <w:tc>
          <w:tcPr>
            <w:tcW w:w="4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X </w:t>
            </w:r>
          </w:p>
        </w:tc>
        <w:tc>
          <w:tcPr>
            <w:tcW w:w="66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X </w:t>
            </w:r>
          </w:p>
        </w:tc>
        <w:tc>
          <w:tcPr>
            <w:tcW w:w="50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X </w:t>
            </w:r>
          </w:p>
        </w:tc>
        <w:tc>
          <w:tcPr>
            <w:tcW w:w="500" w:type="dxa"/>
            <w:vAlign w:val="bottom"/>
            <w:tcBorders>
              <w:right w:val="single" w:sz="8" w:color="auto"/>
            </w:tcBorders>
          </w:tcPr>
          <w:p>
            <w:pPr>
              <w:ind w:left="180"/>
              <w:spacing w:after="0"/>
              <w:rPr>
                <w:sz w:val="20"/>
                <w:szCs w:val="20"/>
                <w:color w:val="auto"/>
              </w:rPr>
            </w:pPr>
            <w:r>
              <w:rPr>
                <w:rFonts w:ascii="Arial" w:cs="Arial" w:eastAsia="Arial" w:hAnsi="Arial"/>
                <w:sz w:val="14"/>
                <w:szCs w:val="14"/>
                <w:color w:val="auto"/>
              </w:rPr>
              <w:t>X</w:t>
            </w:r>
          </w:p>
        </w:tc>
        <w:tc>
          <w:tcPr>
            <w:tcW w:w="4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88"/>
        </w:trPr>
        <w:tc>
          <w:tcPr>
            <w:tcW w:w="6020" w:type="dxa"/>
            <w:vAlign w:val="bottom"/>
            <w:tcBorders>
              <w:left w:val="single" w:sz="8" w:color="auto"/>
              <w:bottom w:val="single" w:sz="8" w:color="auto"/>
              <w:right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r>
      <w:tr>
        <w:trPr>
          <w:trHeight w:val="293"/>
        </w:trPr>
        <w:tc>
          <w:tcPr>
            <w:tcW w:w="6020" w:type="dxa"/>
            <w:vAlign w:val="bottom"/>
            <w:tcBorders>
              <w:left w:val="single" w:sz="8" w:color="auto"/>
              <w:right w:val="single" w:sz="8" w:color="auto"/>
            </w:tcBorders>
            <w:shd w:val="clear" w:color="auto" w:fill="D6D1D8"/>
          </w:tcPr>
          <w:p>
            <w:pPr>
              <w:ind w:left="100"/>
              <w:spacing w:after="0"/>
              <w:rPr>
                <w:sz w:val="20"/>
                <w:szCs w:val="20"/>
                <w:color w:val="auto"/>
              </w:rPr>
            </w:pPr>
            <w:r>
              <w:rPr>
                <w:rFonts w:ascii="Arial" w:cs="Arial" w:eastAsia="Arial" w:hAnsi="Arial"/>
                <w:sz w:val="14"/>
                <w:szCs w:val="14"/>
                <w:color w:val="auto"/>
              </w:rPr>
              <w:t>Female Director</w:t>
            </w:r>
          </w:p>
        </w:tc>
        <w:tc>
          <w:tcPr>
            <w:tcW w:w="480" w:type="dxa"/>
            <w:vAlign w:val="bottom"/>
            <w:tcBorders>
              <w:right w:val="single" w:sz="8" w:color="auto"/>
            </w:tcBorders>
            <w:shd w:val="clear" w:color="auto" w:fill="D6D1D8"/>
          </w:tcPr>
          <w:p>
            <w:pPr>
              <w:ind w:left="180"/>
              <w:spacing w:after="0"/>
              <w:rPr>
                <w:sz w:val="20"/>
                <w:szCs w:val="20"/>
                <w:color w:val="auto"/>
              </w:rPr>
            </w:pPr>
            <w:r>
              <w:rPr>
                <w:rFonts w:ascii="Arial" w:cs="Arial" w:eastAsia="Arial" w:hAnsi="Arial"/>
                <w:sz w:val="14"/>
                <w:szCs w:val="14"/>
                <w:color w:val="auto"/>
              </w:rPr>
              <w:t>X </w:t>
            </w:r>
          </w:p>
        </w:tc>
        <w:tc>
          <w:tcPr>
            <w:tcW w:w="660" w:type="dxa"/>
            <w:vAlign w:val="bottom"/>
            <w:tcBorders>
              <w:right w:val="single" w:sz="8" w:color="auto"/>
            </w:tcBorders>
            <w:shd w:val="clear" w:color="auto" w:fill="D6D1D8"/>
          </w:tcPr>
          <w:p>
            <w:pPr>
              <w:spacing w:after="0"/>
              <w:rPr>
                <w:sz w:val="24"/>
                <w:szCs w:val="24"/>
                <w:color w:val="auto"/>
              </w:rPr>
            </w:pPr>
          </w:p>
        </w:tc>
        <w:tc>
          <w:tcPr>
            <w:tcW w:w="500" w:type="dxa"/>
            <w:vAlign w:val="bottom"/>
            <w:tcBorders>
              <w:right w:val="single" w:sz="8" w:color="auto"/>
            </w:tcBorders>
            <w:shd w:val="clear" w:color="auto" w:fill="D6D1D8"/>
          </w:tcPr>
          <w:p>
            <w:pPr>
              <w:spacing w:after="0"/>
              <w:rPr>
                <w:sz w:val="24"/>
                <w:szCs w:val="24"/>
                <w:color w:val="auto"/>
              </w:rPr>
            </w:pPr>
          </w:p>
        </w:tc>
        <w:tc>
          <w:tcPr>
            <w:tcW w:w="400" w:type="dxa"/>
            <w:vAlign w:val="bottom"/>
            <w:tcBorders>
              <w:right w:val="single" w:sz="8" w:color="auto"/>
            </w:tcBorders>
            <w:shd w:val="clear" w:color="auto" w:fill="D6D1D8"/>
          </w:tcPr>
          <w:p>
            <w:pPr>
              <w:spacing w:after="0"/>
              <w:rPr>
                <w:sz w:val="24"/>
                <w:szCs w:val="24"/>
                <w:color w:val="auto"/>
              </w:rPr>
            </w:pPr>
          </w:p>
        </w:tc>
        <w:tc>
          <w:tcPr>
            <w:tcW w:w="660" w:type="dxa"/>
            <w:vAlign w:val="bottom"/>
            <w:tcBorders>
              <w:right w:val="single" w:sz="8" w:color="auto"/>
            </w:tcBorders>
            <w:shd w:val="clear" w:color="auto" w:fill="D6D1D8"/>
          </w:tcPr>
          <w:p>
            <w:pPr>
              <w:ind w:left="260"/>
              <w:spacing w:after="0"/>
              <w:rPr>
                <w:sz w:val="20"/>
                <w:szCs w:val="20"/>
                <w:color w:val="auto"/>
              </w:rPr>
            </w:pPr>
            <w:r>
              <w:rPr>
                <w:rFonts w:ascii="Arial" w:cs="Arial" w:eastAsia="Arial" w:hAnsi="Arial"/>
                <w:sz w:val="14"/>
                <w:szCs w:val="14"/>
                <w:color w:val="auto"/>
              </w:rPr>
              <w:t>X </w:t>
            </w:r>
          </w:p>
        </w:tc>
        <w:tc>
          <w:tcPr>
            <w:tcW w:w="740" w:type="dxa"/>
            <w:vAlign w:val="bottom"/>
            <w:tcBorders>
              <w:right w:val="single" w:sz="8" w:color="auto"/>
            </w:tcBorders>
            <w:shd w:val="clear" w:color="auto" w:fill="D6D1D8"/>
          </w:tcPr>
          <w:p>
            <w:pPr>
              <w:spacing w:after="0"/>
              <w:rPr>
                <w:sz w:val="24"/>
                <w:szCs w:val="24"/>
                <w:color w:val="auto"/>
              </w:rPr>
            </w:pPr>
          </w:p>
        </w:tc>
        <w:tc>
          <w:tcPr>
            <w:tcW w:w="500" w:type="dxa"/>
            <w:vAlign w:val="bottom"/>
            <w:tcBorders>
              <w:right w:val="single" w:sz="8" w:color="auto"/>
            </w:tcBorders>
            <w:shd w:val="clear" w:color="auto" w:fill="D6D1D8"/>
          </w:tcPr>
          <w:p>
            <w:pPr>
              <w:spacing w:after="0"/>
              <w:rPr>
                <w:sz w:val="24"/>
                <w:szCs w:val="24"/>
                <w:color w:val="auto"/>
              </w:rPr>
            </w:pPr>
          </w:p>
        </w:tc>
        <w:tc>
          <w:tcPr>
            <w:tcW w:w="500" w:type="dxa"/>
            <w:vAlign w:val="bottom"/>
            <w:tcBorders>
              <w:right w:val="single" w:sz="8" w:color="auto"/>
            </w:tcBorders>
            <w:shd w:val="clear" w:color="auto" w:fill="D6D1D8"/>
          </w:tcPr>
          <w:p>
            <w:pPr>
              <w:spacing w:after="0"/>
              <w:rPr>
                <w:sz w:val="24"/>
                <w:szCs w:val="24"/>
                <w:color w:val="auto"/>
              </w:rPr>
            </w:pPr>
          </w:p>
        </w:tc>
        <w:tc>
          <w:tcPr>
            <w:tcW w:w="46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X</w:t>
            </w:r>
          </w:p>
        </w:tc>
        <w:tc>
          <w:tcPr>
            <w:tcW w:w="20" w:type="dxa"/>
            <w:vAlign w:val="bottom"/>
            <w:shd w:val="clear" w:color="auto" w:fill="000000"/>
          </w:tcPr>
          <w:p>
            <w:pPr>
              <w:spacing w:after="0"/>
              <w:rPr>
                <w:sz w:val="24"/>
                <w:szCs w:val="24"/>
                <w:color w:val="auto"/>
              </w:rPr>
            </w:pPr>
          </w:p>
        </w:tc>
      </w:tr>
      <w:tr>
        <w:trPr>
          <w:trHeight w:val="88"/>
        </w:trPr>
        <w:tc>
          <w:tcPr>
            <w:tcW w:w="6020" w:type="dxa"/>
            <w:vAlign w:val="bottom"/>
            <w:tcBorders>
              <w:left w:val="single" w:sz="8" w:color="auto"/>
              <w:bottom w:val="single" w:sz="8" w:color="auto"/>
              <w:right w:val="single" w:sz="8" w:color="auto"/>
            </w:tcBorders>
            <w:shd w:val="clear" w:color="auto" w:fill="D6D1D8"/>
          </w:tcPr>
          <w:p>
            <w:pPr>
              <w:spacing w:after="0"/>
              <w:rPr>
                <w:sz w:val="7"/>
                <w:szCs w:val="7"/>
                <w:color w:val="auto"/>
              </w:rPr>
            </w:pPr>
          </w:p>
        </w:tc>
        <w:tc>
          <w:tcPr>
            <w:tcW w:w="480" w:type="dxa"/>
            <w:vAlign w:val="bottom"/>
            <w:tcBorders>
              <w:bottom w:val="single" w:sz="8" w:color="auto"/>
              <w:right w:val="single" w:sz="8" w:color="auto"/>
            </w:tcBorders>
            <w:shd w:val="clear" w:color="auto" w:fill="D6D1D8"/>
          </w:tcPr>
          <w:p>
            <w:pPr>
              <w:spacing w:after="0"/>
              <w:rPr>
                <w:sz w:val="7"/>
                <w:szCs w:val="7"/>
                <w:color w:val="auto"/>
              </w:rPr>
            </w:pPr>
          </w:p>
        </w:tc>
        <w:tc>
          <w:tcPr>
            <w:tcW w:w="660" w:type="dxa"/>
            <w:vAlign w:val="bottom"/>
            <w:tcBorders>
              <w:bottom w:val="single" w:sz="8" w:color="auto"/>
              <w:right w:val="single" w:sz="8" w:color="auto"/>
            </w:tcBorders>
            <w:shd w:val="clear" w:color="auto" w:fill="D6D1D8"/>
          </w:tcPr>
          <w:p>
            <w:pPr>
              <w:spacing w:after="0"/>
              <w:rPr>
                <w:sz w:val="7"/>
                <w:szCs w:val="7"/>
                <w:color w:val="auto"/>
              </w:rPr>
            </w:pPr>
          </w:p>
        </w:tc>
        <w:tc>
          <w:tcPr>
            <w:tcW w:w="500" w:type="dxa"/>
            <w:vAlign w:val="bottom"/>
            <w:tcBorders>
              <w:bottom w:val="single" w:sz="8" w:color="auto"/>
              <w:right w:val="single" w:sz="8" w:color="auto"/>
            </w:tcBorders>
            <w:shd w:val="clear" w:color="auto" w:fill="D6D1D8"/>
          </w:tcPr>
          <w:p>
            <w:pPr>
              <w:spacing w:after="0"/>
              <w:rPr>
                <w:sz w:val="7"/>
                <w:szCs w:val="7"/>
                <w:color w:val="auto"/>
              </w:rPr>
            </w:pPr>
          </w:p>
        </w:tc>
        <w:tc>
          <w:tcPr>
            <w:tcW w:w="400" w:type="dxa"/>
            <w:vAlign w:val="bottom"/>
            <w:tcBorders>
              <w:bottom w:val="single" w:sz="8" w:color="auto"/>
              <w:right w:val="single" w:sz="8" w:color="auto"/>
            </w:tcBorders>
            <w:shd w:val="clear" w:color="auto" w:fill="D6D1D8"/>
          </w:tcPr>
          <w:p>
            <w:pPr>
              <w:spacing w:after="0"/>
              <w:rPr>
                <w:sz w:val="7"/>
                <w:szCs w:val="7"/>
                <w:color w:val="auto"/>
              </w:rPr>
            </w:pPr>
          </w:p>
        </w:tc>
        <w:tc>
          <w:tcPr>
            <w:tcW w:w="660" w:type="dxa"/>
            <w:vAlign w:val="bottom"/>
            <w:tcBorders>
              <w:bottom w:val="single" w:sz="8" w:color="auto"/>
              <w:right w:val="single" w:sz="8" w:color="auto"/>
            </w:tcBorders>
            <w:shd w:val="clear" w:color="auto" w:fill="D6D1D8"/>
          </w:tcPr>
          <w:p>
            <w:pPr>
              <w:spacing w:after="0"/>
              <w:rPr>
                <w:sz w:val="7"/>
                <w:szCs w:val="7"/>
                <w:color w:val="auto"/>
              </w:rPr>
            </w:pPr>
          </w:p>
        </w:tc>
        <w:tc>
          <w:tcPr>
            <w:tcW w:w="740" w:type="dxa"/>
            <w:vAlign w:val="bottom"/>
            <w:tcBorders>
              <w:bottom w:val="single" w:sz="8" w:color="auto"/>
              <w:right w:val="single" w:sz="8" w:color="auto"/>
            </w:tcBorders>
            <w:shd w:val="clear" w:color="auto" w:fill="D6D1D8"/>
          </w:tcPr>
          <w:p>
            <w:pPr>
              <w:spacing w:after="0"/>
              <w:rPr>
                <w:sz w:val="7"/>
                <w:szCs w:val="7"/>
                <w:color w:val="auto"/>
              </w:rPr>
            </w:pPr>
          </w:p>
        </w:tc>
        <w:tc>
          <w:tcPr>
            <w:tcW w:w="500" w:type="dxa"/>
            <w:vAlign w:val="bottom"/>
            <w:tcBorders>
              <w:bottom w:val="single" w:sz="8" w:color="auto"/>
              <w:right w:val="single" w:sz="8" w:color="auto"/>
            </w:tcBorders>
            <w:shd w:val="clear" w:color="auto" w:fill="D6D1D8"/>
          </w:tcPr>
          <w:p>
            <w:pPr>
              <w:spacing w:after="0"/>
              <w:rPr>
                <w:sz w:val="7"/>
                <w:szCs w:val="7"/>
                <w:color w:val="auto"/>
              </w:rPr>
            </w:pPr>
          </w:p>
        </w:tc>
        <w:tc>
          <w:tcPr>
            <w:tcW w:w="500" w:type="dxa"/>
            <w:vAlign w:val="bottom"/>
            <w:tcBorders>
              <w:bottom w:val="single" w:sz="8" w:color="auto"/>
              <w:right w:val="single" w:sz="8" w:color="auto"/>
            </w:tcBorders>
            <w:shd w:val="clear" w:color="auto" w:fill="D6D1D8"/>
          </w:tcPr>
          <w:p>
            <w:pPr>
              <w:spacing w:after="0"/>
              <w:rPr>
                <w:sz w:val="7"/>
                <w:szCs w:val="7"/>
                <w:color w:val="auto"/>
              </w:rPr>
            </w:pPr>
          </w:p>
        </w:tc>
        <w:tc>
          <w:tcPr>
            <w:tcW w:w="460" w:type="dxa"/>
            <w:vAlign w:val="bottom"/>
            <w:tcBorders>
              <w:bottom w:val="single" w:sz="8" w:color="auto"/>
            </w:tcBorders>
            <w:shd w:val="clear" w:color="auto" w:fill="D6D1D8"/>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r>
      <w:tr>
        <w:trPr>
          <w:trHeight w:val="293"/>
        </w:trPr>
        <w:tc>
          <w:tcPr>
            <w:tcW w:w="60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Racially/Ethnic Diverse Director</w:t>
            </w:r>
          </w:p>
        </w:tc>
        <w:tc>
          <w:tcPr>
            <w:tcW w:w="48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4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X </w:t>
            </w:r>
          </w:p>
        </w:tc>
        <w:tc>
          <w:tcPr>
            <w:tcW w:w="66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ind w:left="180"/>
              <w:spacing w:after="0"/>
              <w:rPr>
                <w:sz w:val="20"/>
                <w:szCs w:val="20"/>
                <w:color w:val="auto"/>
              </w:rPr>
            </w:pPr>
            <w:r>
              <w:rPr>
                <w:rFonts w:ascii="Arial" w:cs="Arial" w:eastAsia="Arial" w:hAnsi="Arial"/>
                <w:sz w:val="14"/>
                <w:szCs w:val="14"/>
                <w:color w:val="auto"/>
              </w:rPr>
              <w:t>X</w:t>
            </w:r>
          </w:p>
        </w:tc>
        <w:tc>
          <w:tcPr>
            <w:tcW w:w="4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88"/>
        </w:trPr>
        <w:tc>
          <w:tcPr>
            <w:tcW w:w="6020" w:type="dxa"/>
            <w:vAlign w:val="bottom"/>
            <w:tcBorders>
              <w:left w:val="single" w:sz="8" w:color="auto"/>
              <w:bottom w:val="single" w:sz="8" w:color="auto"/>
              <w:right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r>
    </w:tbl>
    <w:p>
      <w:pPr>
        <w:spacing w:after="0" w:line="8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Denotes those designated as Audit Committee financial experts.</w:t>
      </w:r>
    </w:p>
    <w:p>
      <w:pPr>
        <w:spacing w:after="0" w:line="143" w:lineRule="exact"/>
        <w:rPr>
          <w:sz w:val="20"/>
          <w:szCs w:val="20"/>
          <w:color w:val="auto"/>
        </w:rPr>
      </w:pPr>
    </w:p>
    <w:p>
      <w:pPr>
        <w:ind w:left="11020"/>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100"/>
          </w:cols>
          <w:pgMar w:left="320" w:top="478"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32"/>
          <w:szCs w:val="32"/>
          <w:color w:val="auto"/>
        </w:rPr>
        <w:t xml:space="preserve">Director Biographies </w:t>
      </w:r>
      <w:r>
        <w:rPr>
          <w:rFonts w:ascii="Arial" w:cs="Arial" w:eastAsia="Arial" w:hAnsi="Arial"/>
          <w:sz w:val="14"/>
          <w:szCs w:val="14"/>
          <w:color w:val="auto"/>
        </w:rPr>
        <w:t>Biographical and other information for our director nominees and continuing directors is provided below.</w:t>
      </w:r>
    </w:p>
    <w:p>
      <w:pPr>
        <w:spacing w:after="0" w:line="3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32"/>
          <w:szCs w:val="32"/>
          <w:color w:val="auto"/>
        </w:rPr>
        <w:t xml:space="preserve">Betsy S. Atkins </w:t>
      </w:r>
      <w:r>
        <w:rPr>
          <w:rFonts w:ascii="Times New Roman" w:cs="Times New Roman" w:eastAsia="Times New Roman" w:hAnsi="Times New Roman"/>
          <w:sz w:val="14"/>
          <w:szCs w:val="14"/>
          <w:i w:val="1"/>
          <w:iCs w:val="1"/>
          <w:color w:val="351B3D"/>
        </w:rPr>
        <w:t>Chief Executive Officer and Founder, Baja Corporation</w:t>
      </w:r>
    </w:p>
    <w:p>
      <w:pPr>
        <w:spacing w:after="0" w:line="129" w:lineRule="exact"/>
        <w:rPr>
          <w:sz w:val="20"/>
          <w:szCs w:val="20"/>
          <w:color w:val="auto"/>
        </w:rPr>
      </w:pPr>
    </w:p>
    <w:p>
      <w:pPr>
        <w:jc w:val="both"/>
        <w:ind w:left="160" w:right="260"/>
        <w:spacing w:after="0" w:line="256" w:lineRule="auto"/>
        <w:rPr>
          <w:sz w:val="20"/>
          <w:szCs w:val="20"/>
          <w:color w:val="auto"/>
        </w:rPr>
      </w:pPr>
      <w:r>
        <w:rPr>
          <w:rFonts w:ascii="Arial" w:cs="Arial" w:eastAsia="Arial" w:hAnsi="Arial"/>
          <w:sz w:val="13"/>
          <w:szCs w:val="13"/>
          <w:color w:val="auto"/>
        </w:rPr>
        <w:t>Ms. Atkins has been Chief Executive Officer and Founder of Baja Corporation, an independent venture capital firm focused on technology, renewable energy and life sciences, since 1994. Ms. Atkins currently serves as a director of Solaredge Technologies, Inc. (since June 2021), Enovix Corporation (since July 2021) and Rackspace Technology, Inc (since June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137160</wp:posOffset>
            </wp:positionV>
            <wp:extent cx="1986915" cy="1409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86915" cy="1409700"/>
                    </a:xfrm>
                    <a:prstGeom prst="rect">
                      <a:avLst/>
                    </a:prstGeom>
                    <a:noFill/>
                  </pic:spPr>
                </pic:pic>
              </a:graphicData>
            </a:graphic>
          </wp:anchor>
        </w:drawing>
      </w:r>
    </w:p>
    <w:p>
      <w:pPr>
        <w:spacing w:after="0" w:line="303" w:lineRule="exact"/>
        <w:rPr>
          <w:sz w:val="20"/>
          <w:szCs w:val="20"/>
          <w:color w:val="auto"/>
        </w:rPr>
      </w:pPr>
    </w:p>
    <w:p>
      <w:pPr>
        <w:ind w:left="3680"/>
        <w:spacing w:after="0"/>
        <w:rPr>
          <w:sz w:val="20"/>
          <w:szCs w:val="20"/>
          <w:color w:val="auto"/>
        </w:rPr>
      </w:pPr>
      <w:r>
        <w:rPr>
          <w:rFonts w:ascii="Arial" w:cs="Arial" w:eastAsia="Arial" w:hAnsi="Arial"/>
          <w:sz w:val="16"/>
          <w:szCs w:val="16"/>
          <w:color w:val="140F21"/>
        </w:rPr>
        <w:t>PREVIOUS EXPERIENCE</w:t>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160" w:type="dxa"/>
        <w:tblCellMar>
          <w:top w:w="0" w:type="dxa"/>
          <w:left w:w="0" w:type="dxa"/>
          <w:bottom w:w="0" w:type="dxa"/>
          <w:right w:w="0" w:type="dxa"/>
        </w:tblCellMar>
      </w:tblPr>
      <w:tr>
        <w:trPr>
          <w:trHeight w:val="500"/>
        </w:trPr>
        <w:tc>
          <w:tcPr>
            <w:tcW w:w="140" w:type="dxa"/>
            <w:vAlign w:val="bottom"/>
            <w:tcBorders>
              <w:bottom w:val="single" w:sz="8" w:color="F9F9EA"/>
            </w:tcBorders>
            <w:shd w:val="clear" w:color="auto" w:fill="F9F9EA"/>
          </w:tcPr>
          <w:p>
            <w:pPr>
              <w:spacing w:after="0"/>
              <w:rPr>
                <w:sz w:val="20"/>
                <w:szCs w:val="20"/>
                <w:color w:val="auto"/>
              </w:rPr>
            </w:pPr>
            <w:r>
              <w:rPr>
                <w:rFonts w:ascii="Arial" w:cs="Arial" w:eastAsia="Arial" w:hAnsi="Arial"/>
                <w:sz w:val="16"/>
                <w:szCs w:val="16"/>
                <w:color w:val="auto"/>
              </w:rPr>
              <w:t xml:space="preserve">   </w:t>
            </w:r>
          </w:p>
        </w:tc>
        <w:tc>
          <w:tcPr>
            <w:tcW w:w="1320" w:type="dxa"/>
            <w:vAlign w:val="bottom"/>
            <w:tcBorders>
              <w:bottom w:val="single" w:sz="8" w:color="F9F9EA"/>
            </w:tcBorders>
            <w:shd w:val="clear" w:color="auto" w:fill="F9F9EA"/>
          </w:tcPr>
          <w:p>
            <w:pPr>
              <w:ind w:left="60"/>
              <w:spacing w:after="0"/>
              <w:rPr>
                <w:sz w:val="20"/>
                <w:szCs w:val="20"/>
                <w:color w:val="auto"/>
              </w:rPr>
            </w:pPr>
            <w:r>
              <w:rPr>
                <w:rFonts w:ascii="Arial" w:cs="Arial" w:eastAsia="Arial" w:hAnsi="Arial"/>
                <w:sz w:val="12"/>
                <w:szCs w:val="12"/>
                <w:color w:val="351B3D"/>
              </w:rPr>
              <w:t>Director Since</w:t>
            </w:r>
          </w:p>
        </w:tc>
        <w:tc>
          <w:tcPr>
            <w:tcW w:w="1560" w:type="dxa"/>
            <w:vAlign w:val="bottom"/>
            <w:tcBorders>
              <w:bottom w:val="single" w:sz="8" w:color="F9F9EA"/>
            </w:tcBorders>
            <w:shd w:val="clear" w:color="auto" w:fill="F9F9EA"/>
          </w:tcPr>
          <w:p>
            <w:pPr>
              <w:ind w:left="40"/>
              <w:spacing w:after="0"/>
              <w:rPr>
                <w:sz w:val="20"/>
                <w:szCs w:val="20"/>
                <w:color w:val="auto"/>
              </w:rPr>
            </w:pPr>
            <w:r>
              <w:rPr>
                <w:rFonts w:ascii="Arial" w:cs="Arial" w:eastAsia="Arial" w:hAnsi="Arial"/>
                <w:sz w:val="12"/>
                <w:szCs w:val="12"/>
                <w:color w:val="351B3D"/>
              </w:rPr>
              <w:t>April 2018</w:t>
            </w:r>
          </w:p>
        </w:tc>
        <w:tc>
          <w:tcPr>
            <w:tcW w:w="140" w:type="dxa"/>
            <w:vAlign w:val="bottom"/>
            <w:tcBorders>
              <w:bottom w:val="single" w:sz="8" w:color="F9F9EA"/>
            </w:tcBorders>
            <w:shd w:val="clear" w:color="auto" w:fill="F9F9EA"/>
          </w:tcPr>
          <w:p>
            <w:pPr>
              <w:ind w:left="100"/>
              <w:spacing w:after="0"/>
              <w:rPr>
                <w:sz w:val="20"/>
                <w:szCs w:val="20"/>
                <w:color w:val="auto"/>
              </w:rPr>
            </w:pPr>
            <w:r>
              <w:rPr>
                <w:rFonts w:ascii="Arial" w:cs="Arial" w:eastAsia="Arial" w:hAnsi="Arial"/>
                <w:sz w:val="11"/>
                <w:szCs w:val="11"/>
                <w:color w:val="auto"/>
                <w:w w:val="70"/>
              </w:rPr>
              <w:t> </w:t>
            </w:r>
          </w:p>
        </w:tc>
      </w:tr>
      <w:tr>
        <w:trPr>
          <w:trHeight w:val="328"/>
        </w:trPr>
        <w:tc>
          <w:tcPr>
            <w:tcW w:w="140" w:type="dxa"/>
            <w:vAlign w:val="bottom"/>
            <w:tcBorders>
              <w:top w:val="single" w:sz="8" w:color="F9F9EA"/>
            </w:tcBorders>
            <w:shd w:val="clear" w:color="auto" w:fill="F9F9EA"/>
          </w:tcPr>
          <w:p>
            <w:pPr>
              <w:spacing w:after="0"/>
              <w:rPr>
                <w:sz w:val="24"/>
                <w:szCs w:val="24"/>
                <w:color w:val="auto"/>
              </w:rPr>
            </w:pPr>
          </w:p>
        </w:tc>
        <w:tc>
          <w:tcPr>
            <w:tcW w:w="1320" w:type="dxa"/>
            <w:vAlign w:val="bottom"/>
            <w:tcBorders>
              <w:top w:val="single" w:sz="8" w:color="auto"/>
            </w:tcBorders>
            <w:shd w:val="clear" w:color="auto" w:fill="F9F9EA"/>
          </w:tcPr>
          <w:p>
            <w:pPr>
              <w:ind w:left="60"/>
              <w:spacing w:after="0"/>
              <w:rPr>
                <w:sz w:val="20"/>
                <w:szCs w:val="20"/>
                <w:color w:val="auto"/>
              </w:rPr>
            </w:pPr>
            <w:r>
              <w:rPr>
                <w:rFonts w:ascii="Arial" w:cs="Arial" w:eastAsia="Arial" w:hAnsi="Arial"/>
                <w:sz w:val="12"/>
                <w:szCs w:val="12"/>
                <w:color w:val="351B3D"/>
              </w:rPr>
              <w:t>Term Expires</w:t>
            </w:r>
          </w:p>
        </w:tc>
        <w:tc>
          <w:tcPr>
            <w:tcW w:w="1560" w:type="dxa"/>
            <w:vAlign w:val="bottom"/>
            <w:tcBorders>
              <w:top w:val="single" w:sz="8" w:color="auto"/>
            </w:tcBorders>
            <w:shd w:val="clear" w:color="auto" w:fill="F9F9EA"/>
          </w:tcPr>
          <w:p>
            <w:pPr>
              <w:ind w:left="40"/>
              <w:spacing w:after="0"/>
              <w:rPr>
                <w:sz w:val="20"/>
                <w:szCs w:val="20"/>
                <w:color w:val="auto"/>
              </w:rPr>
            </w:pPr>
            <w:r>
              <w:rPr>
                <w:rFonts w:ascii="Arial" w:cs="Arial" w:eastAsia="Arial" w:hAnsi="Arial"/>
                <w:sz w:val="12"/>
                <w:szCs w:val="12"/>
                <w:color w:val="351B3D"/>
              </w:rPr>
              <w:t>2027 Annual Meeting</w:t>
            </w:r>
          </w:p>
        </w:tc>
        <w:tc>
          <w:tcPr>
            <w:tcW w:w="140" w:type="dxa"/>
            <w:vAlign w:val="bottom"/>
            <w:tcBorders>
              <w:top w:val="single" w:sz="8" w:color="F9F9EA"/>
            </w:tcBorders>
            <w:shd w:val="clear" w:color="auto" w:fill="F9F9EA"/>
          </w:tcPr>
          <w:p>
            <w:pPr>
              <w:spacing w:after="0"/>
              <w:rPr>
                <w:sz w:val="24"/>
                <w:szCs w:val="24"/>
                <w:color w:val="auto"/>
              </w:rPr>
            </w:pPr>
          </w:p>
        </w:tc>
      </w:tr>
      <w:tr>
        <w:trPr>
          <w:trHeight w:val="161"/>
        </w:trPr>
        <w:tc>
          <w:tcPr>
            <w:tcW w:w="140" w:type="dxa"/>
            <w:vAlign w:val="bottom"/>
            <w:tcBorders>
              <w:bottom w:val="single" w:sz="8" w:color="F9F9EA"/>
            </w:tcBorders>
            <w:shd w:val="clear" w:color="auto" w:fill="F9F9EA"/>
          </w:tcPr>
          <w:p>
            <w:pPr>
              <w:spacing w:after="0"/>
              <w:rPr>
                <w:sz w:val="13"/>
                <w:szCs w:val="13"/>
                <w:color w:val="auto"/>
              </w:rPr>
            </w:pPr>
          </w:p>
        </w:tc>
        <w:tc>
          <w:tcPr>
            <w:tcW w:w="1320" w:type="dxa"/>
            <w:vAlign w:val="bottom"/>
            <w:tcBorders>
              <w:bottom w:val="single" w:sz="8" w:color="auto"/>
            </w:tcBorders>
            <w:shd w:val="clear" w:color="auto" w:fill="F9F9EA"/>
          </w:tcPr>
          <w:p>
            <w:pPr>
              <w:spacing w:after="0"/>
              <w:rPr>
                <w:sz w:val="13"/>
                <w:szCs w:val="13"/>
                <w:color w:val="auto"/>
              </w:rPr>
            </w:pPr>
          </w:p>
        </w:tc>
        <w:tc>
          <w:tcPr>
            <w:tcW w:w="1560" w:type="dxa"/>
            <w:vAlign w:val="bottom"/>
            <w:tcBorders>
              <w:bottom w:val="single" w:sz="8" w:color="auto"/>
            </w:tcBorders>
            <w:shd w:val="clear" w:color="auto" w:fill="F9F9EA"/>
          </w:tcPr>
          <w:p>
            <w:pPr>
              <w:spacing w:after="0"/>
              <w:rPr>
                <w:sz w:val="13"/>
                <w:szCs w:val="13"/>
                <w:color w:val="auto"/>
              </w:rPr>
            </w:pPr>
          </w:p>
        </w:tc>
        <w:tc>
          <w:tcPr>
            <w:tcW w:w="140" w:type="dxa"/>
            <w:vAlign w:val="bottom"/>
            <w:tcBorders>
              <w:bottom w:val="single" w:sz="8" w:color="F9F9EA"/>
            </w:tcBorders>
            <w:shd w:val="clear" w:color="auto" w:fill="F9F9EA"/>
          </w:tcPr>
          <w:p>
            <w:pPr>
              <w:spacing w:after="0"/>
              <w:rPr>
                <w:sz w:val="13"/>
                <w:szCs w:val="13"/>
                <w:color w:val="auto"/>
              </w:rPr>
            </w:pPr>
          </w:p>
        </w:tc>
      </w:tr>
      <w:tr>
        <w:trPr>
          <w:trHeight w:val="328"/>
        </w:trPr>
        <w:tc>
          <w:tcPr>
            <w:tcW w:w="140" w:type="dxa"/>
            <w:vAlign w:val="bottom"/>
            <w:shd w:val="clear" w:color="auto" w:fill="F9F9EA"/>
          </w:tcPr>
          <w:p>
            <w:pPr>
              <w:spacing w:after="0"/>
              <w:rPr>
                <w:sz w:val="24"/>
                <w:szCs w:val="24"/>
                <w:color w:val="auto"/>
              </w:rPr>
            </w:pPr>
          </w:p>
        </w:tc>
        <w:tc>
          <w:tcPr>
            <w:tcW w:w="132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Age</w:t>
            </w:r>
          </w:p>
        </w:tc>
        <w:tc>
          <w:tcPr>
            <w:tcW w:w="1560" w:type="dxa"/>
            <w:vAlign w:val="bottom"/>
            <w:shd w:val="clear" w:color="auto" w:fill="F9F9EA"/>
          </w:tcPr>
          <w:p>
            <w:pPr>
              <w:ind w:left="40"/>
              <w:spacing w:after="0"/>
              <w:rPr>
                <w:sz w:val="20"/>
                <w:szCs w:val="20"/>
                <w:color w:val="auto"/>
              </w:rPr>
            </w:pPr>
            <w:r>
              <w:rPr>
                <w:rFonts w:ascii="Arial" w:cs="Arial" w:eastAsia="Arial" w:hAnsi="Arial"/>
                <w:sz w:val="12"/>
                <w:szCs w:val="12"/>
                <w:color w:val="351B3D"/>
              </w:rPr>
              <w:t>71</w:t>
            </w:r>
          </w:p>
        </w:tc>
        <w:tc>
          <w:tcPr>
            <w:tcW w:w="140" w:type="dxa"/>
            <w:vAlign w:val="bottom"/>
            <w:shd w:val="clear" w:color="auto" w:fill="F9F9EA"/>
          </w:tcPr>
          <w:p>
            <w:pPr>
              <w:spacing w:after="0"/>
              <w:rPr>
                <w:sz w:val="24"/>
                <w:szCs w:val="24"/>
                <w:color w:val="auto"/>
              </w:rPr>
            </w:pPr>
          </w:p>
        </w:tc>
      </w:tr>
      <w:tr>
        <w:trPr>
          <w:trHeight w:val="161"/>
        </w:trPr>
        <w:tc>
          <w:tcPr>
            <w:tcW w:w="140" w:type="dxa"/>
            <w:vAlign w:val="bottom"/>
            <w:tcBorders>
              <w:bottom w:val="single" w:sz="8" w:color="F9F9EA"/>
            </w:tcBorders>
            <w:shd w:val="clear" w:color="auto" w:fill="F9F9EA"/>
          </w:tcPr>
          <w:p>
            <w:pPr>
              <w:spacing w:after="0"/>
              <w:rPr>
                <w:sz w:val="13"/>
                <w:szCs w:val="13"/>
                <w:color w:val="auto"/>
              </w:rPr>
            </w:pPr>
          </w:p>
        </w:tc>
        <w:tc>
          <w:tcPr>
            <w:tcW w:w="1320" w:type="dxa"/>
            <w:vAlign w:val="bottom"/>
            <w:tcBorders>
              <w:bottom w:val="single" w:sz="8" w:color="auto"/>
            </w:tcBorders>
            <w:shd w:val="clear" w:color="auto" w:fill="F9F9EA"/>
          </w:tcPr>
          <w:p>
            <w:pPr>
              <w:spacing w:after="0"/>
              <w:rPr>
                <w:sz w:val="13"/>
                <w:szCs w:val="13"/>
                <w:color w:val="auto"/>
              </w:rPr>
            </w:pPr>
          </w:p>
        </w:tc>
        <w:tc>
          <w:tcPr>
            <w:tcW w:w="1560" w:type="dxa"/>
            <w:vAlign w:val="bottom"/>
            <w:tcBorders>
              <w:bottom w:val="single" w:sz="8" w:color="auto"/>
            </w:tcBorders>
            <w:shd w:val="clear" w:color="auto" w:fill="F9F9EA"/>
          </w:tcPr>
          <w:p>
            <w:pPr>
              <w:spacing w:after="0"/>
              <w:rPr>
                <w:sz w:val="13"/>
                <w:szCs w:val="13"/>
                <w:color w:val="auto"/>
              </w:rPr>
            </w:pPr>
          </w:p>
        </w:tc>
        <w:tc>
          <w:tcPr>
            <w:tcW w:w="140" w:type="dxa"/>
            <w:vAlign w:val="bottom"/>
            <w:tcBorders>
              <w:bottom w:val="single" w:sz="8" w:color="F9F9EA"/>
            </w:tcBorders>
            <w:shd w:val="clear" w:color="auto" w:fill="F9F9EA"/>
          </w:tcPr>
          <w:p>
            <w:pPr>
              <w:spacing w:after="0"/>
              <w:rPr>
                <w:sz w:val="13"/>
                <w:szCs w:val="13"/>
                <w:color w:val="auto"/>
              </w:rPr>
            </w:pPr>
          </w:p>
        </w:tc>
      </w:tr>
      <w:tr>
        <w:trPr>
          <w:trHeight w:val="230"/>
        </w:trPr>
        <w:tc>
          <w:tcPr>
            <w:tcW w:w="140" w:type="dxa"/>
            <w:vAlign w:val="bottom"/>
            <w:shd w:val="clear" w:color="auto" w:fill="F9F9EA"/>
          </w:tcPr>
          <w:p>
            <w:pPr>
              <w:spacing w:after="0"/>
              <w:rPr>
                <w:sz w:val="19"/>
                <w:szCs w:val="19"/>
                <w:color w:val="auto"/>
              </w:rPr>
            </w:pPr>
          </w:p>
        </w:tc>
        <w:tc>
          <w:tcPr>
            <w:tcW w:w="132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Board Committees:</w:t>
            </w:r>
          </w:p>
        </w:tc>
        <w:tc>
          <w:tcPr>
            <w:tcW w:w="1560" w:type="dxa"/>
            <w:vAlign w:val="bottom"/>
            <w:shd w:val="clear" w:color="auto" w:fill="F9F9EA"/>
          </w:tcPr>
          <w:p>
            <w:pPr>
              <w:ind w:left="40"/>
              <w:spacing w:after="0"/>
              <w:rPr>
                <w:sz w:val="20"/>
                <w:szCs w:val="20"/>
                <w:color w:val="auto"/>
              </w:rPr>
            </w:pPr>
            <w:r>
              <w:rPr>
                <w:rFonts w:ascii="Arial" w:cs="Arial" w:eastAsia="Arial" w:hAnsi="Arial"/>
                <w:sz w:val="12"/>
                <w:szCs w:val="12"/>
                <w:color w:val="351B3D"/>
              </w:rPr>
              <w:t>Compensation (Chair),</w:t>
            </w:r>
          </w:p>
        </w:tc>
        <w:tc>
          <w:tcPr>
            <w:tcW w:w="140" w:type="dxa"/>
            <w:vAlign w:val="bottom"/>
            <w:shd w:val="clear" w:color="auto" w:fill="F9F9EA"/>
          </w:tcPr>
          <w:p>
            <w:pPr>
              <w:spacing w:after="0"/>
              <w:rPr>
                <w:sz w:val="19"/>
                <w:szCs w:val="19"/>
                <w:color w:val="auto"/>
              </w:rPr>
            </w:pPr>
          </w:p>
        </w:tc>
      </w:tr>
      <w:tr>
        <w:trPr>
          <w:trHeight w:val="134"/>
        </w:trPr>
        <w:tc>
          <w:tcPr>
            <w:tcW w:w="140" w:type="dxa"/>
            <w:vAlign w:val="bottom"/>
            <w:shd w:val="clear" w:color="auto" w:fill="F9F9EA"/>
          </w:tcPr>
          <w:p>
            <w:pPr>
              <w:spacing w:after="0"/>
              <w:rPr>
                <w:sz w:val="11"/>
                <w:szCs w:val="11"/>
                <w:color w:val="auto"/>
              </w:rPr>
            </w:pPr>
          </w:p>
        </w:tc>
        <w:tc>
          <w:tcPr>
            <w:tcW w:w="1320" w:type="dxa"/>
            <w:vAlign w:val="bottom"/>
            <w:shd w:val="clear" w:color="auto" w:fill="F9F9EA"/>
          </w:tcPr>
          <w:p>
            <w:pPr>
              <w:spacing w:after="0"/>
              <w:rPr>
                <w:sz w:val="11"/>
                <w:szCs w:val="11"/>
                <w:color w:val="auto"/>
              </w:rPr>
            </w:pPr>
          </w:p>
        </w:tc>
        <w:tc>
          <w:tcPr>
            <w:tcW w:w="1560" w:type="dxa"/>
            <w:vAlign w:val="bottom"/>
            <w:shd w:val="clear" w:color="auto" w:fill="F9F9EA"/>
          </w:tcPr>
          <w:p>
            <w:pPr>
              <w:ind w:left="40"/>
              <w:spacing w:after="0" w:line="134" w:lineRule="exact"/>
              <w:rPr>
                <w:sz w:val="20"/>
                <w:szCs w:val="20"/>
                <w:color w:val="auto"/>
              </w:rPr>
            </w:pPr>
            <w:r>
              <w:rPr>
                <w:rFonts w:ascii="Arial" w:cs="Arial" w:eastAsia="Arial" w:hAnsi="Arial"/>
                <w:sz w:val="12"/>
                <w:szCs w:val="12"/>
                <w:color w:val="351B3D"/>
              </w:rPr>
              <w:t>Nominating and</w:t>
            </w:r>
          </w:p>
        </w:tc>
        <w:tc>
          <w:tcPr>
            <w:tcW w:w="140" w:type="dxa"/>
            <w:vAlign w:val="bottom"/>
            <w:shd w:val="clear" w:color="auto" w:fill="F9F9EA"/>
          </w:tcPr>
          <w:p>
            <w:pPr>
              <w:spacing w:after="0"/>
              <w:rPr>
                <w:sz w:val="11"/>
                <w:szCs w:val="11"/>
                <w:color w:val="auto"/>
              </w:rPr>
            </w:pPr>
          </w:p>
        </w:tc>
      </w:tr>
      <w:tr>
        <w:trPr>
          <w:trHeight w:val="165"/>
        </w:trPr>
        <w:tc>
          <w:tcPr>
            <w:tcW w:w="140" w:type="dxa"/>
            <w:vAlign w:val="bottom"/>
            <w:shd w:val="clear" w:color="auto" w:fill="F9F9EA"/>
          </w:tcPr>
          <w:p>
            <w:pPr>
              <w:spacing w:after="0"/>
              <w:rPr>
                <w:sz w:val="14"/>
                <w:szCs w:val="14"/>
                <w:color w:val="auto"/>
              </w:rPr>
            </w:pPr>
          </w:p>
        </w:tc>
        <w:tc>
          <w:tcPr>
            <w:tcW w:w="1320" w:type="dxa"/>
            <w:vAlign w:val="bottom"/>
            <w:shd w:val="clear" w:color="auto" w:fill="F9F9EA"/>
          </w:tcPr>
          <w:p>
            <w:pPr>
              <w:spacing w:after="0"/>
              <w:rPr>
                <w:sz w:val="14"/>
                <w:szCs w:val="14"/>
                <w:color w:val="auto"/>
              </w:rPr>
            </w:pPr>
          </w:p>
        </w:tc>
        <w:tc>
          <w:tcPr>
            <w:tcW w:w="1560" w:type="dxa"/>
            <w:vAlign w:val="bottom"/>
            <w:shd w:val="clear" w:color="auto" w:fill="F9F9EA"/>
          </w:tcPr>
          <w:p>
            <w:pPr>
              <w:ind w:left="40"/>
              <w:spacing w:after="0"/>
              <w:rPr>
                <w:sz w:val="20"/>
                <w:szCs w:val="20"/>
                <w:color w:val="auto"/>
              </w:rPr>
            </w:pPr>
            <w:r>
              <w:rPr>
                <w:rFonts w:ascii="Arial" w:cs="Arial" w:eastAsia="Arial" w:hAnsi="Arial"/>
                <w:sz w:val="12"/>
                <w:szCs w:val="12"/>
                <w:color w:val="351B3D"/>
              </w:rPr>
              <w:t>Corporate Governance</w:t>
            </w:r>
          </w:p>
        </w:tc>
        <w:tc>
          <w:tcPr>
            <w:tcW w:w="140" w:type="dxa"/>
            <w:vAlign w:val="bottom"/>
            <w:shd w:val="clear" w:color="auto" w:fill="F9F9EA"/>
          </w:tcPr>
          <w:p>
            <w:pPr>
              <w:spacing w:after="0"/>
              <w:rPr>
                <w:sz w:val="14"/>
                <w:szCs w:val="14"/>
                <w:color w:val="auto"/>
              </w:rPr>
            </w:pPr>
          </w:p>
        </w:tc>
      </w:tr>
      <w:tr>
        <w:trPr>
          <w:trHeight w:val="67"/>
        </w:trPr>
        <w:tc>
          <w:tcPr>
            <w:tcW w:w="140" w:type="dxa"/>
            <w:vAlign w:val="bottom"/>
            <w:shd w:val="clear" w:color="auto" w:fill="F9F9EA"/>
          </w:tcPr>
          <w:p>
            <w:pPr>
              <w:spacing w:after="0"/>
              <w:rPr>
                <w:sz w:val="5"/>
                <w:szCs w:val="5"/>
                <w:color w:val="auto"/>
              </w:rPr>
            </w:pPr>
          </w:p>
        </w:tc>
        <w:tc>
          <w:tcPr>
            <w:tcW w:w="1320" w:type="dxa"/>
            <w:vAlign w:val="bottom"/>
            <w:shd w:val="clear" w:color="auto" w:fill="F9F9EA"/>
          </w:tcPr>
          <w:p>
            <w:pPr>
              <w:spacing w:after="0"/>
              <w:rPr>
                <w:sz w:val="5"/>
                <w:szCs w:val="5"/>
                <w:color w:val="auto"/>
              </w:rPr>
            </w:pPr>
          </w:p>
        </w:tc>
        <w:tc>
          <w:tcPr>
            <w:tcW w:w="1560" w:type="dxa"/>
            <w:vAlign w:val="bottom"/>
            <w:shd w:val="clear" w:color="auto" w:fill="F9F9EA"/>
          </w:tcPr>
          <w:p>
            <w:pPr>
              <w:spacing w:after="0"/>
              <w:rPr>
                <w:sz w:val="5"/>
                <w:szCs w:val="5"/>
                <w:color w:val="auto"/>
              </w:rPr>
            </w:pPr>
          </w:p>
        </w:tc>
        <w:tc>
          <w:tcPr>
            <w:tcW w:w="140" w:type="dxa"/>
            <w:vAlign w:val="bottom"/>
            <w:shd w:val="clear" w:color="auto" w:fill="F9F9EA"/>
          </w:tcPr>
          <w:p>
            <w:pPr>
              <w:spacing w:after="0"/>
              <w:rPr>
                <w:sz w:val="5"/>
                <w:szCs w:val="5"/>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 February 2009 to August 2009: Chair and Chief Executive Officer, Clear Standards (until acquired by SAP, AG)</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color w:val="auto"/>
        </w:rPr>
        <w:t>–    1991 to 1993: Chair and Chief Executive Officer, NCI, Inc.</w:t>
      </w:r>
    </w:p>
    <w:p>
      <w:pPr>
        <w:spacing w:after="0" w:line="78" w:lineRule="exact"/>
        <w:rPr>
          <w:sz w:val="20"/>
          <w:szCs w:val="20"/>
          <w:color w:val="auto"/>
        </w:rPr>
      </w:pPr>
    </w:p>
    <w:p>
      <w:pPr>
        <w:ind w:left="160" w:right="580" w:hanging="177"/>
        <w:spacing w:after="0" w:line="277" w:lineRule="auto"/>
        <w:rPr>
          <w:sz w:val="20"/>
          <w:szCs w:val="20"/>
          <w:color w:val="auto"/>
        </w:rPr>
      </w:pPr>
      <w:r>
        <w:rPr>
          <w:rFonts w:ascii="Arial" w:cs="Arial" w:eastAsia="Arial" w:hAnsi="Arial"/>
          <w:sz w:val="13"/>
          <w:szCs w:val="13"/>
          <w:color w:val="auto"/>
        </w:rPr>
        <w:t>–    1989 to 1999: Co-founder, Director, Executive Vice President Sales, Marketing, International Operations, Ascend Communications (until acquired by Lucent Technologies)</w:t>
      </w:r>
    </w:p>
    <w:p>
      <w:pPr>
        <w:spacing w:after="0" w:line="29" w:lineRule="exact"/>
        <w:rPr>
          <w:sz w:val="20"/>
          <w:szCs w:val="20"/>
          <w:color w:val="auto"/>
        </w:rPr>
      </w:pPr>
    </w:p>
    <w:p>
      <w:pPr>
        <w:jc w:val="both"/>
        <w:ind w:left="160" w:right="60" w:hanging="177"/>
        <w:spacing w:after="0" w:line="277" w:lineRule="auto"/>
        <w:rPr>
          <w:sz w:val="20"/>
          <w:szCs w:val="20"/>
          <w:color w:val="auto"/>
        </w:rPr>
      </w:pPr>
      <w:r>
        <w:rPr>
          <w:rFonts w:ascii="Arial" w:cs="Arial" w:eastAsia="Arial" w:hAnsi="Arial"/>
          <w:sz w:val="13"/>
          <w:szCs w:val="13"/>
          <w:color w:val="auto"/>
        </w:rPr>
        <w:t>–    Previously served as director of Chico’s FAS, Ciber, Cognizant Technology Solutions, Darden Restaurants. HD Supply Holdings, Polycom, Schneider Electric, SL Green Realty, Corp., SunPower Corporation, , Volvo Car Group, and NASDAQ</w:t>
      </w:r>
    </w:p>
    <w:p>
      <w:pPr>
        <w:spacing w:after="0" w:line="29" w:lineRule="exact"/>
        <w:rPr>
          <w:sz w:val="20"/>
          <w:szCs w:val="20"/>
          <w:color w:val="auto"/>
        </w:rPr>
      </w:pPr>
    </w:p>
    <w:p>
      <w:pPr>
        <w:ind w:left="160" w:right="680" w:hanging="177"/>
        <w:spacing w:after="0" w:line="277" w:lineRule="auto"/>
        <w:rPr>
          <w:sz w:val="20"/>
          <w:szCs w:val="20"/>
          <w:color w:val="auto"/>
        </w:rPr>
      </w:pPr>
      <w:r>
        <w:rPr>
          <w:rFonts w:ascii="Arial" w:cs="Arial" w:eastAsia="Arial" w:hAnsi="Arial"/>
          <w:sz w:val="13"/>
          <w:szCs w:val="13"/>
          <w:color w:val="auto"/>
        </w:rPr>
        <w:t>–    Formerly Chair, Executive Advisory Board, SAP, AG, and Chair, Executive Advisory Board, British Telecom and presidential-appointee to the Pension Benefit Guaranty Corporation advisory committee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140F21"/>
        </w:rPr>
        <w:t>EDUCATION</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Ms. Atkins graduated with a B.A. from the University of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140F21"/>
        </w:rPr>
        <w:t>EXPERTISE</w:t>
      </w:r>
    </w:p>
    <w:p>
      <w:pPr>
        <w:spacing w:after="0" w:line="17" w:lineRule="exact"/>
        <w:rPr>
          <w:sz w:val="20"/>
          <w:szCs w:val="20"/>
          <w:color w:val="auto"/>
        </w:rPr>
      </w:pPr>
    </w:p>
    <w:p>
      <w:pPr>
        <w:jc w:val="both"/>
        <w:ind w:right="40"/>
        <w:spacing w:after="0" w:line="247" w:lineRule="auto"/>
        <w:rPr>
          <w:sz w:val="20"/>
          <w:szCs w:val="20"/>
          <w:color w:val="auto"/>
        </w:rPr>
      </w:pPr>
      <w:r>
        <w:rPr>
          <w:rFonts w:ascii="Arial" w:cs="Arial" w:eastAsia="Arial" w:hAnsi="Arial"/>
          <w:sz w:val="13"/>
          <w:szCs w:val="13"/>
          <w:color w:val="auto"/>
        </w:rPr>
        <w:t>Ms. Atkins brings to our Board executive leadership and operational experience in various technology, food &amp; beverage and retail industries, as well as significant public board experience and executive compensation, sustainability and enterprise risk management expertise.</w:t>
      </w:r>
    </w:p>
    <w:p>
      <w:pPr>
        <w:spacing w:after="0" w:line="1237" w:lineRule="exact"/>
        <w:rPr>
          <w:sz w:val="20"/>
          <w:szCs w:val="20"/>
          <w:color w:val="auto"/>
        </w:rPr>
      </w:pPr>
    </w:p>
    <w:p>
      <w:pPr>
        <w:sectPr>
          <w:pgSz w:w="11900" w:h="16838" w:orient="portrait"/>
          <w:cols w:equalWidth="0" w:num="2">
            <w:col w:w="3320" w:space="360"/>
            <w:col w:w="7400"/>
          </w:cols>
          <w:pgMar w:left="320" w:top="478" w:right="499" w:bottom="1440" w:gutter="0" w:footer="0" w:header="0"/>
          <w:type w:val="continuous"/>
        </w:sectPr>
      </w:pPr>
    </w:p>
    <w:p>
      <w:pPr>
        <w:ind w:left="160"/>
        <w:spacing w:after="0"/>
        <w:rPr>
          <w:sz w:val="20"/>
          <w:szCs w:val="20"/>
          <w:color w:val="auto"/>
        </w:rPr>
      </w:pPr>
      <w:r>
        <w:rPr>
          <w:rFonts w:ascii="Arial" w:cs="Arial" w:eastAsia="Arial" w:hAnsi="Arial"/>
          <w:sz w:val="16"/>
          <w:szCs w:val="16"/>
          <w:color w:val="140F21"/>
        </w:rPr>
        <w:t>SKILLS AND QUALIFICATIONS</w:t>
      </w:r>
    </w:p>
    <w:p>
      <w:pPr>
        <w:spacing w:after="0" w:line="138"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2220" w:type="dxa"/>
            <w:vAlign w:val="bottom"/>
            <w:shd w:val="clear" w:color="auto" w:fill="D6D1D8"/>
          </w:tcPr>
          <w:p>
            <w:pPr>
              <w:ind w:left="80"/>
              <w:spacing w:after="0"/>
              <w:rPr>
                <w:sz w:val="20"/>
                <w:szCs w:val="20"/>
                <w:color w:val="auto"/>
              </w:rPr>
            </w:pPr>
            <w:r>
              <w:rPr>
                <w:rFonts w:ascii="Arial" w:cs="Arial" w:eastAsia="Arial" w:hAnsi="Arial"/>
                <w:sz w:val="13"/>
                <w:szCs w:val="13"/>
                <w:color w:val="auto"/>
              </w:rPr>
              <w:t>Gaming or Other Regulated</w:t>
            </w:r>
          </w:p>
        </w:tc>
        <w:tc>
          <w:tcPr>
            <w:tcW w:w="8700" w:type="dxa"/>
            <w:vAlign w:val="bottom"/>
            <w:shd w:val="clear" w:color="auto" w:fill="D6D1D8"/>
          </w:tcPr>
          <w:p>
            <w:pPr>
              <w:ind w:left="120"/>
              <w:spacing w:after="0"/>
              <w:rPr>
                <w:sz w:val="20"/>
                <w:szCs w:val="20"/>
                <w:color w:val="auto"/>
              </w:rPr>
            </w:pPr>
            <w:r>
              <w:rPr>
                <w:rFonts w:ascii="Arial" w:cs="Arial" w:eastAsia="Arial" w:hAnsi="Arial"/>
                <w:sz w:val="13"/>
                <w:szCs w:val="13"/>
                <w:color w:val="auto"/>
              </w:rPr>
              <w:t>Ms. Atkins served as a director of NASDAQ, dealing closely with the Financial Industry Regulatory Authority, Inc., and as a member of the</w:t>
            </w:r>
          </w:p>
        </w:tc>
      </w:tr>
      <w:tr>
        <w:trPr>
          <w:trHeight w:val="187"/>
        </w:trPr>
        <w:tc>
          <w:tcPr>
            <w:tcW w:w="2220" w:type="dxa"/>
            <w:vAlign w:val="bottom"/>
            <w:shd w:val="clear" w:color="auto" w:fill="D6D1D8"/>
          </w:tcPr>
          <w:p>
            <w:pPr>
              <w:ind w:left="80"/>
              <w:spacing w:after="0"/>
              <w:rPr>
                <w:sz w:val="20"/>
                <w:szCs w:val="20"/>
                <w:color w:val="auto"/>
              </w:rPr>
            </w:pPr>
            <w:r>
              <w:rPr>
                <w:rFonts w:ascii="Arial" w:cs="Arial" w:eastAsia="Arial" w:hAnsi="Arial"/>
                <w:sz w:val="13"/>
                <w:szCs w:val="13"/>
                <w:color w:val="auto"/>
              </w:rPr>
              <w:t>Industry</w:t>
            </w:r>
          </w:p>
        </w:tc>
        <w:tc>
          <w:tcPr>
            <w:tcW w:w="8700" w:type="dxa"/>
            <w:vAlign w:val="bottom"/>
            <w:shd w:val="clear" w:color="auto" w:fill="D6D1D8"/>
          </w:tcPr>
          <w:p>
            <w:pPr>
              <w:ind w:left="120"/>
              <w:spacing w:after="0"/>
              <w:rPr>
                <w:sz w:val="20"/>
                <w:szCs w:val="20"/>
                <w:color w:val="auto"/>
              </w:rPr>
            </w:pPr>
            <w:r>
              <w:rPr>
                <w:rFonts w:ascii="Arial" w:cs="Arial" w:eastAsia="Arial" w:hAnsi="Arial"/>
                <w:sz w:val="13"/>
                <w:szCs w:val="13"/>
                <w:color w:val="auto"/>
              </w:rPr>
              <w:t>advisory board of the Pension Benefit Guaranty Corporation.</w:t>
            </w:r>
          </w:p>
        </w:tc>
      </w:tr>
      <w:tr>
        <w:trPr>
          <w:trHeight w:val="201"/>
        </w:trPr>
        <w:tc>
          <w:tcPr>
            <w:tcW w:w="2220" w:type="dxa"/>
            <w:vAlign w:val="bottom"/>
          </w:tcPr>
          <w:p>
            <w:pPr>
              <w:ind w:left="80"/>
              <w:spacing w:after="0"/>
              <w:rPr>
                <w:sz w:val="20"/>
                <w:szCs w:val="20"/>
                <w:color w:val="auto"/>
              </w:rPr>
            </w:pPr>
            <w:r>
              <w:rPr>
                <w:rFonts w:ascii="Arial" w:cs="Arial" w:eastAsia="Arial" w:hAnsi="Arial"/>
                <w:sz w:val="13"/>
                <w:szCs w:val="13"/>
                <w:color w:val="auto"/>
              </w:rPr>
              <w:t>Travel, Leisure, Hospitality &amp;</w:t>
            </w:r>
          </w:p>
        </w:tc>
        <w:tc>
          <w:tcPr>
            <w:tcW w:w="8700" w:type="dxa"/>
            <w:vAlign w:val="bottom"/>
          </w:tcPr>
          <w:p>
            <w:pPr>
              <w:ind w:left="120"/>
              <w:spacing w:after="0"/>
              <w:rPr>
                <w:sz w:val="20"/>
                <w:szCs w:val="20"/>
                <w:color w:val="auto"/>
              </w:rPr>
            </w:pPr>
            <w:r>
              <w:rPr>
                <w:rFonts w:ascii="Arial" w:cs="Arial" w:eastAsia="Arial" w:hAnsi="Arial"/>
                <w:sz w:val="13"/>
                <w:szCs w:val="13"/>
                <w:color w:val="auto"/>
              </w:rPr>
              <w:t>Ms. Atkins served as a director of Darden Restaurants, an owner and operator of numerous restaurant chains.</w:t>
            </w:r>
          </w:p>
        </w:tc>
      </w:tr>
      <w:tr>
        <w:trPr>
          <w:trHeight w:val="181"/>
        </w:trPr>
        <w:tc>
          <w:tcPr>
            <w:tcW w:w="2220" w:type="dxa"/>
            <w:vAlign w:val="bottom"/>
          </w:tcPr>
          <w:p>
            <w:pPr>
              <w:ind w:left="80"/>
              <w:spacing w:after="0"/>
              <w:rPr>
                <w:sz w:val="20"/>
                <w:szCs w:val="20"/>
                <w:color w:val="auto"/>
              </w:rPr>
            </w:pPr>
            <w:r>
              <w:rPr>
                <w:rFonts w:ascii="Arial" w:cs="Arial" w:eastAsia="Arial" w:hAnsi="Arial"/>
                <w:sz w:val="13"/>
                <w:szCs w:val="13"/>
                <w:color w:val="auto"/>
              </w:rPr>
              <w:t>Entertainment</w:t>
            </w:r>
          </w:p>
        </w:tc>
        <w:tc>
          <w:tcPr>
            <w:tcW w:w="8700" w:type="dxa"/>
            <w:vAlign w:val="bottom"/>
          </w:tcPr>
          <w:p>
            <w:pPr>
              <w:spacing w:after="0"/>
              <w:rPr>
                <w:sz w:val="15"/>
                <w:szCs w:val="15"/>
                <w:color w:val="auto"/>
              </w:rPr>
            </w:pPr>
          </w:p>
        </w:tc>
      </w:tr>
      <w:tr>
        <w:trPr>
          <w:trHeight w:val="246"/>
        </w:trPr>
        <w:tc>
          <w:tcPr>
            <w:tcW w:w="2220" w:type="dxa"/>
            <w:vAlign w:val="bottom"/>
            <w:shd w:val="clear" w:color="auto" w:fill="D6D1D8"/>
          </w:tcPr>
          <w:p>
            <w:pPr>
              <w:ind w:left="80"/>
              <w:spacing w:after="0"/>
              <w:rPr>
                <w:sz w:val="20"/>
                <w:szCs w:val="20"/>
                <w:color w:val="auto"/>
              </w:rPr>
            </w:pPr>
            <w:r>
              <w:rPr>
                <w:rFonts w:ascii="Arial" w:cs="Arial" w:eastAsia="Arial" w:hAnsi="Arial"/>
                <w:sz w:val="13"/>
                <w:szCs w:val="13"/>
                <w:color w:val="auto"/>
              </w:rPr>
              <w:t>Executive Leadership</w:t>
            </w:r>
          </w:p>
        </w:tc>
        <w:tc>
          <w:tcPr>
            <w:tcW w:w="8700" w:type="dxa"/>
            <w:vAlign w:val="bottom"/>
            <w:shd w:val="clear" w:color="auto" w:fill="D6D1D8"/>
          </w:tcPr>
          <w:p>
            <w:pPr>
              <w:ind w:left="120"/>
              <w:spacing w:after="0"/>
              <w:rPr>
                <w:sz w:val="20"/>
                <w:szCs w:val="20"/>
                <w:color w:val="auto"/>
              </w:rPr>
            </w:pPr>
            <w:r>
              <w:rPr>
                <w:rFonts w:ascii="Arial" w:cs="Arial" w:eastAsia="Arial" w:hAnsi="Arial"/>
                <w:sz w:val="13"/>
                <w:szCs w:val="13"/>
                <w:color w:val="auto"/>
              </w:rPr>
              <w:t>Ms. Atkins served as the Chair and Chief Executive Officer of NCI, Inc; Chair and Chief Executive Officer of Clear Standards.</w:t>
            </w:r>
          </w:p>
        </w:tc>
      </w:tr>
      <w:tr>
        <w:trPr>
          <w:trHeight w:val="201"/>
        </w:trPr>
        <w:tc>
          <w:tcPr>
            <w:tcW w:w="2220" w:type="dxa"/>
            <w:vAlign w:val="bottom"/>
          </w:tcPr>
          <w:p>
            <w:pPr>
              <w:ind w:left="80"/>
              <w:spacing w:after="0"/>
              <w:rPr>
                <w:sz w:val="20"/>
                <w:szCs w:val="20"/>
                <w:color w:val="auto"/>
              </w:rPr>
            </w:pPr>
            <w:r>
              <w:rPr>
                <w:rFonts w:ascii="Arial" w:cs="Arial" w:eastAsia="Arial" w:hAnsi="Arial"/>
                <w:sz w:val="13"/>
                <w:szCs w:val="13"/>
                <w:color w:val="auto"/>
              </w:rPr>
              <w:t>Outside Public Boards</w:t>
            </w:r>
          </w:p>
        </w:tc>
        <w:tc>
          <w:tcPr>
            <w:tcW w:w="8700" w:type="dxa"/>
            <w:vAlign w:val="bottom"/>
          </w:tcPr>
          <w:p>
            <w:pPr>
              <w:ind w:left="120"/>
              <w:spacing w:after="0"/>
              <w:rPr>
                <w:sz w:val="20"/>
                <w:szCs w:val="20"/>
                <w:color w:val="auto"/>
              </w:rPr>
            </w:pPr>
            <w:r>
              <w:rPr>
                <w:rFonts w:ascii="Arial" w:cs="Arial" w:eastAsia="Arial" w:hAnsi="Arial"/>
                <w:sz w:val="13"/>
                <w:szCs w:val="13"/>
                <w:color w:val="auto"/>
              </w:rPr>
              <w:t>Ms. Atkins currently serves as a director of Solaredge Technologies, Inc., Enovix Corporation, and Rackspace Technology, and previously as a</w:t>
            </w:r>
          </w:p>
        </w:tc>
      </w:tr>
      <w:tr>
        <w:trPr>
          <w:trHeight w:val="147"/>
        </w:trPr>
        <w:tc>
          <w:tcPr>
            <w:tcW w:w="2220" w:type="dxa"/>
            <w:vAlign w:val="bottom"/>
          </w:tcPr>
          <w:p>
            <w:pPr>
              <w:spacing w:after="0"/>
              <w:rPr>
                <w:sz w:val="12"/>
                <w:szCs w:val="12"/>
                <w:color w:val="auto"/>
              </w:rPr>
            </w:pPr>
          </w:p>
        </w:tc>
        <w:tc>
          <w:tcPr>
            <w:tcW w:w="8700" w:type="dxa"/>
            <w:vAlign w:val="bottom"/>
          </w:tcPr>
          <w:p>
            <w:pPr>
              <w:ind w:left="120"/>
              <w:spacing w:after="0" w:line="148" w:lineRule="exact"/>
              <w:rPr>
                <w:sz w:val="20"/>
                <w:szCs w:val="20"/>
                <w:color w:val="auto"/>
              </w:rPr>
            </w:pPr>
            <w:r>
              <w:rPr>
                <w:rFonts w:ascii="Arial" w:cs="Arial" w:eastAsia="Arial" w:hAnsi="Arial"/>
                <w:sz w:val="13"/>
                <w:szCs w:val="13"/>
                <w:color w:val="auto"/>
              </w:rPr>
              <w:t>director of Chico’s FAS, Ciber, Cognizant Technology Solutions, Darden Restaurants. HD Supply Holdings, Polycom, Schneider Electric, SL</w:t>
            </w:r>
          </w:p>
        </w:tc>
      </w:tr>
      <w:tr>
        <w:trPr>
          <w:trHeight w:val="181"/>
        </w:trPr>
        <w:tc>
          <w:tcPr>
            <w:tcW w:w="2220" w:type="dxa"/>
            <w:vAlign w:val="bottom"/>
          </w:tcPr>
          <w:p>
            <w:pPr>
              <w:spacing w:after="0"/>
              <w:rPr>
                <w:sz w:val="15"/>
                <w:szCs w:val="15"/>
                <w:color w:val="auto"/>
              </w:rPr>
            </w:pPr>
          </w:p>
        </w:tc>
        <w:tc>
          <w:tcPr>
            <w:tcW w:w="8700" w:type="dxa"/>
            <w:vAlign w:val="bottom"/>
          </w:tcPr>
          <w:p>
            <w:pPr>
              <w:ind w:left="120"/>
              <w:spacing w:after="0"/>
              <w:rPr>
                <w:sz w:val="20"/>
                <w:szCs w:val="20"/>
                <w:color w:val="auto"/>
              </w:rPr>
            </w:pPr>
            <w:r>
              <w:rPr>
                <w:rFonts w:ascii="Arial" w:cs="Arial" w:eastAsia="Arial" w:hAnsi="Arial"/>
                <w:sz w:val="13"/>
                <w:szCs w:val="13"/>
                <w:color w:val="auto"/>
              </w:rPr>
              <w:t>Green Realty, Corp., SunPower Corporation, Volvo Car Group, and NASDAQ.</w:t>
            </w:r>
          </w:p>
        </w:tc>
      </w:tr>
      <w:tr>
        <w:trPr>
          <w:trHeight w:val="207"/>
        </w:trPr>
        <w:tc>
          <w:tcPr>
            <w:tcW w:w="2220" w:type="dxa"/>
            <w:vAlign w:val="bottom"/>
            <w:shd w:val="clear" w:color="auto" w:fill="D6D1D8"/>
          </w:tcPr>
          <w:p>
            <w:pPr>
              <w:ind w:left="80"/>
              <w:spacing w:after="0"/>
              <w:rPr>
                <w:sz w:val="20"/>
                <w:szCs w:val="20"/>
                <w:color w:val="auto"/>
              </w:rPr>
            </w:pPr>
            <w:r>
              <w:rPr>
                <w:rFonts w:ascii="Arial" w:cs="Arial" w:eastAsia="Arial" w:hAnsi="Arial"/>
                <w:sz w:val="13"/>
                <w:szCs w:val="13"/>
                <w:color w:val="auto"/>
              </w:rPr>
              <w:t>Cybersecurity &amp; Data Privacy</w:t>
            </w:r>
          </w:p>
        </w:tc>
        <w:tc>
          <w:tcPr>
            <w:tcW w:w="8700" w:type="dxa"/>
            <w:vAlign w:val="bottom"/>
            <w:shd w:val="clear" w:color="auto" w:fill="D6D1D8"/>
          </w:tcPr>
          <w:p>
            <w:pPr>
              <w:ind w:left="120"/>
              <w:spacing w:after="0"/>
              <w:rPr>
                <w:sz w:val="20"/>
                <w:szCs w:val="20"/>
                <w:color w:val="auto"/>
              </w:rPr>
            </w:pPr>
            <w:r>
              <w:rPr>
                <w:rFonts w:ascii="Arial" w:cs="Arial" w:eastAsia="Arial" w:hAnsi="Arial"/>
                <w:sz w:val="13"/>
                <w:szCs w:val="13"/>
                <w:color w:val="auto"/>
              </w:rPr>
              <w:t>Ms. Atkins is the Chief Executive Officers and Founder of Baja Corp., an independent venture capital firm with recent investments in cyber</w:t>
            </w:r>
          </w:p>
        </w:tc>
      </w:tr>
      <w:tr>
        <w:trPr>
          <w:trHeight w:val="187"/>
        </w:trPr>
        <w:tc>
          <w:tcPr>
            <w:tcW w:w="2220" w:type="dxa"/>
            <w:vAlign w:val="bottom"/>
            <w:shd w:val="clear" w:color="auto" w:fill="D6D1D8"/>
          </w:tcPr>
          <w:p>
            <w:pPr>
              <w:spacing w:after="0"/>
              <w:rPr>
                <w:sz w:val="16"/>
                <w:szCs w:val="16"/>
                <w:color w:val="auto"/>
              </w:rPr>
            </w:pPr>
          </w:p>
        </w:tc>
        <w:tc>
          <w:tcPr>
            <w:tcW w:w="8700" w:type="dxa"/>
            <w:vAlign w:val="bottom"/>
            <w:shd w:val="clear" w:color="auto" w:fill="D6D1D8"/>
          </w:tcPr>
          <w:p>
            <w:pPr>
              <w:ind w:left="120"/>
              <w:spacing w:after="0"/>
              <w:rPr>
                <w:sz w:val="20"/>
                <w:szCs w:val="20"/>
                <w:color w:val="auto"/>
              </w:rPr>
            </w:pPr>
            <w:r>
              <w:rPr>
                <w:rFonts w:ascii="Arial" w:cs="Arial" w:eastAsia="Arial" w:hAnsi="Arial"/>
                <w:sz w:val="13"/>
                <w:szCs w:val="13"/>
                <w:color w:val="auto"/>
              </w:rPr>
              <w:t>security software and technology. Ms. Atkins has earned a CERT Certificate in Cyber-Risk Oversight.</w:t>
            </w:r>
          </w:p>
        </w:tc>
      </w:tr>
      <w:tr>
        <w:trPr>
          <w:trHeight w:val="201"/>
        </w:trPr>
        <w:tc>
          <w:tcPr>
            <w:tcW w:w="2220" w:type="dxa"/>
            <w:vAlign w:val="bottom"/>
          </w:tcPr>
          <w:p>
            <w:pPr>
              <w:ind w:left="80"/>
              <w:spacing w:after="0"/>
              <w:rPr>
                <w:sz w:val="20"/>
                <w:szCs w:val="20"/>
                <w:color w:val="auto"/>
              </w:rPr>
            </w:pPr>
            <w:r>
              <w:rPr>
                <w:rFonts w:ascii="Arial" w:cs="Arial" w:eastAsia="Arial" w:hAnsi="Arial"/>
                <w:sz w:val="13"/>
                <w:szCs w:val="13"/>
                <w:color w:val="auto"/>
              </w:rPr>
              <w:t>Real Estate &amp; Project</w:t>
            </w:r>
          </w:p>
        </w:tc>
        <w:tc>
          <w:tcPr>
            <w:tcW w:w="8700" w:type="dxa"/>
            <w:vAlign w:val="bottom"/>
          </w:tcPr>
          <w:p>
            <w:pPr>
              <w:ind w:left="120"/>
              <w:spacing w:after="0"/>
              <w:rPr>
                <w:sz w:val="20"/>
                <w:szCs w:val="20"/>
                <w:color w:val="auto"/>
              </w:rPr>
            </w:pPr>
            <w:r>
              <w:rPr>
                <w:rFonts w:ascii="Arial" w:cs="Arial" w:eastAsia="Arial" w:hAnsi="Arial"/>
                <w:sz w:val="13"/>
                <w:szCs w:val="13"/>
                <w:color w:val="auto"/>
              </w:rPr>
              <w:t>Ms. Atkins served as a director of SL Green Realty Corp., a fully integrated New York-focused public real estate investment trust from 2015 to</w:t>
            </w:r>
          </w:p>
        </w:tc>
      </w:tr>
      <w:tr>
        <w:trPr>
          <w:trHeight w:val="181"/>
        </w:trPr>
        <w:tc>
          <w:tcPr>
            <w:tcW w:w="2220" w:type="dxa"/>
            <w:vAlign w:val="bottom"/>
          </w:tcPr>
          <w:p>
            <w:pPr>
              <w:ind w:left="80"/>
              <w:spacing w:after="0"/>
              <w:rPr>
                <w:sz w:val="20"/>
                <w:szCs w:val="20"/>
                <w:color w:val="auto"/>
              </w:rPr>
            </w:pPr>
            <w:r>
              <w:rPr>
                <w:rFonts w:ascii="Arial" w:cs="Arial" w:eastAsia="Arial" w:hAnsi="Arial"/>
                <w:sz w:val="13"/>
                <w:szCs w:val="13"/>
                <w:color w:val="auto"/>
              </w:rPr>
              <w:t>Construction</w:t>
            </w:r>
          </w:p>
        </w:tc>
        <w:tc>
          <w:tcPr>
            <w:tcW w:w="8700" w:type="dxa"/>
            <w:vAlign w:val="bottom"/>
          </w:tcPr>
          <w:p>
            <w:pPr>
              <w:ind w:left="120"/>
              <w:spacing w:after="0"/>
              <w:rPr>
                <w:sz w:val="20"/>
                <w:szCs w:val="20"/>
                <w:color w:val="auto"/>
              </w:rPr>
            </w:pPr>
            <w:r>
              <w:rPr>
                <w:rFonts w:ascii="Arial" w:cs="Arial" w:eastAsia="Arial" w:hAnsi="Arial"/>
                <w:sz w:val="13"/>
                <w:szCs w:val="13"/>
                <w:color w:val="auto"/>
              </w:rPr>
              <w:t>2024.</w:t>
            </w:r>
          </w:p>
        </w:tc>
      </w:tr>
      <w:tr>
        <w:trPr>
          <w:trHeight w:val="207"/>
        </w:trPr>
        <w:tc>
          <w:tcPr>
            <w:tcW w:w="2220" w:type="dxa"/>
            <w:vAlign w:val="bottom"/>
            <w:shd w:val="clear" w:color="auto" w:fill="D6D1D8"/>
          </w:tcPr>
          <w:p>
            <w:pPr>
              <w:ind w:left="80"/>
              <w:spacing w:after="0"/>
              <w:rPr>
                <w:sz w:val="20"/>
                <w:szCs w:val="20"/>
                <w:color w:val="auto"/>
              </w:rPr>
            </w:pPr>
            <w:r>
              <w:rPr>
                <w:rFonts w:ascii="Arial" w:cs="Arial" w:eastAsia="Arial" w:hAnsi="Arial"/>
                <w:sz w:val="13"/>
                <w:szCs w:val="13"/>
                <w:color w:val="auto"/>
              </w:rPr>
              <w:t>Environmental &amp; Sustainability</w:t>
            </w:r>
          </w:p>
        </w:tc>
        <w:tc>
          <w:tcPr>
            <w:tcW w:w="8700" w:type="dxa"/>
            <w:vAlign w:val="bottom"/>
            <w:shd w:val="clear" w:color="auto" w:fill="D6D1D8"/>
          </w:tcPr>
          <w:p>
            <w:pPr>
              <w:ind w:left="120"/>
              <w:spacing w:after="0"/>
              <w:rPr>
                <w:sz w:val="20"/>
                <w:szCs w:val="20"/>
                <w:color w:val="auto"/>
              </w:rPr>
            </w:pPr>
            <w:r>
              <w:rPr>
                <w:rFonts w:ascii="Arial" w:cs="Arial" w:eastAsia="Arial" w:hAnsi="Arial"/>
                <w:sz w:val="13"/>
                <w:szCs w:val="13"/>
                <w:color w:val="auto"/>
              </w:rPr>
              <w:t>Ms. Atkins served as the Chair and Chief Executive Officer of Clear Standards (acquired by SAP, AG), which provided Enterprise Carbon</w:t>
            </w:r>
          </w:p>
        </w:tc>
      </w:tr>
      <w:tr>
        <w:trPr>
          <w:trHeight w:val="147"/>
        </w:trPr>
        <w:tc>
          <w:tcPr>
            <w:tcW w:w="2220" w:type="dxa"/>
            <w:vAlign w:val="bottom"/>
            <w:shd w:val="clear" w:color="auto" w:fill="D6D1D8"/>
          </w:tcPr>
          <w:p>
            <w:pPr>
              <w:spacing w:after="0"/>
              <w:rPr>
                <w:sz w:val="12"/>
                <w:szCs w:val="12"/>
                <w:color w:val="auto"/>
              </w:rPr>
            </w:pPr>
          </w:p>
        </w:tc>
        <w:tc>
          <w:tcPr>
            <w:tcW w:w="8700" w:type="dxa"/>
            <w:vAlign w:val="bottom"/>
            <w:shd w:val="clear" w:color="auto" w:fill="D6D1D8"/>
          </w:tcPr>
          <w:p>
            <w:pPr>
              <w:ind w:left="120"/>
              <w:spacing w:after="0" w:line="148" w:lineRule="exact"/>
              <w:rPr>
                <w:sz w:val="20"/>
                <w:szCs w:val="20"/>
                <w:color w:val="auto"/>
              </w:rPr>
            </w:pPr>
            <w:r>
              <w:rPr>
                <w:rFonts w:ascii="Arial" w:cs="Arial" w:eastAsia="Arial" w:hAnsi="Arial"/>
                <w:sz w:val="13"/>
                <w:szCs w:val="13"/>
                <w:color w:val="auto"/>
              </w:rPr>
              <w:t>Management Sustainability software to help organizations measure, mitigate, and monetize carbon and other resources; a director of SunPower</w:t>
            </w:r>
          </w:p>
        </w:tc>
      </w:tr>
      <w:tr>
        <w:trPr>
          <w:trHeight w:val="147"/>
        </w:trPr>
        <w:tc>
          <w:tcPr>
            <w:tcW w:w="2220" w:type="dxa"/>
            <w:vAlign w:val="bottom"/>
            <w:shd w:val="clear" w:color="auto" w:fill="D6D1D8"/>
          </w:tcPr>
          <w:p>
            <w:pPr>
              <w:spacing w:after="0"/>
              <w:rPr>
                <w:sz w:val="12"/>
                <w:szCs w:val="12"/>
                <w:color w:val="auto"/>
              </w:rPr>
            </w:pPr>
          </w:p>
        </w:tc>
        <w:tc>
          <w:tcPr>
            <w:tcW w:w="8700" w:type="dxa"/>
            <w:vAlign w:val="bottom"/>
            <w:shd w:val="clear" w:color="auto" w:fill="D6D1D8"/>
          </w:tcPr>
          <w:p>
            <w:pPr>
              <w:ind w:left="120"/>
              <w:spacing w:after="0" w:line="148" w:lineRule="exact"/>
              <w:rPr>
                <w:sz w:val="20"/>
                <w:szCs w:val="20"/>
                <w:color w:val="auto"/>
              </w:rPr>
            </w:pPr>
            <w:r>
              <w:rPr>
                <w:rFonts w:ascii="Arial" w:cs="Arial" w:eastAsia="Arial" w:hAnsi="Arial"/>
                <w:sz w:val="13"/>
                <w:szCs w:val="13"/>
                <w:color w:val="auto"/>
              </w:rPr>
              <w:t>Corporation a renewable energy company; a director of Darden Restaurants Inc., which was then focused on its ESG, community programs and</w:t>
            </w:r>
          </w:p>
        </w:tc>
      </w:tr>
      <w:tr>
        <w:trPr>
          <w:trHeight w:val="147"/>
        </w:trPr>
        <w:tc>
          <w:tcPr>
            <w:tcW w:w="2220" w:type="dxa"/>
            <w:vAlign w:val="bottom"/>
            <w:shd w:val="clear" w:color="auto" w:fill="D6D1D8"/>
          </w:tcPr>
          <w:p>
            <w:pPr>
              <w:spacing w:after="0"/>
              <w:rPr>
                <w:sz w:val="12"/>
                <w:szCs w:val="12"/>
                <w:color w:val="auto"/>
              </w:rPr>
            </w:pPr>
          </w:p>
        </w:tc>
        <w:tc>
          <w:tcPr>
            <w:tcW w:w="8700" w:type="dxa"/>
            <w:vAlign w:val="bottom"/>
            <w:shd w:val="clear" w:color="auto" w:fill="D6D1D8"/>
          </w:tcPr>
          <w:p>
            <w:pPr>
              <w:ind w:left="120"/>
              <w:spacing w:after="0" w:line="148" w:lineRule="exact"/>
              <w:rPr>
                <w:sz w:val="20"/>
                <w:szCs w:val="20"/>
                <w:color w:val="auto"/>
              </w:rPr>
            </w:pPr>
            <w:r>
              <w:rPr>
                <w:rFonts w:ascii="Arial" w:cs="Arial" w:eastAsia="Arial" w:hAnsi="Arial"/>
                <w:sz w:val="13"/>
                <w:szCs w:val="13"/>
                <w:color w:val="auto"/>
              </w:rPr>
              <w:t>ethnic inclusion programs; and a director of Volvo Car Group, focusing on global ESG programs for community engagement and carbon</w:t>
            </w:r>
          </w:p>
        </w:tc>
      </w:tr>
      <w:tr>
        <w:trPr>
          <w:trHeight w:val="187"/>
        </w:trPr>
        <w:tc>
          <w:tcPr>
            <w:tcW w:w="2220" w:type="dxa"/>
            <w:vAlign w:val="bottom"/>
            <w:shd w:val="clear" w:color="auto" w:fill="D6D1D8"/>
          </w:tcPr>
          <w:p>
            <w:pPr>
              <w:spacing w:after="0"/>
              <w:rPr>
                <w:sz w:val="16"/>
                <w:szCs w:val="16"/>
                <w:color w:val="auto"/>
              </w:rPr>
            </w:pPr>
          </w:p>
        </w:tc>
        <w:tc>
          <w:tcPr>
            <w:tcW w:w="8700" w:type="dxa"/>
            <w:vAlign w:val="bottom"/>
            <w:shd w:val="clear" w:color="auto" w:fill="D6D1D8"/>
          </w:tcPr>
          <w:p>
            <w:pPr>
              <w:ind w:left="120"/>
              <w:spacing w:after="0"/>
              <w:rPr>
                <w:sz w:val="20"/>
                <w:szCs w:val="20"/>
                <w:color w:val="auto"/>
              </w:rPr>
            </w:pPr>
            <w:r>
              <w:rPr>
                <w:rFonts w:ascii="Arial" w:cs="Arial" w:eastAsia="Arial" w:hAnsi="Arial"/>
                <w:sz w:val="13"/>
                <w:szCs w:val="13"/>
                <w:color w:val="auto"/>
              </w:rPr>
              <w:t>neutrality sustainability.</w:t>
            </w:r>
          </w:p>
        </w:tc>
      </w:tr>
      <w:tr>
        <w:trPr>
          <w:trHeight w:val="294"/>
        </w:trPr>
        <w:tc>
          <w:tcPr>
            <w:tcW w:w="2220" w:type="dxa"/>
            <w:vAlign w:val="bottom"/>
          </w:tcPr>
          <w:p>
            <w:pPr>
              <w:spacing w:after="0"/>
              <w:rPr>
                <w:sz w:val="20"/>
                <w:szCs w:val="20"/>
                <w:color w:val="auto"/>
              </w:rPr>
            </w:pPr>
            <w:r>
              <w:rPr>
                <w:rFonts w:ascii="Arial" w:cs="Arial" w:eastAsia="Arial" w:hAnsi="Arial"/>
                <w:sz w:val="12"/>
                <w:szCs w:val="12"/>
                <w:color w:val="351B3D"/>
              </w:rPr>
              <w:t>6</w:t>
            </w:r>
          </w:p>
        </w:tc>
        <w:tc>
          <w:tcPr>
            <w:tcW w:w="8700" w:type="dxa"/>
            <w:vAlign w:val="bottom"/>
          </w:tcPr>
          <w:p>
            <w:pPr>
              <w:spacing w:after="0"/>
              <w:rPr>
                <w:sz w:val="24"/>
                <w:szCs w:val="24"/>
                <w:color w:val="auto"/>
              </w:rPr>
            </w:pPr>
          </w:p>
        </w:tc>
      </w:tr>
    </w:tbl>
    <w:p>
      <w:pPr>
        <w:sectPr>
          <w:pgSz w:w="11900" w:h="16838" w:orient="portrait"/>
          <w:cols w:equalWidth="0" w:num="1">
            <w:col w:w="11080"/>
          </w:cols>
          <w:pgMar w:left="320" w:top="478" w:right="4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32"/>
          <w:szCs w:val="32"/>
          <w:color w:val="auto"/>
        </w:rPr>
        <w:t xml:space="preserve">Craig S. Billings </w:t>
      </w:r>
      <w:r>
        <w:rPr>
          <w:rFonts w:ascii="Times New Roman" w:cs="Times New Roman" w:eastAsia="Times New Roman" w:hAnsi="Times New Roman"/>
          <w:sz w:val="14"/>
          <w:szCs w:val="14"/>
          <w:i w:val="1"/>
          <w:iCs w:val="1"/>
          <w:color w:val="351B3D"/>
        </w:rPr>
        <w:t>Chief Executive Officer, Wynn Resorts, Limited</w:t>
      </w:r>
    </w:p>
    <w:p>
      <w:pPr>
        <w:spacing w:after="0" w:line="199" w:lineRule="exact"/>
        <w:rPr>
          <w:sz w:val="20"/>
          <w:szCs w:val="20"/>
          <w:color w:val="auto"/>
        </w:rPr>
      </w:pPr>
    </w:p>
    <w:p>
      <w:pPr>
        <w:ind w:left="160" w:right="120"/>
        <w:spacing w:after="0" w:line="253" w:lineRule="auto"/>
        <w:rPr>
          <w:sz w:val="20"/>
          <w:szCs w:val="20"/>
          <w:color w:val="auto"/>
        </w:rPr>
      </w:pPr>
      <w:r>
        <w:rPr>
          <w:rFonts w:ascii="Arial" w:cs="Arial" w:eastAsia="Arial" w:hAnsi="Arial"/>
          <w:sz w:val="14"/>
          <w:szCs w:val="14"/>
          <w:color w:val="auto"/>
        </w:rPr>
        <w:t>Mr. Billings has served as the Company’s Chief Executive Officer since February 1, 2022, and as President from March 2019 until May 2020 when he became Chief Executive Officer of Wynn Interactive. Mr. Billings joined the Company in March 2017 and served as Chief Financial Officer until he was selected as Chief Executive Officer. Mr. Billings is also the Chief Executive Officer and an Executive Director of Wynn Macau, Limited, a majority owned subsidiary of the Company. Mr. Billings serves as a director of AppLovin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135255</wp:posOffset>
            </wp:positionV>
            <wp:extent cx="1986915" cy="15030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86915" cy="15030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160" w:type="dxa"/>
        <w:tblCellMar>
          <w:top w:w="0" w:type="dxa"/>
          <w:left w:w="0" w:type="dxa"/>
          <w:bottom w:w="0" w:type="dxa"/>
          <w:right w:w="0" w:type="dxa"/>
        </w:tblCellMar>
      </w:tblPr>
      <w:tr>
        <w:trPr>
          <w:trHeight w:val="540"/>
        </w:trPr>
        <w:tc>
          <w:tcPr>
            <w:tcW w:w="160" w:type="dxa"/>
            <w:vAlign w:val="bottom"/>
            <w:tcBorders>
              <w:bottom w:val="single" w:sz="8" w:color="F9F9EA"/>
            </w:tcBorders>
            <w:shd w:val="clear" w:color="auto" w:fill="F9F9EA"/>
          </w:tcPr>
          <w:p>
            <w:pPr>
              <w:spacing w:after="0"/>
              <w:rPr>
                <w:sz w:val="20"/>
                <w:szCs w:val="20"/>
                <w:color w:val="auto"/>
              </w:rPr>
            </w:pPr>
            <w:r>
              <w:rPr>
                <w:rFonts w:ascii="Arial" w:cs="Arial" w:eastAsia="Arial" w:hAnsi="Arial"/>
                <w:sz w:val="16"/>
                <w:szCs w:val="16"/>
                <w:color w:val="auto"/>
              </w:rPr>
              <w:t xml:space="preserve">   </w:t>
            </w:r>
          </w:p>
        </w:tc>
        <w:tc>
          <w:tcPr>
            <w:tcW w:w="1040" w:type="dxa"/>
            <w:vAlign w:val="bottom"/>
            <w:tcBorders>
              <w:bottom w:val="single" w:sz="8" w:color="F9F9EA"/>
            </w:tcBorders>
            <w:shd w:val="clear" w:color="auto" w:fill="F9F9EA"/>
          </w:tcPr>
          <w:p>
            <w:pPr>
              <w:ind w:left="80"/>
              <w:spacing w:after="0"/>
              <w:rPr>
                <w:sz w:val="20"/>
                <w:szCs w:val="20"/>
                <w:color w:val="auto"/>
              </w:rPr>
            </w:pPr>
            <w:r>
              <w:rPr>
                <w:rFonts w:ascii="Arial" w:cs="Arial" w:eastAsia="Arial" w:hAnsi="Arial"/>
                <w:sz w:val="12"/>
                <w:szCs w:val="12"/>
                <w:color w:val="351B3D"/>
              </w:rPr>
              <w:t>Director Since</w:t>
            </w:r>
          </w:p>
        </w:tc>
        <w:tc>
          <w:tcPr>
            <w:tcW w:w="1800" w:type="dxa"/>
            <w:vAlign w:val="bottom"/>
            <w:tcBorders>
              <w:bottom w:val="single" w:sz="8" w:color="F9F9EA"/>
            </w:tcBorders>
            <w:shd w:val="clear" w:color="auto" w:fill="F9F9EA"/>
          </w:tcPr>
          <w:p>
            <w:pPr>
              <w:ind w:left="180"/>
              <w:spacing w:after="0"/>
              <w:rPr>
                <w:sz w:val="20"/>
                <w:szCs w:val="20"/>
                <w:color w:val="auto"/>
              </w:rPr>
            </w:pPr>
            <w:r>
              <w:rPr>
                <w:rFonts w:ascii="Arial" w:cs="Arial" w:eastAsia="Arial" w:hAnsi="Arial"/>
                <w:sz w:val="12"/>
                <w:szCs w:val="12"/>
                <w:color w:val="351B3D"/>
              </w:rPr>
              <w:t>February 2022</w:t>
            </w:r>
          </w:p>
        </w:tc>
        <w:tc>
          <w:tcPr>
            <w:tcW w:w="160" w:type="dxa"/>
            <w:vAlign w:val="bottom"/>
            <w:tcBorders>
              <w:bottom w:val="single" w:sz="8" w:color="F9F9EA"/>
            </w:tcBorders>
            <w:shd w:val="clear" w:color="auto" w:fill="F9F9EA"/>
          </w:tcPr>
          <w:p>
            <w:pPr>
              <w:ind w:left="100"/>
              <w:spacing w:after="0"/>
              <w:rPr>
                <w:sz w:val="20"/>
                <w:szCs w:val="20"/>
                <w:color w:val="auto"/>
              </w:rPr>
            </w:pPr>
            <w:r>
              <w:rPr>
                <w:rFonts w:ascii="Arial" w:cs="Arial" w:eastAsia="Arial" w:hAnsi="Arial"/>
                <w:sz w:val="16"/>
                <w:szCs w:val="16"/>
                <w:color w:val="auto"/>
                <w:w w:val="98"/>
              </w:rPr>
              <w:t> </w:t>
            </w:r>
          </w:p>
        </w:tc>
      </w:tr>
      <w:tr>
        <w:trPr>
          <w:trHeight w:val="368"/>
        </w:trPr>
        <w:tc>
          <w:tcPr>
            <w:tcW w:w="160" w:type="dxa"/>
            <w:vAlign w:val="bottom"/>
            <w:tcBorders>
              <w:top w:val="single" w:sz="8" w:color="F9F9EA"/>
            </w:tcBorders>
            <w:shd w:val="clear" w:color="auto" w:fill="F9F9EA"/>
          </w:tcPr>
          <w:p>
            <w:pPr>
              <w:spacing w:after="0"/>
              <w:rPr>
                <w:sz w:val="24"/>
                <w:szCs w:val="24"/>
                <w:color w:val="auto"/>
              </w:rPr>
            </w:pPr>
          </w:p>
        </w:tc>
        <w:tc>
          <w:tcPr>
            <w:tcW w:w="1040" w:type="dxa"/>
            <w:vAlign w:val="bottom"/>
            <w:tcBorders>
              <w:top w:val="single" w:sz="8" w:color="auto"/>
            </w:tcBorders>
            <w:shd w:val="clear" w:color="auto" w:fill="F9F9EA"/>
          </w:tcPr>
          <w:p>
            <w:pPr>
              <w:ind w:left="80"/>
              <w:spacing w:after="0"/>
              <w:rPr>
                <w:sz w:val="20"/>
                <w:szCs w:val="20"/>
                <w:color w:val="auto"/>
              </w:rPr>
            </w:pPr>
            <w:r>
              <w:rPr>
                <w:rFonts w:ascii="Arial" w:cs="Arial" w:eastAsia="Arial" w:hAnsi="Arial"/>
                <w:sz w:val="12"/>
                <w:szCs w:val="12"/>
                <w:color w:val="351B3D"/>
              </w:rPr>
              <w:t>Term Expires</w:t>
            </w:r>
          </w:p>
        </w:tc>
        <w:tc>
          <w:tcPr>
            <w:tcW w:w="1800" w:type="dxa"/>
            <w:vAlign w:val="bottom"/>
            <w:tcBorders>
              <w:top w:val="single" w:sz="8" w:color="auto"/>
            </w:tcBorders>
            <w:shd w:val="clear" w:color="auto" w:fill="F9F9EA"/>
          </w:tcPr>
          <w:p>
            <w:pPr>
              <w:ind w:left="180"/>
              <w:spacing w:after="0"/>
              <w:rPr>
                <w:sz w:val="20"/>
                <w:szCs w:val="20"/>
                <w:color w:val="auto"/>
              </w:rPr>
            </w:pPr>
            <w:r>
              <w:rPr>
                <w:rFonts w:ascii="Arial" w:cs="Arial" w:eastAsia="Arial" w:hAnsi="Arial"/>
                <w:sz w:val="12"/>
                <w:szCs w:val="12"/>
                <w:color w:val="351B3D"/>
              </w:rPr>
              <w:t>2025 Annual Meeting</w:t>
            </w:r>
          </w:p>
        </w:tc>
        <w:tc>
          <w:tcPr>
            <w:tcW w:w="160" w:type="dxa"/>
            <w:vAlign w:val="bottom"/>
            <w:tcBorders>
              <w:top w:val="single" w:sz="8" w:color="F9F9EA"/>
            </w:tcBorders>
            <w:shd w:val="clear" w:color="auto" w:fill="F9F9EA"/>
          </w:tcPr>
          <w:p>
            <w:pPr>
              <w:spacing w:after="0"/>
              <w:rPr>
                <w:sz w:val="24"/>
                <w:szCs w:val="24"/>
                <w:color w:val="auto"/>
              </w:rPr>
            </w:pPr>
          </w:p>
        </w:tc>
      </w:tr>
      <w:tr>
        <w:trPr>
          <w:trHeight w:val="161"/>
        </w:trPr>
        <w:tc>
          <w:tcPr>
            <w:tcW w:w="160" w:type="dxa"/>
            <w:vAlign w:val="bottom"/>
            <w:tcBorders>
              <w:bottom w:val="single" w:sz="8" w:color="F9F9EA"/>
            </w:tcBorders>
            <w:shd w:val="clear" w:color="auto" w:fill="F9F9EA"/>
          </w:tcPr>
          <w:p>
            <w:pPr>
              <w:spacing w:after="0"/>
              <w:rPr>
                <w:sz w:val="13"/>
                <w:szCs w:val="13"/>
                <w:color w:val="auto"/>
              </w:rPr>
            </w:pPr>
          </w:p>
        </w:tc>
        <w:tc>
          <w:tcPr>
            <w:tcW w:w="1040" w:type="dxa"/>
            <w:vAlign w:val="bottom"/>
            <w:tcBorders>
              <w:bottom w:val="single" w:sz="8" w:color="auto"/>
            </w:tcBorders>
            <w:shd w:val="clear" w:color="auto" w:fill="F9F9EA"/>
          </w:tcPr>
          <w:p>
            <w:pPr>
              <w:spacing w:after="0"/>
              <w:rPr>
                <w:sz w:val="13"/>
                <w:szCs w:val="13"/>
                <w:color w:val="auto"/>
              </w:rPr>
            </w:pPr>
          </w:p>
        </w:tc>
        <w:tc>
          <w:tcPr>
            <w:tcW w:w="1800" w:type="dxa"/>
            <w:vAlign w:val="bottom"/>
            <w:tcBorders>
              <w:bottom w:val="single" w:sz="8" w:color="auto"/>
            </w:tcBorders>
            <w:shd w:val="clear" w:color="auto" w:fill="F9F9EA"/>
          </w:tcPr>
          <w:p>
            <w:pPr>
              <w:spacing w:after="0"/>
              <w:rPr>
                <w:sz w:val="13"/>
                <w:szCs w:val="13"/>
                <w:color w:val="auto"/>
              </w:rPr>
            </w:pPr>
          </w:p>
        </w:tc>
        <w:tc>
          <w:tcPr>
            <w:tcW w:w="160" w:type="dxa"/>
            <w:vAlign w:val="bottom"/>
            <w:tcBorders>
              <w:bottom w:val="single" w:sz="8" w:color="F9F9EA"/>
            </w:tcBorders>
            <w:shd w:val="clear" w:color="auto" w:fill="F9F9EA"/>
          </w:tcPr>
          <w:p>
            <w:pPr>
              <w:spacing w:after="0"/>
              <w:rPr>
                <w:sz w:val="13"/>
                <w:szCs w:val="13"/>
                <w:color w:val="auto"/>
              </w:rPr>
            </w:pPr>
          </w:p>
        </w:tc>
      </w:tr>
      <w:tr>
        <w:trPr>
          <w:trHeight w:val="301"/>
        </w:trPr>
        <w:tc>
          <w:tcPr>
            <w:tcW w:w="160" w:type="dxa"/>
            <w:vAlign w:val="bottom"/>
            <w:shd w:val="clear" w:color="auto" w:fill="F9F9EA"/>
          </w:tcPr>
          <w:p>
            <w:pPr>
              <w:spacing w:after="0"/>
              <w:rPr>
                <w:sz w:val="24"/>
                <w:szCs w:val="24"/>
                <w:color w:val="auto"/>
              </w:rPr>
            </w:pPr>
          </w:p>
        </w:tc>
        <w:tc>
          <w:tcPr>
            <w:tcW w:w="1040" w:type="dxa"/>
            <w:vAlign w:val="bottom"/>
            <w:shd w:val="clear" w:color="auto" w:fill="F9F9EA"/>
          </w:tcPr>
          <w:p>
            <w:pPr>
              <w:ind w:left="80"/>
              <w:spacing w:after="0"/>
              <w:rPr>
                <w:sz w:val="20"/>
                <w:szCs w:val="20"/>
                <w:color w:val="auto"/>
              </w:rPr>
            </w:pPr>
            <w:r>
              <w:rPr>
                <w:rFonts w:ascii="Arial" w:cs="Arial" w:eastAsia="Arial" w:hAnsi="Arial"/>
                <w:sz w:val="12"/>
                <w:szCs w:val="12"/>
                <w:color w:val="351B3D"/>
              </w:rPr>
              <w:t>Age</w:t>
            </w:r>
          </w:p>
        </w:tc>
        <w:tc>
          <w:tcPr>
            <w:tcW w:w="1800" w:type="dxa"/>
            <w:vAlign w:val="bottom"/>
            <w:shd w:val="clear" w:color="auto" w:fill="F9F9EA"/>
          </w:tcPr>
          <w:p>
            <w:pPr>
              <w:ind w:left="180"/>
              <w:spacing w:after="0"/>
              <w:rPr>
                <w:sz w:val="20"/>
                <w:szCs w:val="20"/>
                <w:color w:val="auto"/>
              </w:rPr>
            </w:pPr>
            <w:r>
              <w:rPr>
                <w:rFonts w:ascii="Arial" w:cs="Arial" w:eastAsia="Arial" w:hAnsi="Arial"/>
                <w:sz w:val="12"/>
                <w:szCs w:val="12"/>
                <w:color w:val="351B3D"/>
              </w:rPr>
              <w:t>52</w:t>
            </w:r>
          </w:p>
        </w:tc>
        <w:tc>
          <w:tcPr>
            <w:tcW w:w="160" w:type="dxa"/>
            <w:vAlign w:val="bottom"/>
            <w:shd w:val="clear" w:color="auto" w:fill="F9F9EA"/>
          </w:tcPr>
          <w:p>
            <w:pPr>
              <w:spacing w:after="0"/>
              <w:rPr>
                <w:sz w:val="24"/>
                <w:szCs w:val="24"/>
                <w:color w:val="auto"/>
              </w:rPr>
            </w:pPr>
          </w:p>
        </w:tc>
      </w:tr>
      <w:tr>
        <w:trPr>
          <w:trHeight w:val="161"/>
        </w:trPr>
        <w:tc>
          <w:tcPr>
            <w:tcW w:w="160" w:type="dxa"/>
            <w:vAlign w:val="bottom"/>
            <w:shd w:val="clear" w:color="auto" w:fill="F9F9EA"/>
          </w:tcPr>
          <w:p>
            <w:pPr>
              <w:spacing w:after="0"/>
              <w:rPr>
                <w:sz w:val="13"/>
                <w:szCs w:val="13"/>
                <w:color w:val="auto"/>
              </w:rPr>
            </w:pPr>
          </w:p>
        </w:tc>
        <w:tc>
          <w:tcPr>
            <w:tcW w:w="1040" w:type="dxa"/>
            <w:vAlign w:val="bottom"/>
            <w:shd w:val="clear" w:color="auto" w:fill="F9F9EA"/>
          </w:tcPr>
          <w:p>
            <w:pPr>
              <w:spacing w:after="0"/>
              <w:rPr>
                <w:sz w:val="13"/>
                <w:szCs w:val="13"/>
                <w:color w:val="auto"/>
              </w:rPr>
            </w:pPr>
          </w:p>
        </w:tc>
        <w:tc>
          <w:tcPr>
            <w:tcW w:w="1800" w:type="dxa"/>
            <w:vAlign w:val="bottom"/>
            <w:shd w:val="clear" w:color="auto" w:fill="F9F9EA"/>
          </w:tcPr>
          <w:p>
            <w:pPr>
              <w:spacing w:after="0"/>
              <w:rPr>
                <w:sz w:val="13"/>
                <w:szCs w:val="13"/>
                <w:color w:val="auto"/>
              </w:rPr>
            </w:pPr>
          </w:p>
        </w:tc>
        <w:tc>
          <w:tcPr>
            <w:tcW w:w="160" w:type="dxa"/>
            <w:vAlign w:val="bottom"/>
            <w:shd w:val="clear" w:color="auto" w:fill="F9F9EA"/>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140F21"/>
        </w:rPr>
        <w:t>PREVIOUS EXPERIENCE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–   2015 to 2018: Director and Non-Executive Chair, NYX Gaming Group</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–   2015 to 2017: Gaming industry independent advisor and investor</w:t>
      </w:r>
    </w:p>
    <w:p>
      <w:pPr>
        <w:spacing w:after="0" w:line="80" w:lineRule="exact"/>
        <w:rPr>
          <w:sz w:val="20"/>
          <w:szCs w:val="20"/>
          <w:color w:val="auto"/>
        </w:rPr>
      </w:pPr>
    </w:p>
    <w:p>
      <w:pPr>
        <w:ind w:left="160" w:right="100" w:hanging="177"/>
        <w:spacing w:after="0" w:line="281" w:lineRule="auto"/>
        <w:rPr>
          <w:sz w:val="20"/>
          <w:szCs w:val="20"/>
          <w:color w:val="auto"/>
        </w:rPr>
      </w:pPr>
      <w:r>
        <w:rPr>
          <w:rFonts w:ascii="Arial" w:cs="Arial" w:eastAsia="Arial" w:hAnsi="Arial"/>
          <w:sz w:val="14"/>
          <w:szCs w:val="14"/>
          <w:color w:val="auto"/>
        </w:rPr>
        <w:t>–   2012 to 2015: Chief Digital Officer, Strategy &amp; Business Development Managing Director, various roles, Aristocrat Leisure Ltd.</w:t>
      </w:r>
    </w:p>
    <w:p>
      <w:pPr>
        <w:spacing w:after="0" w:line="24" w:lineRule="exact"/>
        <w:rPr>
          <w:sz w:val="20"/>
          <w:szCs w:val="20"/>
          <w:color w:val="auto"/>
        </w:rPr>
      </w:pPr>
    </w:p>
    <w:p>
      <w:pPr>
        <w:ind w:left="160" w:right="240" w:hanging="177"/>
        <w:spacing w:after="0" w:line="281" w:lineRule="auto"/>
        <w:rPr>
          <w:sz w:val="20"/>
          <w:szCs w:val="20"/>
          <w:color w:val="auto"/>
        </w:rPr>
      </w:pPr>
      <w:r>
        <w:rPr>
          <w:rFonts w:ascii="Arial" w:cs="Arial" w:eastAsia="Arial" w:hAnsi="Arial"/>
          <w:sz w:val="14"/>
          <w:szCs w:val="14"/>
          <w:color w:val="auto"/>
        </w:rPr>
        <w:t>–   Previously Vice President in the Investment Banking Division of Goldman Sachs in both New York and London, covering the gaming industry</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–   Previously audit and assurance manager at Deloitte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140F21"/>
        </w:rPr>
        <w:t>EDUCATION</w:t>
      </w:r>
    </w:p>
    <w:p>
      <w:pPr>
        <w:spacing w:after="0" w:line="22" w:lineRule="exact"/>
        <w:rPr>
          <w:sz w:val="20"/>
          <w:szCs w:val="20"/>
          <w:color w:val="auto"/>
        </w:rPr>
      </w:pPr>
    </w:p>
    <w:p>
      <w:pPr>
        <w:ind w:right="40"/>
        <w:spacing w:after="0" w:line="249" w:lineRule="auto"/>
        <w:rPr>
          <w:sz w:val="20"/>
          <w:szCs w:val="20"/>
          <w:color w:val="auto"/>
        </w:rPr>
      </w:pPr>
      <w:r>
        <w:rPr>
          <w:rFonts w:ascii="Arial" w:cs="Arial" w:eastAsia="Arial" w:hAnsi="Arial"/>
          <w:sz w:val="14"/>
          <w:szCs w:val="14"/>
          <w:color w:val="auto"/>
        </w:rPr>
        <w:t xml:space="preserve">Mr. Billings graduated with a B.S. </w:t>
      </w:r>
      <w:r>
        <w:rPr>
          <w:rFonts w:ascii="Arial" w:cs="Arial" w:eastAsia="Arial" w:hAnsi="Arial"/>
          <w:sz w:val="14"/>
          <w:szCs w:val="14"/>
          <w:i w:val="1"/>
          <w:iCs w:val="1"/>
          <w:color w:val="auto"/>
        </w:rPr>
        <w:t>cum laude</w:t>
      </w:r>
      <w:r>
        <w:rPr>
          <w:rFonts w:ascii="Arial" w:cs="Arial" w:eastAsia="Arial" w:hAnsi="Arial"/>
          <w:sz w:val="14"/>
          <w:szCs w:val="14"/>
          <w:color w:val="auto"/>
        </w:rPr>
        <w:t xml:space="preserve"> in Accounting from the University of Nevada, Las Vegas, and received a Masters of Business Administration from Columbia Business School. Mr. Billings is a Certified Public Accountant (inactive).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140F21"/>
        </w:rPr>
        <w:t>EXPERTISE</w:t>
      </w:r>
    </w:p>
    <w:p>
      <w:pPr>
        <w:spacing w:after="0" w:line="22" w:lineRule="exact"/>
        <w:rPr>
          <w:sz w:val="20"/>
          <w:szCs w:val="20"/>
          <w:color w:val="auto"/>
        </w:rPr>
      </w:pPr>
    </w:p>
    <w:p>
      <w:pPr>
        <w:ind w:right="520"/>
        <w:spacing w:after="0" w:line="260" w:lineRule="auto"/>
        <w:rPr>
          <w:sz w:val="20"/>
          <w:szCs w:val="20"/>
          <w:color w:val="auto"/>
        </w:rPr>
      </w:pPr>
      <w:r>
        <w:rPr>
          <w:rFonts w:ascii="Arial" w:cs="Arial" w:eastAsia="Arial" w:hAnsi="Arial"/>
          <w:sz w:val="14"/>
          <w:szCs w:val="14"/>
          <w:color w:val="auto"/>
        </w:rPr>
        <w:t>Mr. Billings has extensive leadership and innovation experience in the gaming industry, both domestically and internationally, as well as experience in the investment banking and financial services industries.</w:t>
      </w:r>
    </w:p>
    <w:p>
      <w:pPr>
        <w:spacing w:after="0" w:line="662" w:lineRule="exact"/>
        <w:rPr>
          <w:sz w:val="20"/>
          <w:szCs w:val="20"/>
          <w:color w:val="auto"/>
        </w:rPr>
      </w:pPr>
    </w:p>
    <w:p>
      <w:pPr>
        <w:sectPr>
          <w:pgSz w:w="11900" w:h="16838" w:orient="portrait"/>
          <w:cols w:equalWidth="0" w:num="2">
            <w:col w:w="3320" w:space="360"/>
            <w:col w:w="7400"/>
          </w:cols>
          <w:pgMar w:left="320" w:top="478" w:right="499" w:bottom="1440" w:gutter="0" w:footer="0" w:header="0"/>
          <w:type w:val="continuous"/>
        </w:sectPr>
      </w:pPr>
    </w:p>
    <w:p>
      <w:pPr>
        <w:ind w:left="160"/>
        <w:spacing w:after="0"/>
        <w:rPr>
          <w:sz w:val="20"/>
          <w:szCs w:val="20"/>
          <w:color w:val="auto"/>
        </w:rPr>
      </w:pPr>
      <w:r>
        <w:rPr>
          <w:rFonts w:ascii="Arial" w:cs="Arial" w:eastAsia="Arial" w:hAnsi="Arial"/>
          <w:sz w:val="16"/>
          <w:szCs w:val="16"/>
          <w:color w:val="140F21"/>
        </w:rPr>
        <w:t>SKILLS AND QUALIFICATIONS</w:t>
      </w:r>
    </w:p>
    <w:p>
      <w:pPr>
        <w:spacing w:after="0" w:line="138" w:lineRule="exact"/>
        <w:rPr>
          <w:sz w:val="20"/>
          <w:szCs w:val="20"/>
          <w:color w:val="auto"/>
        </w:rPr>
      </w:pPr>
    </w:p>
    <w:tbl>
      <w:tblPr>
        <w:tblLayout w:type="fixed"/>
        <w:tblInd w:w="160" w:type="dxa"/>
        <w:tblCellMar>
          <w:top w:w="0" w:type="dxa"/>
          <w:left w:w="0" w:type="dxa"/>
          <w:bottom w:w="0" w:type="dxa"/>
          <w:right w:w="0" w:type="dxa"/>
        </w:tblCellMar>
      </w:tblPr>
      <w:tr>
        <w:trPr>
          <w:trHeight w:val="285"/>
        </w:trPr>
        <w:tc>
          <w:tcPr>
            <w:tcW w:w="2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Gaming or Other Regulated</w:t>
            </w: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Mr. Billings was a Vice President of Investment Banking for Goldman Sachs focusing on financing and mergers and acquisitions for the</w:t>
            </w:r>
          </w:p>
        </w:tc>
      </w:tr>
      <w:tr>
        <w:trPr>
          <w:trHeight w:val="160"/>
        </w:trPr>
        <w:tc>
          <w:tcPr>
            <w:tcW w:w="2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Industry</w:t>
            </w: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gaming industry; Chief Digital Officer and Managing Director, Strategy and Business Development of Aristocrat, a leading gaming</w:t>
            </w:r>
          </w:p>
        </w:tc>
      </w:tr>
      <w:tr>
        <w:trPr>
          <w:trHeight w:val="160"/>
        </w:trPr>
        <w:tc>
          <w:tcPr>
            <w:tcW w:w="2220" w:type="dxa"/>
            <w:vAlign w:val="bottom"/>
            <w:shd w:val="clear" w:color="auto" w:fill="D6D1D8"/>
          </w:tcPr>
          <w:p>
            <w:pPr>
              <w:spacing w:after="0"/>
              <w:rPr>
                <w:sz w:val="13"/>
                <w:szCs w:val="13"/>
                <w:color w:val="auto"/>
              </w:rPr>
            </w:pP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equipment manufacturer and online gaming provider. Mr. Billings also served as non-executive director and Chairman of NYX, a</w:t>
            </w:r>
          </w:p>
        </w:tc>
      </w:tr>
      <w:tr>
        <w:trPr>
          <w:trHeight w:val="189"/>
        </w:trPr>
        <w:tc>
          <w:tcPr>
            <w:tcW w:w="2220" w:type="dxa"/>
            <w:vAlign w:val="bottom"/>
            <w:shd w:val="clear" w:color="auto" w:fill="D6D1D8"/>
          </w:tcPr>
          <w:p>
            <w:pPr>
              <w:spacing w:after="0"/>
              <w:rPr>
                <w:sz w:val="16"/>
                <w:szCs w:val="16"/>
                <w:color w:val="auto"/>
              </w:rPr>
            </w:pP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regulated sports betting company.</w:t>
            </w:r>
          </w:p>
        </w:tc>
      </w:tr>
      <w:tr>
        <w:trPr>
          <w:trHeight w:val="88"/>
        </w:trPr>
        <w:tc>
          <w:tcPr>
            <w:tcW w:w="2220" w:type="dxa"/>
            <w:vAlign w:val="bottom"/>
            <w:shd w:val="clear" w:color="auto" w:fill="D6D1D8"/>
          </w:tcPr>
          <w:p>
            <w:pPr>
              <w:spacing w:after="0"/>
              <w:rPr>
                <w:sz w:val="7"/>
                <w:szCs w:val="7"/>
                <w:color w:val="auto"/>
              </w:rPr>
            </w:pPr>
          </w:p>
        </w:tc>
        <w:tc>
          <w:tcPr>
            <w:tcW w:w="8700" w:type="dxa"/>
            <w:vAlign w:val="bottom"/>
            <w:shd w:val="clear" w:color="auto" w:fill="D6D1D8"/>
          </w:tcPr>
          <w:p>
            <w:pPr>
              <w:spacing w:after="0"/>
              <w:rPr>
                <w:sz w:val="7"/>
                <w:szCs w:val="7"/>
                <w:color w:val="auto"/>
              </w:rPr>
            </w:pPr>
          </w:p>
        </w:tc>
      </w:tr>
      <w:tr>
        <w:trPr>
          <w:trHeight w:val="285"/>
        </w:trPr>
        <w:tc>
          <w:tcPr>
            <w:tcW w:w="2220" w:type="dxa"/>
            <w:vAlign w:val="bottom"/>
          </w:tcPr>
          <w:p>
            <w:pPr>
              <w:ind w:left="80"/>
              <w:spacing w:after="0"/>
              <w:rPr>
                <w:sz w:val="20"/>
                <w:szCs w:val="20"/>
                <w:color w:val="auto"/>
              </w:rPr>
            </w:pPr>
            <w:r>
              <w:rPr>
                <w:rFonts w:ascii="Arial" w:cs="Arial" w:eastAsia="Arial" w:hAnsi="Arial"/>
                <w:sz w:val="14"/>
                <w:szCs w:val="14"/>
                <w:color w:val="auto"/>
              </w:rPr>
              <w:t>Travel, Leisure, Hospitality &amp;</w:t>
            </w:r>
          </w:p>
        </w:tc>
        <w:tc>
          <w:tcPr>
            <w:tcW w:w="8700" w:type="dxa"/>
            <w:vAlign w:val="bottom"/>
          </w:tcPr>
          <w:p>
            <w:pPr>
              <w:ind w:left="120"/>
              <w:spacing w:after="0"/>
              <w:rPr>
                <w:sz w:val="20"/>
                <w:szCs w:val="20"/>
                <w:color w:val="auto"/>
              </w:rPr>
            </w:pPr>
            <w:r>
              <w:rPr>
                <w:rFonts w:ascii="Arial" w:cs="Arial" w:eastAsia="Arial" w:hAnsi="Arial"/>
                <w:sz w:val="14"/>
                <w:szCs w:val="14"/>
                <w:color w:val="auto"/>
              </w:rPr>
              <w:t>In his role as CEO, Mr. Billings leads Wynn Resort’s strategy to develop a broad array of luxury experiences in hotel, entertainment, and</w:t>
            </w:r>
          </w:p>
        </w:tc>
      </w:tr>
      <w:tr>
        <w:trPr>
          <w:trHeight w:val="189"/>
        </w:trPr>
        <w:tc>
          <w:tcPr>
            <w:tcW w:w="2220" w:type="dxa"/>
            <w:vAlign w:val="bottom"/>
          </w:tcPr>
          <w:p>
            <w:pPr>
              <w:ind w:left="80"/>
              <w:spacing w:after="0"/>
              <w:rPr>
                <w:sz w:val="20"/>
                <w:szCs w:val="20"/>
                <w:color w:val="auto"/>
              </w:rPr>
            </w:pPr>
            <w:r>
              <w:rPr>
                <w:rFonts w:ascii="Arial" w:cs="Arial" w:eastAsia="Arial" w:hAnsi="Arial"/>
                <w:sz w:val="14"/>
                <w:szCs w:val="14"/>
                <w:color w:val="auto"/>
              </w:rPr>
              <w:t>Entertainment</w:t>
            </w:r>
          </w:p>
        </w:tc>
        <w:tc>
          <w:tcPr>
            <w:tcW w:w="8700" w:type="dxa"/>
            <w:vAlign w:val="bottom"/>
          </w:tcPr>
          <w:p>
            <w:pPr>
              <w:ind w:left="120"/>
              <w:spacing w:after="0"/>
              <w:rPr>
                <w:sz w:val="20"/>
                <w:szCs w:val="20"/>
                <w:color w:val="auto"/>
              </w:rPr>
            </w:pPr>
            <w:r>
              <w:rPr>
                <w:rFonts w:ascii="Arial" w:cs="Arial" w:eastAsia="Arial" w:hAnsi="Arial"/>
                <w:sz w:val="14"/>
                <w:szCs w:val="14"/>
                <w:color w:val="auto"/>
              </w:rPr>
              <w:t>culinary arts.</w:t>
            </w:r>
          </w:p>
        </w:tc>
      </w:tr>
      <w:tr>
        <w:trPr>
          <w:trHeight w:val="88"/>
        </w:trPr>
        <w:tc>
          <w:tcPr>
            <w:tcW w:w="2220" w:type="dxa"/>
            <w:vAlign w:val="bottom"/>
          </w:tcPr>
          <w:p>
            <w:pPr>
              <w:spacing w:after="0"/>
              <w:rPr>
                <w:sz w:val="7"/>
                <w:szCs w:val="7"/>
                <w:color w:val="auto"/>
              </w:rPr>
            </w:pPr>
          </w:p>
        </w:tc>
        <w:tc>
          <w:tcPr>
            <w:tcW w:w="8700" w:type="dxa"/>
            <w:vAlign w:val="bottom"/>
          </w:tcPr>
          <w:p>
            <w:pPr>
              <w:spacing w:after="0"/>
              <w:rPr>
                <w:sz w:val="7"/>
                <w:szCs w:val="7"/>
                <w:color w:val="auto"/>
              </w:rPr>
            </w:pPr>
          </w:p>
        </w:tc>
      </w:tr>
      <w:tr>
        <w:trPr>
          <w:trHeight w:val="313"/>
        </w:trPr>
        <w:tc>
          <w:tcPr>
            <w:tcW w:w="2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Executive Leadership</w:t>
            </w: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Mr. Billings is the current Chief Executive Officer and former President and Chief Financial Officer of Wynn Resorts.</w:t>
            </w:r>
          </w:p>
        </w:tc>
      </w:tr>
      <w:tr>
        <w:trPr>
          <w:trHeight w:val="88"/>
        </w:trPr>
        <w:tc>
          <w:tcPr>
            <w:tcW w:w="2220" w:type="dxa"/>
            <w:vAlign w:val="bottom"/>
            <w:shd w:val="clear" w:color="auto" w:fill="D6D1D8"/>
          </w:tcPr>
          <w:p>
            <w:pPr>
              <w:spacing w:after="0"/>
              <w:rPr>
                <w:sz w:val="7"/>
                <w:szCs w:val="7"/>
                <w:color w:val="auto"/>
              </w:rPr>
            </w:pPr>
          </w:p>
        </w:tc>
        <w:tc>
          <w:tcPr>
            <w:tcW w:w="8700" w:type="dxa"/>
            <w:vAlign w:val="bottom"/>
            <w:shd w:val="clear" w:color="auto" w:fill="D6D1D8"/>
          </w:tcPr>
          <w:p>
            <w:pPr>
              <w:spacing w:after="0"/>
              <w:rPr>
                <w:sz w:val="7"/>
                <w:szCs w:val="7"/>
                <w:color w:val="auto"/>
              </w:rPr>
            </w:pPr>
          </w:p>
        </w:tc>
      </w:tr>
      <w:tr>
        <w:trPr>
          <w:trHeight w:val="285"/>
        </w:trPr>
        <w:tc>
          <w:tcPr>
            <w:tcW w:w="2220" w:type="dxa"/>
            <w:vAlign w:val="bottom"/>
          </w:tcPr>
          <w:p>
            <w:pPr>
              <w:ind w:left="80"/>
              <w:spacing w:after="0"/>
              <w:rPr>
                <w:sz w:val="20"/>
                <w:szCs w:val="20"/>
                <w:color w:val="auto"/>
              </w:rPr>
            </w:pPr>
            <w:r>
              <w:rPr>
                <w:rFonts w:ascii="Arial" w:cs="Arial" w:eastAsia="Arial" w:hAnsi="Arial"/>
                <w:sz w:val="14"/>
                <w:szCs w:val="14"/>
                <w:color w:val="auto"/>
              </w:rPr>
              <w:t>Outside Public Boards</w:t>
            </w:r>
          </w:p>
        </w:tc>
        <w:tc>
          <w:tcPr>
            <w:tcW w:w="8700" w:type="dxa"/>
            <w:vAlign w:val="bottom"/>
          </w:tcPr>
          <w:p>
            <w:pPr>
              <w:ind w:left="120"/>
              <w:spacing w:after="0"/>
              <w:rPr>
                <w:sz w:val="20"/>
                <w:szCs w:val="20"/>
                <w:color w:val="auto"/>
              </w:rPr>
            </w:pPr>
            <w:r>
              <w:rPr>
                <w:rFonts w:ascii="Arial" w:cs="Arial" w:eastAsia="Arial" w:hAnsi="Arial"/>
                <w:sz w:val="14"/>
                <w:szCs w:val="14"/>
                <w:color w:val="auto"/>
              </w:rPr>
              <w:t>Mr. Billings serves as a director and chair of the compensation committee of Applovin Corporation, an AI-driven advertising technology</w:t>
            </w:r>
          </w:p>
        </w:tc>
      </w:tr>
      <w:tr>
        <w:trPr>
          <w:trHeight w:val="189"/>
        </w:trPr>
        <w:tc>
          <w:tcPr>
            <w:tcW w:w="2220" w:type="dxa"/>
            <w:vAlign w:val="bottom"/>
          </w:tcPr>
          <w:p>
            <w:pPr>
              <w:spacing w:after="0"/>
              <w:rPr>
                <w:sz w:val="16"/>
                <w:szCs w:val="16"/>
                <w:color w:val="auto"/>
              </w:rPr>
            </w:pPr>
          </w:p>
        </w:tc>
        <w:tc>
          <w:tcPr>
            <w:tcW w:w="8700" w:type="dxa"/>
            <w:vAlign w:val="bottom"/>
          </w:tcPr>
          <w:p>
            <w:pPr>
              <w:ind w:left="120"/>
              <w:spacing w:after="0"/>
              <w:rPr>
                <w:sz w:val="20"/>
                <w:szCs w:val="20"/>
                <w:color w:val="auto"/>
              </w:rPr>
            </w:pPr>
            <w:r>
              <w:rPr>
                <w:rFonts w:ascii="Arial" w:cs="Arial" w:eastAsia="Arial" w:hAnsi="Arial"/>
                <w:sz w:val="14"/>
                <w:szCs w:val="14"/>
                <w:color w:val="auto"/>
              </w:rPr>
              <w:t>leader.</w:t>
            </w:r>
          </w:p>
        </w:tc>
      </w:tr>
      <w:tr>
        <w:trPr>
          <w:trHeight w:val="88"/>
        </w:trPr>
        <w:tc>
          <w:tcPr>
            <w:tcW w:w="2220" w:type="dxa"/>
            <w:vAlign w:val="bottom"/>
          </w:tcPr>
          <w:p>
            <w:pPr>
              <w:spacing w:after="0"/>
              <w:rPr>
                <w:sz w:val="7"/>
                <w:szCs w:val="7"/>
                <w:color w:val="auto"/>
              </w:rPr>
            </w:pPr>
          </w:p>
        </w:tc>
        <w:tc>
          <w:tcPr>
            <w:tcW w:w="8700" w:type="dxa"/>
            <w:vAlign w:val="bottom"/>
          </w:tcPr>
          <w:p>
            <w:pPr>
              <w:spacing w:after="0"/>
              <w:rPr>
                <w:sz w:val="7"/>
                <w:szCs w:val="7"/>
                <w:color w:val="auto"/>
              </w:rPr>
            </w:pPr>
          </w:p>
        </w:tc>
      </w:tr>
      <w:tr>
        <w:trPr>
          <w:trHeight w:val="285"/>
        </w:trPr>
        <w:tc>
          <w:tcPr>
            <w:tcW w:w="2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Finance &amp; Accounting</w:t>
            </w: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Mr. Billings is the former CFO of Wynn Resorts and has previously served as a Vice President of Investment Banking at Goldman Sachs</w:t>
            </w:r>
          </w:p>
        </w:tc>
      </w:tr>
      <w:tr>
        <w:trPr>
          <w:trHeight w:val="189"/>
        </w:trPr>
        <w:tc>
          <w:tcPr>
            <w:tcW w:w="2220" w:type="dxa"/>
            <w:vAlign w:val="bottom"/>
            <w:shd w:val="clear" w:color="auto" w:fill="D6D1D8"/>
          </w:tcPr>
          <w:p>
            <w:pPr>
              <w:spacing w:after="0"/>
              <w:rPr>
                <w:sz w:val="16"/>
                <w:szCs w:val="16"/>
                <w:color w:val="auto"/>
              </w:rPr>
            </w:pP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and an audit and assurance manager at Deloitte.</w:t>
            </w:r>
          </w:p>
        </w:tc>
      </w:tr>
      <w:tr>
        <w:trPr>
          <w:trHeight w:val="88"/>
        </w:trPr>
        <w:tc>
          <w:tcPr>
            <w:tcW w:w="2220" w:type="dxa"/>
            <w:vAlign w:val="bottom"/>
            <w:shd w:val="clear" w:color="auto" w:fill="D6D1D8"/>
          </w:tcPr>
          <w:p>
            <w:pPr>
              <w:spacing w:after="0"/>
              <w:rPr>
                <w:sz w:val="7"/>
                <w:szCs w:val="7"/>
                <w:color w:val="auto"/>
              </w:rPr>
            </w:pPr>
          </w:p>
        </w:tc>
        <w:tc>
          <w:tcPr>
            <w:tcW w:w="8700" w:type="dxa"/>
            <w:vAlign w:val="bottom"/>
            <w:shd w:val="clear" w:color="auto" w:fill="D6D1D8"/>
          </w:tcPr>
          <w:p>
            <w:pPr>
              <w:spacing w:after="0"/>
              <w:rPr>
                <w:sz w:val="7"/>
                <w:szCs w:val="7"/>
                <w:color w:val="auto"/>
              </w:rPr>
            </w:pPr>
          </w:p>
        </w:tc>
      </w:tr>
      <w:tr>
        <w:trPr>
          <w:trHeight w:val="285"/>
        </w:trPr>
        <w:tc>
          <w:tcPr>
            <w:tcW w:w="2220" w:type="dxa"/>
            <w:vAlign w:val="bottom"/>
          </w:tcPr>
          <w:p>
            <w:pPr>
              <w:ind w:left="80"/>
              <w:spacing w:after="0"/>
              <w:rPr>
                <w:sz w:val="20"/>
                <w:szCs w:val="20"/>
                <w:color w:val="auto"/>
              </w:rPr>
            </w:pPr>
            <w:r>
              <w:rPr>
                <w:rFonts w:ascii="Arial" w:cs="Arial" w:eastAsia="Arial" w:hAnsi="Arial"/>
                <w:sz w:val="14"/>
                <w:szCs w:val="14"/>
                <w:color w:val="auto"/>
              </w:rPr>
              <w:t>Real Estate &amp; Project</w:t>
            </w:r>
          </w:p>
        </w:tc>
        <w:tc>
          <w:tcPr>
            <w:tcW w:w="8700" w:type="dxa"/>
            <w:vAlign w:val="bottom"/>
          </w:tcPr>
          <w:p>
            <w:pPr>
              <w:ind w:left="120"/>
              <w:spacing w:after="0"/>
              <w:rPr>
                <w:sz w:val="20"/>
                <w:szCs w:val="20"/>
                <w:color w:val="auto"/>
              </w:rPr>
            </w:pPr>
            <w:r>
              <w:rPr>
                <w:rFonts w:ascii="Arial" w:cs="Arial" w:eastAsia="Arial" w:hAnsi="Arial"/>
                <w:sz w:val="14"/>
                <w:szCs w:val="14"/>
                <w:color w:val="auto"/>
              </w:rPr>
              <w:t>Mr. Billings was a member of the executive team that opened Encore Boston Harbor in 2019 and is developing Wynn Al-Marjan Island.</w:t>
            </w:r>
          </w:p>
        </w:tc>
      </w:tr>
      <w:tr>
        <w:trPr>
          <w:trHeight w:val="189"/>
        </w:trPr>
        <w:tc>
          <w:tcPr>
            <w:tcW w:w="2220" w:type="dxa"/>
            <w:vAlign w:val="bottom"/>
          </w:tcPr>
          <w:p>
            <w:pPr>
              <w:ind w:left="80"/>
              <w:spacing w:after="0"/>
              <w:rPr>
                <w:sz w:val="20"/>
                <w:szCs w:val="20"/>
                <w:color w:val="auto"/>
              </w:rPr>
            </w:pPr>
            <w:r>
              <w:rPr>
                <w:rFonts w:ascii="Arial" w:cs="Arial" w:eastAsia="Arial" w:hAnsi="Arial"/>
                <w:sz w:val="14"/>
                <w:szCs w:val="14"/>
                <w:color w:val="auto"/>
              </w:rPr>
              <w:t>Construction</w:t>
            </w:r>
          </w:p>
        </w:tc>
        <w:tc>
          <w:tcPr>
            <w:tcW w:w="8700" w:type="dxa"/>
            <w:vAlign w:val="bottom"/>
          </w:tcPr>
          <w:p>
            <w:pPr>
              <w:spacing w:after="0"/>
              <w:rPr>
                <w:sz w:val="16"/>
                <w:szCs w:val="16"/>
                <w:color w:val="auto"/>
              </w:rPr>
            </w:pPr>
          </w:p>
        </w:tc>
      </w:tr>
      <w:tr>
        <w:trPr>
          <w:trHeight w:val="88"/>
        </w:trPr>
        <w:tc>
          <w:tcPr>
            <w:tcW w:w="2220" w:type="dxa"/>
            <w:vAlign w:val="bottom"/>
          </w:tcPr>
          <w:p>
            <w:pPr>
              <w:spacing w:after="0"/>
              <w:rPr>
                <w:sz w:val="7"/>
                <w:szCs w:val="7"/>
                <w:color w:val="auto"/>
              </w:rPr>
            </w:pPr>
          </w:p>
        </w:tc>
        <w:tc>
          <w:tcPr>
            <w:tcW w:w="8700" w:type="dxa"/>
            <w:vAlign w:val="bottom"/>
          </w:tcPr>
          <w:p>
            <w:pPr>
              <w:spacing w:after="0"/>
              <w:rPr>
                <w:sz w:val="7"/>
                <w:szCs w:val="7"/>
                <w:color w:val="auto"/>
              </w:rPr>
            </w:pPr>
          </w:p>
        </w:tc>
      </w:tr>
      <w:tr>
        <w:trPr>
          <w:trHeight w:val="285"/>
        </w:trPr>
        <w:tc>
          <w:tcPr>
            <w:tcW w:w="2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Cybersecurity &amp; Data Privacy</w:t>
            </w: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Mr. Billings lead cyber security efforts both with the Company in his capacity as Chief Financial Officer and previously in his</w:t>
            </w:r>
          </w:p>
        </w:tc>
      </w:tr>
      <w:tr>
        <w:trPr>
          <w:trHeight w:val="189"/>
        </w:trPr>
        <w:tc>
          <w:tcPr>
            <w:tcW w:w="2220" w:type="dxa"/>
            <w:vAlign w:val="bottom"/>
            <w:shd w:val="clear" w:color="auto" w:fill="D6D1D8"/>
          </w:tcPr>
          <w:p>
            <w:pPr>
              <w:spacing w:after="0"/>
              <w:rPr>
                <w:sz w:val="16"/>
                <w:szCs w:val="16"/>
                <w:color w:val="auto"/>
              </w:rPr>
            </w:pP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development roles at technology companies.</w:t>
            </w:r>
          </w:p>
        </w:tc>
      </w:tr>
      <w:tr>
        <w:trPr>
          <w:trHeight w:val="88"/>
        </w:trPr>
        <w:tc>
          <w:tcPr>
            <w:tcW w:w="2220" w:type="dxa"/>
            <w:vAlign w:val="bottom"/>
            <w:shd w:val="clear" w:color="auto" w:fill="D6D1D8"/>
          </w:tcPr>
          <w:p>
            <w:pPr>
              <w:spacing w:after="0"/>
              <w:rPr>
                <w:sz w:val="7"/>
                <w:szCs w:val="7"/>
                <w:color w:val="auto"/>
              </w:rPr>
            </w:pPr>
          </w:p>
        </w:tc>
        <w:tc>
          <w:tcPr>
            <w:tcW w:w="8700" w:type="dxa"/>
            <w:vAlign w:val="bottom"/>
            <w:shd w:val="clear" w:color="auto" w:fill="D6D1D8"/>
          </w:tcPr>
          <w:p>
            <w:pPr>
              <w:spacing w:after="0"/>
              <w:rPr>
                <w:sz w:val="7"/>
                <w:szCs w:val="7"/>
                <w:color w:val="auto"/>
              </w:rPr>
            </w:pPr>
          </w:p>
        </w:tc>
      </w:tr>
      <w:tr>
        <w:trPr>
          <w:trHeight w:val="313"/>
        </w:trPr>
        <w:tc>
          <w:tcPr>
            <w:tcW w:w="2220" w:type="dxa"/>
            <w:vAlign w:val="bottom"/>
          </w:tcPr>
          <w:p>
            <w:pPr>
              <w:ind w:left="80"/>
              <w:spacing w:after="0"/>
              <w:rPr>
                <w:sz w:val="20"/>
                <w:szCs w:val="20"/>
                <w:color w:val="auto"/>
              </w:rPr>
            </w:pPr>
            <w:r>
              <w:rPr>
                <w:rFonts w:ascii="Arial" w:cs="Arial" w:eastAsia="Arial" w:hAnsi="Arial"/>
                <w:sz w:val="14"/>
                <w:szCs w:val="14"/>
                <w:color w:val="auto"/>
              </w:rPr>
              <w:t>Geopolitical Affairs</w:t>
            </w:r>
          </w:p>
        </w:tc>
        <w:tc>
          <w:tcPr>
            <w:tcW w:w="8700" w:type="dxa"/>
            <w:vAlign w:val="bottom"/>
          </w:tcPr>
          <w:p>
            <w:pPr>
              <w:ind w:left="120"/>
              <w:spacing w:after="0"/>
              <w:rPr>
                <w:sz w:val="20"/>
                <w:szCs w:val="20"/>
                <w:color w:val="auto"/>
              </w:rPr>
            </w:pPr>
            <w:r>
              <w:rPr>
                <w:rFonts w:ascii="Arial" w:cs="Arial" w:eastAsia="Arial" w:hAnsi="Arial"/>
                <w:sz w:val="14"/>
                <w:szCs w:val="14"/>
                <w:color w:val="auto"/>
              </w:rPr>
              <w:t>Mr. Billings has served as a member of the board of directors on the US-China Business Council since 2022.</w:t>
            </w:r>
          </w:p>
        </w:tc>
      </w:tr>
    </w:tbl>
    <w:p>
      <w:pPr>
        <w:spacing w:after="0" w:line="200" w:lineRule="exact"/>
        <w:rPr>
          <w:sz w:val="20"/>
          <w:szCs w:val="20"/>
          <w:color w:val="auto"/>
        </w:rPr>
      </w:pPr>
    </w:p>
    <w:p>
      <w:pPr>
        <w:sectPr>
          <w:pgSz w:w="11900" w:h="16838" w:orient="portrait"/>
          <w:cols w:equalWidth="0" w:num="1">
            <w:col w:w="11080"/>
          </w:cols>
          <w:pgMar w:left="320" w:top="478" w:right="499" w:bottom="1440" w:gutter="0" w:footer="0" w:header="0"/>
          <w:type w:val="continuous"/>
        </w:sectPr>
      </w:pPr>
    </w:p>
    <w:p>
      <w:pPr>
        <w:spacing w:after="0" w:line="17" w:lineRule="exact"/>
        <w:rPr>
          <w:sz w:val="20"/>
          <w:szCs w:val="20"/>
          <w:color w:val="auto"/>
        </w:rPr>
      </w:pPr>
    </w:p>
    <w:p>
      <w:pPr>
        <w:ind w:left="11020"/>
        <w:spacing w:after="0"/>
        <w:rPr>
          <w:sz w:val="20"/>
          <w:szCs w:val="20"/>
          <w:color w:val="auto"/>
        </w:rPr>
      </w:pPr>
      <w:r>
        <w:rPr>
          <w:rFonts w:ascii="Arial" w:cs="Arial" w:eastAsia="Arial" w:hAnsi="Arial"/>
          <w:sz w:val="10"/>
          <w:szCs w:val="10"/>
          <w:color w:val="auto"/>
        </w:rPr>
        <w:t>7</w:t>
      </w:r>
    </w:p>
    <w:p>
      <w:pPr>
        <w:sectPr>
          <w:pgSz w:w="11900" w:h="16838" w:orient="portrait"/>
          <w:cols w:equalWidth="0" w:num="1">
            <w:col w:w="11080"/>
          </w:cols>
          <w:pgMar w:left="320" w:top="478" w:right="4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32"/>
          <w:szCs w:val="32"/>
          <w:color w:val="auto"/>
        </w:rPr>
        <w:t xml:space="preserve">Richard J. Byrne </w:t>
      </w:r>
      <w:r>
        <w:rPr>
          <w:rFonts w:ascii="Times New Roman" w:cs="Times New Roman" w:eastAsia="Times New Roman" w:hAnsi="Times New Roman"/>
          <w:sz w:val="14"/>
          <w:szCs w:val="14"/>
          <w:i w:val="1"/>
          <w:iCs w:val="1"/>
          <w:color w:val="351B3D"/>
        </w:rPr>
        <w:t>CEO, Chair of the Board of Franklin BSP Realty Trust, Inc.</w:t>
      </w:r>
    </w:p>
    <w:p>
      <w:pPr>
        <w:spacing w:after="0" w:line="199" w:lineRule="exact"/>
        <w:rPr>
          <w:sz w:val="20"/>
          <w:szCs w:val="20"/>
          <w:color w:val="auto"/>
        </w:rPr>
      </w:pPr>
    </w:p>
    <w:p>
      <w:pPr>
        <w:ind w:left="160" w:right="40"/>
        <w:spacing w:after="0" w:line="250" w:lineRule="auto"/>
        <w:rPr>
          <w:sz w:val="20"/>
          <w:szCs w:val="20"/>
          <w:color w:val="auto"/>
        </w:rPr>
      </w:pPr>
      <w:r>
        <w:rPr>
          <w:rFonts w:ascii="Arial" w:cs="Arial" w:eastAsia="Arial" w:hAnsi="Arial"/>
          <w:sz w:val="14"/>
          <w:szCs w:val="14"/>
          <w:color w:val="auto"/>
        </w:rPr>
        <w:t>Mr. Byrne is Chair of the Board and CEO of Franklin BSP Realty Trust, Inc., a publicly-traded commercial real estate finance company, which is externally managed by Benefit Street Partners L.L.C. (a wholly owned subsidiary of Franklin Resources, Inc.), where Mr. Byrne has served as President since 2013. In addition, Mr. Byrne serves as Chief Executive Officer and Chair of the Board for two related non-publicly traded business-development companies regulated by the Investment Company Act of 1940: Franklin BSP Lending Corp. since 2016 and Franklin BSP Capital Corp. since 2020. Mr. Byrne is also the Founder and Chief Executive Officer of KASAI Elite Grappling Championships.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242570</wp:posOffset>
            </wp:positionV>
            <wp:extent cx="1986915" cy="15963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86915" cy="159639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60" w:type="dxa"/>
        <w:tblCellMar>
          <w:top w:w="0" w:type="dxa"/>
          <w:left w:w="0" w:type="dxa"/>
          <w:bottom w:w="0" w:type="dxa"/>
          <w:right w:w="0" w:type="dxa"/>
        </w:tblCellMar>
      </w:tblPr>
      <w:tr>
        <w:trPr>
          <w:trHeight w:val="540"/>
        </w:trPr>
        <w:tc>
          <w:tcPr>
            <w:tcW w:w="140" w:type="dxa"/>
            <w:vAlign w:val="bottom"/>
            <w:tcBorders>
              <w:bottom w:val="single" w:sz="8" w:color="F9F9EA"/>
            </w:tcBorders>
            <w:shd w:val="clear" w:color="auto" w:fill="F9F9EA"/>
          </w:tcPr>
          <w:p>
            <w:pPr>
              <w:spacing w:after="0"/>
              <w:rPr>
                <w:sz w:val="20"/>
                <w:szCs w:val="20"/>
                <w:color w:val="auto"/>
              </w:rPr>
            </w:pPr>
            <w:r>
              <w:rPr>
                <w:rFonts w:ascii="Arial" w:cs="Arial" w:eastAsia="Arial" w:hAnsi="Arial"/>
                <w:sz w:val="16"/>
                <w:szCs w:val="16"/>
                <w:color w:val="auto"/>
              </w:rPr>
              <w:t xml:space="preserve">   </w:t>
            </w:r>
          </w:p>
        </w:tc>
        <w:tc>
          <w:tcPr>
            <w:tcW w:w="1300" w:type="dxa"/>
            <w:vAlign w:val="bottom"/>
            <w:tcBorders>
              <w:bottom w:val="single" w:sz="8" w:color="F9F9EA"/>
            </w:tcBorders>
            <w:shd w:val="clear" w:color="auto" w:fill="F9F9EA"/>
          </w:tcPr>
          <w:p>
            <w:pPr>
              <w:ind w:left="60"/>
              <w:spacing w:after="0"/>
              <w:rPr>
                <w:sz w:val="20"/>
                <w:szCs w:val="20"/>
                <w:color w:val="auto"/>
              </w:rPr>
            </w:pPr>
            <w:r>
              <w:rPr>
                <w:rFonts w:ascii="Arial" w:cs="Arial" w:eastAsia="Arial" w:hAnsi="Arial"/>
                <w:sz w:val="12"/>
                <w:szCs w:val="12"/>
                <w:color w:val="351B3D"/>
              </w:rPr>
              <w:t>Director Since</w:t>
            </w:r>
          </w:p>
        </w:tc>
        <w:tc>
          <w:tcPr>
            <w:tcW w:w="1580" w:type="dxa"/>
            <w:vAlign w:val="bottom"/>
            <w:tcBorders>
              <w:bottom w:val="single" w:sz="8" w:color="F9F9EA"/>
            </w:tcBorders>
            <w:shd w:val="clear" w:color="auto" w:fill="F9F9EA"/>
          </w:tcPr>
          <w:p>
            <w:pPr>
              <w:ind w:left="60"/>
              <w:spacing w:after="0"/>
              <w:rPr>
                <w:sz w:val="20"/>
                <w:szCs w:val="20"/>
                <w:color w:val="auto"/>
              </w:rPr>
            </w:pPr>
            <w:r>
              <w:rPr>
                <w:rFonts w:ascii="Arial" w:cs="Arial" w:eastAsia="Arial" w:hAnsi="Arial"/>
                <w:sz w:val="12"/>
                <w:szCs w:val="12"/>
                <w:color w:val="351B3D"/>
              </w:rPr>
              <w:t>August 2018</w:t>
            </w:r>
          </w:p>
        </w:tc>
        <w:tc>
          <w:tcPr>
            <w:tcW w:w="140" w:type="dxa"/>
            <w:vAlign w:val="bottom"/>
            <w:tcBorders>
              <w:bottom w:val="single" w:sz="8" w:color="F9F9EA"/>
            </w:tcBorders>
            <w:shd w:val="clear" w:color="auto" w:fill="F9F9EA"/>
          </w:tcPr>
          <w:p>
            <w:pPr>
              <w:ind w:left="100"/>
              <w:spacing w:after="0"/>
              <w:rPr>
                <w:sz w:val="20"/>
                <w:szCs w:val="20"/>
                <w:color w:val="auto"/>
              </w:rPr>
            </w:pPr>
            <w:r>
              <w:rPr>
                <w:rFonts w:ascii="Arial" w:cs="Arial" w:eastAsia="Arial" w:hAnsi="Arial"/>
                <w:sz w:val="11"/>
                <w:szCs w:val="11"/>
                <w:color w:val="auto"/>
                <w:w w:val="70"/>
              </w:rPr>
              <w:t> </w:t>
            </w:r>
          </w:p>
        </w:tc>
      </w:tr>
      <w:tr>
        <w:trPr>
          <w:trHeight w:val="368"/>
        </w:trPr>
        <w:tc>
          <w:tcPr>
            <w:tcW w:w="140" w:type="dxa"/>
            <w:vAlign w:val="bottom"/>
            <w:tcBorders>
              <w:top w:val="single" w:sz="8" w:color="F9F9EA"/>
            </w:tcBorders>
            <w:shd w:val="clear" w:color="auto" w:fill="F9F9EA"/>
          </w:tcPr>
          <w:p>
            <w:pPr>
              <w:spacing w:after="0"/>
              <w:rPr>
                <w:sz w:val="24"/>
                <w:szCs w:val="24"/>
                <w:color w:val="auto"/>
              </w:rPr>
            </w:pPr>
          </w:p>
        </w:tc>
        <w:tc>
          <w:tcPr>
            <w:tcW w:w="1300" w:type="dxa"/>
            <w:vAlign w:val="bottom"/>
            <w:tcBorders>
              <w:top w:val="single" w:sz="8" w:color="auto"/>
            </w:tcBorders>
            <w:shd w:val="clear" w:color="auto" w:fill="F9F9EA"/>
          </w:tcPr>
          <w:p>
            <w:pPr>
              <w:ind w:left="60"/>
              <w:spacing w:after="0"/>
              <w:rPr>
                <w:sz w:val="20"/>
                <w:szCs w:val="20"/>
                <w:color w:val="auto"/>
              </w:rPr>
            </w:pPr>
            <w:r>
              <w:rPr>
                <w:rFonts w:ascii="Arial" w:cs="Arial" w:eastAsia="Arial" w:hAnsi="Arial"/>
                <w:sz w:val="12"/>
                <w:szCs w:val="12"/>
                <w:color w:val="351B3D"/>
              </w:rPr>
              <w:t>Term Expires</w:t>
            </w:r>
          </w:p>
        </w:tc>
        <w:tc>
          <w:tcPr>
            <w:tcW w:w="1580" w:type="dxa"/>
            <w:vAlign w:val="bottom"/>
            <w:tcBorders>
              <w:top w:val="single" w:sz="8" w:color="auto"/>
            </w:tcBorders>
            <w:shd w:val="clear" w:color="auto" w:fill="F9F9EA"/>
          </w:tcPr>
          <w:p>
            <w:pPr>
              <w:ind w:left="60"/>
              <w:spacing w:after="0"/>
              <w:rPr>
                <w:sz w:val="20"/>
                <w:szCs w:val="20"/>
                <w:color w:val="auto"/>
              </w:rPr>
            </w:pPr>
            <w:r>
              <w:rPr>
                <w:rFonts w:ascii="Arial" w:cs="Arial" w:eastAsia="Arial" w:hAnsi="Arial"/>
                <w:sz w:val="12"/>
                <w:szCs w:val="12"/>
                <w:color w:val="351B3D"/>
              </w:rPr>
              <w:t>2026 Annual Meeting</w:t>
            </w:r>
          </w:p>
        </w:tc>
        <w:tc>
          <w:tcPr>
            <w:tcW w:w="140" w:type="dxa"/>
            <w:vAlign w:val="bottom"/>
            <w:tcBorders>
              <w:top w:val="single" w:sz="8" w:color="F9F9EA"/>
            </w:tcBorders>
            <w:shd w:val="clear" w:color="auto" w:fill="F9F9EA"/>
          </w:tcPr>
          <w:p>
            <w:pPr>
              <w:spacing w:after="0"/>
              <w:rPr>
                <w:sz w:val="24"/>
                <w:szCs w:val="24"/>
                <w:color w:val="auto"/>
              </w:rPr>
            </w:pPr>
          </w:p>
        </w:tc>
      </w:tr>
      <w:tr>
        <w:trPr>
          <w:trHeight w:val="161"/>
        </w:trPr>
        <w:tc>
          <w:tcPr>
            <w:tcW w:w="140" w:type="dxa"/>
            <w:vAlign w:val="bottom"/>
            <w:tcBorders>
              <w:bottom w:val="single" w:sz="8" w:color="F9F9EA"/>
            </w:tcBorders>
            <w:shd w:val="clear" w:color="auto" w:fill="F9F9EA"/>
          </w:tcPr>
          <w:p>
            <w:pPr>
              <w:spacing w:after="0"/>
              <w:rPr>
                <w:sz w:val="13"/>
                <w:szCs w:val="13"/>
                <w:color w:val="auto"/>
              </w:rPr>
            </w:pPr>
          </w:p>
        </w:tc>
        <w:tc>
          <w:tcPr>
            <w:tcW w:w="1300" w:type="dxa"/>
            <w:vAlign w:val="bottom"/>
            <w:tcBorders>
              <w:bottom w:val="single" w:sz="8" w:color="auto"/>
            </w:tcBorders>
            <w:shd w:val="clear" w:color="auto" w:fill="F9F9EA"/>
          </w:tcPr>
          <w:p>
            <w:pPr>
              <w:spacing w:after="0"/>
              <w:rPr>
                <w:sz w:val="13"/>
                <w:szCs w:val="13"/>
                <w:color w:val="auto"/>
              </w:rPr>
            </w:pPr>
          </w:p>
        </w:tc>
        <w:tc>
          <w:tcPr>
            <w:tcW w:w="1580" w:type="dxa"/>
            <w:vAlign w:val="bottom"/>
            <w:tcBorders>
              <w:bottom w:val="single" w:sz="8" w:color="auto"/>
            </w:tcBorders>
            <w:shd w:val="clear" w:color="auto" w:fill="F9F9EA"/>
          </w:tcPr>
          <w:p>
            <w:pPr>
              <w:spacing w:after="0"/>
              <w:rPr>
                <w:sz w:val="13"/>
                <w:szCs w:val="13"/>
                <w:color w:val="auto"/>
              </w:rPr>
            </w:pPr>
          </w:p>
        </w:tc>
        <w:tc>
          <w:tcPr>
            <w:tcW w:w="140" w:type="dxa"/>
            <w:vAlign w:val="bottom"/>
            <w:tcBorders>
              <w:bottom w:val="single" w:sz="8" w:color="F9F9EA"/>
            </w:tcBorders>
            <w:shd w:val="clear" w:color="auto" w:fill="F9F9EA"/>
          </w:tcPr>
          <w:p>
            <w:pPr>
              <w:spacing w:after="0"/>
              <w:rPr>
                <w:sz w:val="13"/>
                <w:szCs w:val="13"/>
                <w:color w:val="auto"/>
              </w:rPr>
            </w:pPr>
          </w:p>
        </w:tc>
      </w:tr>
      <w:tr>
        <w:trPr>
          <w:trHeight w:val="368"/>
        </w:trPr>
        <w:tc>
          <w:tcPr>
            <w:tcW w:w="140" w:type="dxa"/>
            <w:vAlign w:val="bottom"/>
            <w:shd w:val="clear" w:color="auto" w:fill="F9F9EA"/>
          </w:tcPr>
          <w:p>
            <w:pPr>
              <w:spacing w:after="0"/>
              <w:rPr>
                <w:sz w:val="24"/>
                <w:szCs w:val="24"/>
                <w:color w:val="auto"/>
              </w:rPr>
            </w:pPr>
          </w:p>
        </w:tc>
        <w:tc>
          <w:tcPr>
            <w:tcW w:w="130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Age</w:t>
            </w:r>
          </w:p>
        </w:tc>
        <w:tc>
          <w:tcPr>
            <w:tcW w:w="158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64</w:t>
            </w:r>
          </w:p>
        </w:tc>
        <w:tc>
          <w:tcPr>
            <w:tcW w:w="140" w:type="dxa"/>
            <w:vAlign w:val="bottom"/>
            <w:shd w:val="clear" w:color="auto" w:fill="F9F9EA"/>
          </w:tcPr>
          <w:p>
            <w:pPr>
              <w:spacing w:after="0"/>
              <w:rPr>
                <w:sz w:val="24"/>
                <w:szCs w:val="24"/>
                <w:color w:val="auto"/>
              </w:rPr>
            </w:pPr>
          </w:p>
        </w:tc>
      </w:tr>
      <w:tr>
        <w:trPr>
          <w:trHeight w:val="161"/>
        </w:trPr>
        <w:tc>
          <w:tcPr>
            <w:tcW w:w="140" w:type="dxa"/>
            <w:vAlign w:val="bottom"/>
            <w:tcBorders>
              <w:bottom w:val="single" w:sz="8" w:color="F9F9EA"/>
            </w:tcBorders>
            <w:shd w:val="clear" w:color="auto" w:fill="F9F9EA"/>
          </w:tcPr>
          <w:p>
            <w:pPr>
              <w:spacing w:after="0"/>
              <w:rPr>
                <w:sz w:val="13"/>
                <w:szCs w:val="13"/>
                <w:color w:val="auto"/>
              </w:rPr>
            </w:pPr>
          </w:p>
        </w:tc>
        <w:tc>
          <w:tcPr>
            <w:tcW w:w="1300" w:type="dxa"/>
            <w:vAlign w:val="bottom"/>
            <w:tcBorders>
              <w:bottom w:val="single" w:sz="8" w:color="auto"/>
            </w:tcBorders>
            <w:shd w:val="clear" w:color="auto" w:fill="F9F9EA"/>
          </w:tcPr>
          <w:p>
            <w:pPr>
              <w:spacing w:after="0"/>
              <w:rPr>
                <w:sz w:val="13"/>
                <w:szCs w:val="13"/>
                <w:color w:val="auto"/>
              </w:rPr>
            </w:pPr>
          </w:p>
        </w:tc>
        <w:tc>
          <w:tcPr>
            <w:tcW w:w="1580" w:type="dxa"/>
            <w:vAlign w:val="bottom"/>
            <w:tcBorders>
              <w:bottom w:val="single" w:sz="8" w:color="auto"/>
            </w:tcBorders>
            <w:shd w:val="clear" w:color="auto" w:fill="F9F9EA"/>
          </w:tcPr>
          <w:p>
            <w:pPr>
              <w:spacing w:after="0"/>
              <w:rPr>
                <w:sz w:val="13"/>
                <w:szCs w:val="13"/>
                <w:color w:val="auto"/>
              </w:rPr>
            </w:pPr>
          </w:p>
        </w:tc>
        <w:tc>
          <w:tcPr>
            <w:tcW w:w="140" w:type="dxa"/>
            <w:vAlign w:val="bottom"/>
            <w:tcBorders>
              <w:bottom w:val="single" w:sz="8" w:color="F9F9EA"/>
            </w:tcBorders>
            <w:shd w:val="clear" w:color="auto" w:fill="F9F9EA"/>
          </w:tcPr>
          <w:p>
            <w:pPr>
              <w:spacing w:after="0"/>
              <w:rPr>
                <w:sz w:val="13"/>
                <w:szCs w:val="13"/>
                <w:color w:val="auto"/>
              </w:rPr>
            </w:pPr>
          </w:p>
        </w:tc>
      </w:tr>
      <w:tr>
        <w:trPr>
          <w:trHeight w:val="270"/>
        </w:trPr>
        <w:tc>
          <w:tcPr>
            <w:tcW w:w="140" w:type="dxa"/>
            <w:vAlign w:val="bottom"/>
            <w:shd w:val="clear" w:color="auto" w:fill="F9F9EA"/>
          </w:tcPr>
          <w:p>
            <w:pPr>
              <w:spacing w:after="0"/>
              <w:rPr>
                <w:sz w:val="23"/>
                <w:szCs w:val="23"/>
                <w:color w:val="auto"/>
              </w:rPr>
            </w:pPr>
          </w:p>
        </w:tc>
        <w:tc>
          <w:tcPr>
            <w:tcW w:w="130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Board Committees:</w:t>
            </w:r>
          </w:p>
        </w:tc>
        <w:tc>
          <w:tcPr>
            <w:tcW w:w="158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Audit (Financial Expert)</w:t>
            </w:r>
          </w:p>
        </w:tc>
        <w:tc>
          <w:tcPr>
            <w:tcW w:w="140" w:type="dxa"/>
            <w:vAlign w:val="bottom"/>
            <w:shd w:val="clear" w:color="auto" w:fill="F9F9EA"/>
          </w:tcPr>
          <w:p>
            <w:pPr>
              <w:spacing w:after="0"/>
              <w:rPr>
                <w:sz w:val="23"/>
                <w:szCs w:val="23"/>
                <w:color w:val="auto"/>
              </w:rPr>
            </w:pPr>
          </w:p>
        </w:tc>
      </w:tr>
      <w:tr>
        <w:trPr>
          <w:trHeight w:val="165"/>
        </w:trPr>
        <w:tc>
          <w:tcPr>
            <w:tcW w:w="140" w:type="dxa"/>
            <w:vAlign w:val="bottom"/>
            <w:shd w:val="clear" w:color="auto" w:fill="F9F9EA"/>
          </w:tcPr>
          <w:p>
            <w:pPr>
              <w:spacing w:after="0"/>
              <w:rPr>
                <w:sz w:val="14"/>
                <w:szCs w:val="14"/>
                <w:color w:val="auto"/>
              </w:rPr>
            </w:pPr>
          </w:p>
        </w:tc>
        <w:tc>
          <w:tcPr>
            <w:tcW w:w="1300" w:type="dxa"/>
            <w:vAlign w:val="bottom"/>
            <w:shd w:val="clear" w:color="auto" w:fill="F9F9EA"/>
          </w:tcPr>
          <w:p>
            <w:pPr>
              <w:spacing w:after="0"/>
              <w:rPr>
                <w:sz w:val="14"/>
                <w:szCs w:val="14"/>
                <w:color w:val="auto"/>
              </w:rPr>
            </w:pPr>
          </w:p>
        </w:tc>
        <w:tc>
          <w:tcPr>
            <w:tcW w:w="158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Compensation</w:t>
            </w:r>
          </w:p>
        </w:tc>
        <w:tc>
          <w:tcPr>
            <w:tcW w:w="140" w:type="dxa"/>
            <w:vAlign w:val="bottom"/>
            <w:shd w:val="clear" w:color="auto" w:fill="F9F9EA"/>
          </w:tcPr>
          <w:p>
            <w:pPr>
              <w:spacing w:after="0"/>
              <w:rPr>
                <w:sz w:val="14"/>
                <w:szCs w:val="14"/>
                <w:color w:val="auto"/>
              </w:rPr>
            </w:pPr>
          </w:p>
        </w:tc>
      </w:tr>
      <w:tr>
        <w:trPr>
          <w:trHeight w:val="67"/>
        </w:trPr>
        <w:tc>
          <w:tcPr>
            <w:tcW w:w="140" w:type="dxa"/>
            <w:vAlign w:val="bottom"/>
            <w:shd w:val="clear" w:color="auto" w:fill="F9F9EA"/>
          </w:tcPr>
          <w:p>
            <w:pPr>
              <w:spacing w:after="0"/>
              <w:rPr>
                <w:sz w:val="5"/>
                <w:szCs w:val="5"/>
                <w:color w:val="auto"/>
              </w:rPr>
            </w:pPr>
          </w:p>
        </w:tc>
        <w:tc>
          <w:tcPr>
            <w:tcW w:w="1300" w:type="dxa"/>
            <w:vAlign w:val="bottom"/>
            <w:shd w:val="clear" w:color="auto" w:fill="F9F9EA"/>
          </w:tcPr>
          <w:p>
            <w:pPr>
              <w:spacing w:after="0"/>
              <w:rPr>
                <w:sz w:val="5"/>
                <w:szCs w:val="5"/>
                <w:color w:val="auto"/>
              </w:rPr>
            </w:pPr>
          </w:p>
        </w:tc>
        <w:tc>
          <w:tcPr>
            <w:tcW w:w="1580" w:type="dxa"/>
            <w:vAlign w:val="bottom"/>
            <w:shd w:val="clear" w:color="auto" w:fill="F9F9EA"/>
          </w:tcPr>
          <w:p>
            <w:pPr>
              <w:spacing w:after="0"/>
              <w:rPr>
                <w:sz w:val="5"/>
                <w:szCs w:val="5"/>
                <w:color w:val="auto"/>
              </w:rPr>
            </w:pPr>
          </w:p>
        </w:tc>
        <w:tc>
          <w:tcPr>
            <w:tcW w:w="140" w:type="dxa"/>
            <w:vAlign w:val="bottom"/>
            <w:shd w:val="clear" w:color="auto" w:fill="F9F9EA"/>
          </w:tcPr>
          <w:p>
            <w:pPr>
              <w:spacing w:after="0"/>
              <w:rPr>
                <w:sz w:val="5"/>
                <w:szCs w:val="5"/>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140F21"/>
        </w:rPr>
        <w:t>PREVIOUS EXPERIENCE</w:t>
      </w:r>
    </w:p>
    <w:p>
      <w:pPr>
        <w:spacing w:after="0" w:line="22" w:lineRule="exact"/>
        <w:rPr>
          <w:sz w:val="20"/>
          <w:szCs w:val="20"/>
          <w:color w:val="auto"/>
        </w:rPr>
      </w:pPr>
    </w:p>
    <w:p>
      <w:pPr>
        <w:ind w:left="180" w:right="280" w:hanging="177"/>
        <w:spacing w:after="0" w:line="249" w:lineRule="auto"/>
        <w:rPr>
          <w:sz w:val="20"/>
          <w:szCs w:val="20"/>
          <w:color w:val="auto"/>
        </w:rPr>
      </w:pPr>
      <w:r>
        <w:rPr>
          <w:rFonts w:ascii="Arial" w:cs="Arial" w:eastAsia="Arial" w:hAnsi="Arial"/>
          <w:sz w:val="14"/>
          <w:szCs w:val="14"/>
          <w:color w:val="auto"/>
        </w:rPr>
        <w:t>–   1999 to 2013: Chief Executive Officer, Deutsche Bank Securities, Inc. (2008-2013); Global Co-Head of Capital Markets at Deutsche Bank (2006-2013); member of the Global Banking Executive Committee and the Global Markets Executive Committee (2001-2010)</w:t>
      </w:r>
    </w:p>
    <w:p>
      <w:pPr>
        <w:spacing w:after="0" w:line="47" w:lineRule="exact"/>
        <w:rPr>
          <w:sz w:val="20"/>
          <w:szCs w:val="20"/>
          <w:color w:val="auto"/>
        </w:rPr>
      </w:pPr>
    </w:p>
    <w:p>
      <w:pPr>
        <w:ind w:left="180" w:right="260" w:hanging="177"/>
        <w:spacing w:after="0" w:line="281" w:lineRule="auto"/>
        <w:rPr>
          <w:sz w:val="20"/>
          <w:szCs w:val="20"/>
          <w:color w:val="auto"/>
        </w:rPr>
      </w:pPr>
      <w:r>
        <w:rPr>
          <w:rFonts w:ascii="Arial" w:cs="Arial" w:eastAsia="Arial" w:hAnsi="Arial"/>
          <w:sz w:val="14"/>
          <w:szCs w:val="14"/>
          <w:color w:val="auto"/>
        </w:rPr>
        <w:t>–   1985 to 1999: Global Co-Head of the Leveraged Finance Group and Global Head of Credit Research at Merrill Lynch &amp; Co.</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–   Highly-ranked credit research analyst, principally in the gaming, lodging and leisure sector</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140F21"/>
        </w:rPr>
        <w:t>EDUCATION</w:t>
      </w:r>
    </w:p>
    <w:p>
      <w:pPr>
        <w:spacing w:after="0" w:line="22" w:lineRule="exact"/>
        <w:rPr>
          <w:sz w:val="20"/>
          <w:szCs w:val="20"/>
          <w:color w:val="auto"/>
        </w:rPr>
      </w:pPr>
    </w:p>
    <w:p>
      <w:pPr>
        <w:ind w:right="440"/>
        <w:spacing w:after="0" w:line="260" w:lineRule="auto"/>
        <w:rPr>
          <w:sz w:val="20"/>
          <w:szCs w:val="20"/>
          <w:color w:val="auto"/>
        </w:rPr>
      </w:pPr>
      <w:r>
        <w:rPr>
          <w:rFonts w:ascii="Arial" w:cs="Arial" w:eastAsia="Arial" w:hAnsi="Arial"/>
          <w:sz w:val="14"/>
          <w:szCs w:val="14"/>
          <w:color w:val="auto"/>
        </w:rPr>
        <w:t>Mr. Byrne graduated with a B.A. from Binghamton University and a Master of Business Administration from the Kellogg School of Management at Northwestern University.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140F21"/>
        </w:rPr>
        <w:t>EXPERTISE</w:t>
      </w:r>
    </w:p>
    <w:p>
      <w:pPr>
        <w:spacing w:after="0" w:line="22" w:lineRule="exact"/>
        <w:rPr>
          <w:sz w:val="20"/>
          <w:szCs w:val="20"/>
          <w:color w:val="auto"/>
        </w:rPr>
      </w:pPr>
    </w:p>
    <w:p>
      <w:pPr>
        <w:ind w:right="280"/>
        <w:spacing w:after="0" w:line="249" w:lineRule="auto"/>
        <w:rPr>
          <w:sz w:val="20"/>
          <w:szCs w:val="20"/>
          <w:color w:val="auto"/>
        </w:rPr>
      </w:pPr>
      <w:r>
        <w:rPr>
          <w:rFonts w:ascii="Arial" w:cs="Arial" w:eastAsia="Arial" w:hAnsi="Arial"/>
          <w:sz w:val="14"/>
          <w:szCs w:val="14"/>
          <w:color w:val="auto"/>
        </w:rPr>
        <w:t>Mr. Byrne has extensive high-level experience in the investment banking and financial services industries, adding expertise in corporate finance and substantial knowledge of the public and private capital markets to our Board. Mr. Byrne also has a deep background in the casino resort industry.</w:t>
      </w:r>
    </w:p>
    <w:p>
      <w:pPr>
        <w:spacing w:after="0" w:line="1726" w:lineRule="exact"/>
        <w:rPr>
          <w:sz w:val="20"/>
          <w:szCs w:val="20"/>
          <w:color w:val="auto"/>
        </w:rPr>
      </w:pPr>
    </w:p>
    <w:p>
      <w:pPr>
        <w:sectPr>
          <w:pgSz w:w="11900" w:h="16838" w:orient="portrait"/>
          <w:cols w:equalWidth="0" w:num="2">
            <w:col w:w="3320" w:space="360"/>
            <w:col w:w="7400"/>
          </w:cols>
          <w:pgMar w:left="320" w:top="478" w:right="499" w:bottom="1440" w:gutter="0" w:footer="0" w:header="0"/>
          <w:type w:val="continuous"/>
        </w:sectPr>
      </w:pPr>
    </w:p>
    <w:p>
      <w:pPr>
        <w:ind w:left="160"/>
        <w:spacing w:after="0"/>
        <w:rPr>
          <w:sz w:val="20"/>
          <w:szCs w:val="20"/>
          <w:color w:val="auto"/>
        </w:rPr>
      </w:pPr>
      <w:r>
        <w:rPr>
          <w:rFonts w:ascii="Arial" w:cs="Arial" w:eastAsia="Arial" w:hAnsi="Arial"/>
          <w:sz w:val="16"/>
          <w:szCs w:val="16"/>
          <w:color w:val="140F21"/>
        </w:rPr>
        <w:t>SKILLS AND QUALIFICATIONS</w:t>
      </w:r>
    </w:p>
    <w:p>
      <w:pPr>
        <w:spacing w:after="0" w:line="138"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2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Gaming or Other Regulated</w:t>
            </w: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Each of the entities where Mr. Byrne serves or served in executive capacities are regulated by various state and federal agencies,</w:t>
            </w:r>
          </w:p>
        </w:tc>
      </w:tr>
      <w:tr>
        <w:trPr>
          <w:trHeight w:val="160"/>
        </w:trPr>
        <w:tc>
          <w:tcPr>
            <w:tcW w:w="2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Industry</w:t>
            </w: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including the SEC and FINRA. Further, throughout his career with both Merrill Lynch and Deutsche Bank, Mr. Byrne was a top-ranked</w:t>
            </w:r>
          </w:p>
        </w:tc>
      </w:tr>
      <w:tr>
        <w:trPr>
          <w:trHeight w:val="197"/>
        </w:trPr>
        <w:tc>
          <w:tcPr>
            <w:tcW w:w="2220" w:type="dxa"/>
            <w:vAlign w:val="bottom"/>
            <w:shd w:val="clear" w:color="auto" w:fill="D6D1D8"/>
          </w:tcPr>
          <w:p>
            <w:pPr>
              <w:spacing w:after="0"/>
              <w:rPr>
                <w:sz w:val="17"/>
                <w:szCs w:val="17"/>
                <w:color w:val="auto"/>
              </w:rPr>
            </w:pP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research analyst in casino gaming.</w:t>
            </w:r>
          </w:p>
        </w:tc>
      </w:tr>
      <w:tr>
        <w:trPr>
          <w:trHeight w:val="218"/>
        </w:trPr>
        <w:tc>
          <w:tcPr>
            <w:tcW w:w="2220" w:type="dxa"/>
            <w:vAlign w:val="bottom"/>
          </w:tcPr>
          <w:p>
            <w:pPr>
              <w:ind w:left="80"/>
              <w:spacing w:after="0"/>
              <w:rPr>
                <w:sz w:val="20"/>
                <w:szCs w:val="20"/>
                <w:color w:val="auto"/>
              </w:rPr>
            </w:pPr>
            <w:r>
              <w:rPr>
                <w:rFonts w:ascii="Arial" w:cs="Arial" w:eastAsia="Arial" w:hAnsi="Arial"/>
                <w:sz w:val="14"/>
                <w:szCs w:val="14"/>
                <w:color w:val="auto"/>
              </w:rPr>
              <w:t>Executive Leadership</w:t>
            </w:r>
          </w:p>
        </w:tc>
        <w:tc>
          <w:tcPr>
            <w:tcW w:w="8700" w:type="dxa"/>
            <w:vAlign w:val="bottom"/>
          </w:tcPr>
          <w:p>
            <w:pPr>
              <w:ind w:left="120"/>
              <w:spacing w:after="0"/>
              <w:rPr>
                <w:sz w:val="20"/>
                <w:szCs w:val="20"/>
                <w:color w:val="auto"/>
              </w:rPr>
            </w:pPr>
            <w:r>
              <w:rPr>
                <w:rFonts w:ascii="Arial" w:cs="Arial" w:eastAsia="Arial" w:hAnsi="Arial"/>
                <w:sz w:val="14"/>
                <w:szCs w:val="14"/>
                <w:color w:val="auto"/>
              </w:rPr>
              <w:t>Mr. Byrne was Chief Executive Officer of Deutsche Bank Securities, Inc., and was also the global head of capital markets at Deutsche</w:t>
            </w:r>
          </w:p>
        </w:tc>
      </w:tr>
      <w:tr>
        <w:trPr>
          <w:trHeight w:val="160"/>
        </w:trPr>
        <w:tc>
          <w:tcPr>
            <w:tcW w:w="2220" w:type="dxa"/>
            <w:vAlign w:val="bottom"/>
          </w:tcPr>
          <w:p>
            <w:pPr>
              <w:spacing w:after="0"/>
              <w:rPr>
                <w:sz w:val="13"/>
                <w:szCs w:val="13"/>
                <w:color w:val="auto"/>
              </w:rPr>
            </w:pPr>
          </w:p>
        </w:tc>
        <w:tc>
          <w:tcPr>
            <w:tcW w:w="8700" w:type="dxa"/>
            <w:vAlign w:val="bottom"/>
          </w:tcPr>
          <w:p>
            <w:pPr>
              <w:ind w:left="120"/>
              <w:spacing w:after="0"/>
              <w:rPr>
                <w:sz w:val="20"/>
                <w:szCs w:val="20"/>
                <w:color w:val="auto"/>
              </w:rPr>
            </w:pPr>
            <w:r>
              <w:rPr>
                <w:rFonts w:ascii="Arial" w:cs="Arial" w:eastAsia="Arial" w:hAnsi="Arial"/>
                <w:sz w:val="14"/>
                <w:szCs w:val="14"/>
                <w:color w:val="auto"/>
              </w:rPr>
              <w:t>Bank and a member of their global banking and global markets executive committees. Before joining Deutsche Bank, Mr. Byrne was</w:t>
            </w:r>
          </w:p>
        </w:tc>
      </w:tr>
      <w:tr>
        <w:trPr>
          <w:trHeight w:val="193"/>
        </w:trPr>
        <w:tc>
          <w:tcPr>
            <w:tcW w:w="2220" w:type="dxa"/>
            <w:vAlign w:val="bottom"/>
          </w:tcPr>
          <w:p>
            <w:pPr>
              <w:spacing w:after="0"/>
              <w:rPr>
                <w:sz w:val="16"/>
                <w:szCs w:val="16"/>
                <w:color w:val="auto"/>
              </w:rPr>
            </w:pPr>
          </w:p>
        </w:tc>
        <w:tc>
          <w:tcPr>
            <w:tcW w:w="8700" w:type="dxa"/>
            <w:vAlign w:val="bottom"/>
          </w:tcPr>
          <w:p>
            <w:pPr>
              <w:ind w:left="120"/>
              <w:spacing w:after="0"/>
              <w:rPr>
                <w:sz w:val="20"/>
                <w:szCs w:val="20"/>
                <w:color w:val="auto"/>
              </w:rPr>
            </w:pPr>
            <w:r>
              <w:rPr>
                <w:rFonts w:ascii="Arial" w:cs="Arial" w:eastAsia="Arial" w:hAnsi="Arial"/>
                <w:sz w:val="14"/>
                <w:szCs w:val="14"/>
                <w:color w:val="auto"/>
              </w:rPr>
              <w:t>global co-head of the leveraged finance group and global head of credit research at Merrill Lynch.</w:t>
            </w:r>
          </w:p>
        </w:tc>
      </w:tr>
      <w:tr>
        <w:trPr>
          <w:trHeight w:val="258"/>
        </w:trPr>
        <w:tc>
          <w:tcPr>
            <w:tcW w:w="2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Outside Public Boards</w:t>
            </w: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Mr. Byrne serves as a director and Chairman of Franklin BSP Realty Trust, Inc.</w:t>
            </w:r>
          </w:p>
        </w:tc>
      </w:tr>
      <w:tr>
        <w:trPr>
          <w:trHeight w:val="218"/>
        </w:trPr>
        <w:tc>
          <w:tcPr>
            <w:tcW w:w="2220" w:type="dxa"/>
            <w:vAlign w:val="bottom"/>
          </w:tcPr>
          <w:p>
            <w:pPr>
              <w:ind w:left="80"/>
              <w:spacing w:after="0"/>
              <w:rPr>
                <w:sz w:val="20"/>
                <w:szCs w:val="20"/>
                <w:color w:val="auto"/>
              </w:rPr>
            </w:pPr>
            <w:r>
              <w:rPr>
                <w:rFonts w:ascii="Arial" w:cs="Arial" w:eastAsia="Arial" w:hAnsi="Arial"/>
                <w:sz w:val="14"/>
                <w:szCs w:val="14"/>
                <w:color w:val="auto"/>
              </w:rPr>
              <w:t>Finance &amp; Accounting</w:t>
            </w:r>
          </w:p>
        </w:tc>
        <w:tc>
          <w:tcPr>
            <w:tcW w:w="8700" w:type="dxa"/>
            <w:vAlign w:val="bottom"/>
          </w:tcPr>
          <w:p>
            <w:pPr>
              <w:ind w:left="120"/>
              <w:spacing w:after="0"/>
              <w:rPr>
                <w:sz w:val="20"/>
                <w:szCs w:val="20"/>
                <w:color w:val="auto"/>
              </w:rPr>
            </w:pPr>
            <w:r>
              <w:rPr>
                <w:rFonts w:ascii="Arial" w:cs="Arial" w:eastAsia="Arial" w:hAnsi="Arial"/>
                <w:sz w:val="14"/>
                <w:szCs w:val="14"/>
                <w:color w:val="auto"/>
              </w:rPr>
              <w:t>Mr. Byrne ran global leveraged finance at Merrill Lynch &amp; Co. He served in many capacities at Deutsche Bank, including global head of</w:t>
            </w:r>
          </w:p>
        </w:tc>
      </w:tr>
      <w:tr>
        <w:trPr>
          <w:trHeight w:val="160"/>
        </w:trPr>
        <w:tc>
          <w:tcPr>
            <w:tcW w:w="2220" w:type="dxa"/>
            <w:vAlign w:val="bottom"/>
          </w:tcPr>
          <w:p>
            <w:pPr>
              <w:spacing w:after="0"/>
              <w:rPr>
                <w:sz w:val="13"/>
                <w:szCs w:val="13"/>
                <w:color w:val="auto"/>
              </w:rPr>
            </w:pPr>
          </w:p>
        </w:tc>
        <w:tc>
          <w:tcPr>
            <w:tcW w:w="8700" w:type="dxa"/>
            <w:vAlign w:val="bottom"/>
          </w:tcPr>
          <w:p>
            <w:pPr>
              <w:ind w:left="120"/>
              <w:spacing w:after="0"/>
              <w:rPr>
                <w:sz w:val="20"/>
                <w:szCs w:val="20"/>
                <w:color w:val="auto"/>
              </w:rPr>
            </w:pPr>
            <w:r>
              <w:rPr>
                <w:rFonts w:ascii="Arial" w:cs="Arial" w:eastAsia="Arial" w:hAnsi="Arial"/>
                <w:sz w:val="14"/>
                <w:szCs w:val="14"/>
                <w:color w:val="auto"/>
              </w:rPr>
              <w:t>capital markets, and ultimately, chief executive officer of Deutsche Bank Securities until 2013. He has been the president of Benefit</w:t>
            </w:r>
          </w:p>
        </w:tc>
      </w:tr>
      <w:tr>
        <w:trPr>
          <w:trHeight w:val="193"/>
        </w:trPr>
        <w:tc>
          <w:tcPr>
            <w:tcW w:w="2220" w:type="dxa"/>
            <w:vAlign w:val="bottom"/>
          </w:tcPr>
          <w:p>
            <w:pPr>
              <w:spacing w:after="0"/>
              <w:rPr>
                <w:sz w:val="16"/>
                <w:szCs w:val="16"/>
                <w:color w:val="auto"/>
              </w:rPr>
            </w:pPr>
          </w:p>
        </w:tc>
        <w:tc>
          <w:tcPr>
            <w:tcW w:w="8700" w:type="dxa"/>
            <w:vAlign w:val="bottom"/>
          </w:tcPr>
          <w:p>
            <w:pPr>
              <w:ind w:left="120"/>
              <w:spacing w:after="0"/>
              <w:rPr>
                <w:sz w:val="20"/>
                <w:szCs w:val="20"/>
                <w:color w:val="auto"/>
              </w:rPr>
            </w:pPr>
            <w:r>
              <w:rPr>
                <w:rFonts w:ascii="Arial" w:cs="Arial" w:eastAsia="Arial" w:hAnsi="Arial"/>
                <w:sz w:val="14"/>
                <w:szCs w:val="14"/>
                <w:color w:val="auto"/>
              </w:rPr>
              <w:t>Street Partners, LLC, an alternative asset management firm, since 2013.</w:t>
            </w:r>
          </w:p>
        </w:tc>
      </w:tr>
      <w:tr>
        <w:trPr>
          <w:trHeight w:val="222"/>
        </w:trPr>
        <w:tc>
          <w:tcPr>
            <w:tcW w:w="2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Real Estate &amp; Project</w:t>
            </w: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Franklin BSP Realty Trust, Inc., where Mr. Byrne is CEO and Chair of the Board, is a real estate investment trust that originates,</w:t>
            </w:r>
          </w:p>
        </w:tc>
      </w:tr>
      <w:tr>
        <w:trPr>
          <w:trHeight w:val="197"/>
        </w:trPr>
        <w:tc>
          <w:tcPr>
            <w:tcW w:w="2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Construction</w:t>
            </w: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acquires and manages a diversified portfolio of commercial real estate debt secured by properties located in the United States.</w:t>
            </w:r>
          </w:p>
        </w:tc>
      </w:tr>
      <w:tr>
        <w:trPr>
          <w:trHeight w:val="294"/>
        </w:trPr>
        <w:tc>
          <w:tcPr>
            <w:tcW w:w="2220" w:type="dxa"/>
            <w:vAlign w:val="bottom"/>
          </w:tcPr>
          <w:p>
            <w:pPr>
              <w:spacing w:after="0"/>
              <w:rPr>
                <w:sz w:val="20"/>
                <w:szCs w:val="20"/>
                <w:color w:val="auto"/>
              </w:rPr>
            </w:pPr>
            <w:r>
              <w:rPr>
                <w:rFonts w:ascii="Arial" w:cs="Arial" w:eastAsia="Arial" w:hAnsi="Arial"/>
                <w:sz w:val="12"/>
                <w:szCs w:val="12"/>
                <w:color w:val="351B3D"/>
              </w:rPr>
              <w:t>8</w:t>
            </w:r>
          </w:p>
        </w:tc>
        <w:tc>
          <w:tcPr>
            <w:tcW w:w="8700" w:type="dxa"/>
            <w:vAlign w:val="bottom"/>
          </w:tcPr>
          <w:p>
            <w:pPr>
              <w:spacing w:after="0"/>
              <w:rPr>
                <w:sz w:val="24"/>
                <w:szCs w:val="24"/>
                <w:color w:val="auto"/>
              </w:rPr>
            </w:pPr>
          </w:p>
        </w:tc>
      </w:tr>
    </w:tbl>
    <w:p>
      <w:pPr>
        <w:sectPr>
          <w:pgSz w:w="11900" w:h="16838" w:orient="portrait"/>
          <w:cols w:equalWidth="0" w:num="1">
            <w:col w:w="11080"/>
          </w:cols>
          <w:pgMar w:left="320" w:top="478" w:right="4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32"/>
          <w:szCs w:val="32"/>
          <w:color w:val="auto"/>
        </w:rPr>
        <w:t xml:space="preserve">Paul Liu </w:t>
      </w:r>
      <w:r>
        <w:rPr>
          <w:rFonts w:ascii="Times New Roman" w:cs="Times New Roman" w:eastAsia="Times New Roman" w:hAnsi="Times New Roman"/>
          <w:sz w:val="14"/>
          <w:szCs w:val="14"/>
          <w:i w:val="1"/>
          <w:iCs w:val="1"/>
          <w:color w:val="351B3D"/>
        </w:rPr>
        <w:t>Former Partner, Egon Zehnder, AG</w:t>
      </w:r>
    </w:p>
    <w:p>
      <w:pPr>
        <w:spacing w:after="0" w:line="239" w:lineRule="exact"/>
        <w:rPr>
          <w:sz w:val="20"/>
          <w:szCs w:val="20"/>
          <w:color w:val="auto"/>
        </w:rPr>
      </w:pPr>
    </w:p>
    <w:p>
      <w:pPr>
        <w:ind w:left="160" w:right="460"/>
        <w:spacing w:after="0" w:line="260" w:lineRule="auto"/>
        <w:rPr>
          <w:sz w:val="20"/>
          <w:szCs w:val="20"/>
          <w:color w:val="auto"/>
        </w:rPr>
      </w:pPr>
      <w:r>
        <w:rPr>
          <w:rFonts w:ascii="Arial" w:cs="Arial" w:eastAsia="Arial" w:hAnsi="Arial"/>
          <w:sz w:val="14"/>
          <w:szCs w:val="14"/>
          <w:color w:val="auto"/>
        </w:rPr>
        <w:t>Mr. Liu has significant professional experience in hospitality, entertainment, and financial services both in China and the Asia Pacific region, most recently serving as a Partner at Egon Zehnder, AG where he led the Services Practice in the Asia Pacific region with a focus on hotels and hospitality, serving multinational and Chinese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132080</wp:posOffset>
            </wp:positionV>
            <wp:extent cx="1986915" cy="15030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86915" cy="15030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60" w:type="dxa"/>
        <w:tblCellMar>
          <w:top w:w="0" w:type="dxa"/>
          <w:left w:w="0" w:type="dxa"/>
          <w:bottom w:w="0" w:type="dxa"/>
          <w:right w:w="0" w:type="dxa"/>
        </w:tblCellMar>
      </w:tblPr>
      <w:tr>
        <w:trPr>
          <w:trHeight w:val="540"/>
        </w:trPr>
        <w:tc>
          <w:tcPr>
            <w:tcW w:w="140" w:type="dxa"/>
            <w:vAlign w:val="bottom"/>
            <w:tcBorders>
              <w:bottom w:val="single" w:sz="8" w:color="F9F9EA"/>
            </w:tcBorders>
            <w:shd w:val="clear" w:color="auto" w:fill="F9F9EA"/>
          </w:tcPr>
          <w:p>
            <w:pPr>
              <w:spacing w:after="0"/>
              <w:rPr>
                <w:sz w:val="20"/>
                <w:szCs w:val="20"/>
                <w:color w:val="auto"/>
              </w:rPr>
            </w:pPr>
            <w:r>
              <w:rPr>
                <w:rFonts w:ascii="Arial" w:cs="Arial" w:eastAsia="Arial" w:hAnsi="Arial"/>
                <w:sz w:val="16"/>
                <w:szCs w:val="16"/>
                <w:color w:val="auto"/>
              </w:rPr>
              <w:t xml:space="preserve">   </w:t>
            </w:r>
          </w:p>
        </w:tc>
        <w:tc>
          <w:tcPr>
            <w:tcW w:w="1360" w:type="dxa"/>
            <w:vAlign w:val="bottom"/>
            <w:tcBorders>
              <w:bottom w:val="single" w:sz="8" w:color="F9F9EA"/>
            </w:tcBorders>
            <w:shd w:val="clear" w:color="auto" w:fill="F9F9EA"/>
          </w:tcPr>
          <w:p>
            <w:pPr>
              <w:ind w:left="60"/>
              <w:spacing w:after="0"/>
              <w:rPr>
                <w:sz w:val="20"/>
                <w:szCs w:val="20"/>
                <w:color w:val="auto"/>
              </w:rPr>
            </w:pPr>
            <w:r>
              <w:rPr>
                <w:rFonts w:ascii="Arial" w:cs="Arial" w:eastAsia="Arial" w:hAnsi="Arial"/>
                <w:sz w:val="12"/>
                <w:szCs w:val="12"/>
                <w:color w:val="351B3D"/>
              </w:rPr>
              <w:t>Director Since</w:t>
            </w:r>
          </w:p>
        </w:tc>
        <w:tc>
          <w:tcPr>
            <w:tcW w:w="1520" w:type="dxa"/>
            <w:vAlign w:val="bottom"/>
            <w:tcBorders>
              <w:bottom w:val="single" w:sz="8" w:color="F9F9EA"/>
            </w:tcBorders>
            <w:shd w:val="clear" w:color="auto" w:fill="F9F9EA"/>
          </w:tcPr>
          <w:p>
            <w:pPr>
              <w:ind w:left="40"/>
              <w:spacing w:after="0"/>
              <w:rPr>
                <w:sz w:val="20"/>
                <w:szCs w:val="20"/>
                <w:color w:val="auto"/>
              </w:rPr>
            </w:pPr>
            <w:r>
              <w:rPr>
                <w:rFonts w:ascii="Arial" w:cs="Arial" w:eastAsia="Arial" w:hAnsi="Arial"/>
                <w:sz w:val="12"/>
                <w:szCs w:val="12"/>
                <w:color w:val="351B3D"/>
              </w:rPr>
              <w:t>August 2023</w:t>
            </w:r>
          </w:p>
        </w:tc>
        <w:tc>
          <w:tcPr>
            <w:tcW w:w="140" w:type="dxa"/>
            <w:vAlign w:val="bottom"/>
            <w:tcBorders>
              <w:bottom w:val="single" w:sz="8" w:color="F9F9EA"/>
            </w:tcBorders>
            <w:shd w:val="clear" w:color="auto" w:fill="F9F9EA"/>
          </w:tcPr>
          <w:p>
            <w:pPr>
              <w:ind w:left="100"/>
              <w:spacing w:after="0"/>
              <w:rPr>
                <w:sz w:val="20"/>
                <w:szCs w:val="20"/>
                <w:color w:val="auto"/>
              </w:rPr>
            </w:pPr>
            <w:r>
              <w:rPr>
                <w:rFonts w:ascii="Arial" w:cs="Arial" w:eastAsia="Arial" w:hAnsi="Arial"/>
                <w:sz w:val="11"/>
                <w:szCs w:val="11"/>
                <w:color w:val="auto"/>
                <w:w w:val="70"/>
              </w:rPr>
              <w:t> </w:t>
            </w:r>
          </w:p>
        </w:tc>
      </w:tr>
      <w:tr>
        <w:trPr>
          <w:trHeight w:val="368"/>
        </w:trPr>
        <w:tc>
          <w:tcPr>
            <w:tcW w:w="140" w:type="dxa"/>
            <w:vAlign w:val="bottom"/>
            <w:tcBorders>
              <w:top w:val="single" w:sz="8" w:color="F9F9EA"/>
            </w:tcBorders>
            <w:shd w:val="clear" w:color="auto" w:fill="F9F9EA"/>
          </w:tcPr>
          <w:p>
            <w:pPr>
              <w:spacing w:after="0"/>
              <w:rPr>
                <w:sz w:val="24"/>
                <w:szCs w:val="24"/>
                <w:color w:val="auto"/>
              </w:rPr>
            </w:pPr>
          </w:p>
        </w:tc>
        <w:tc>
          <w:tcPr>
            <w:tcW w:w="1360" w:type="dxa"/>
            <w:vAlign w:val="bottom"/>
            <w:tcBorders>
              <w:top w:val="single" w:sz="8" w:color="auto"/>
            </w:tcBorders>
            <w:shd w:val="clear" w:color="auto" w:fill="F9F9EA"/>
          </w:tcPr>
          <w:p>
            <w:pPr>
              <w:ind w:left="60"/>
              <w:spacing w:after="0"/>
              <w:rPr>
                <w:sz w:val="20"/>
                <w:szCs w:val="20"/>
                <w:color w:val="auto"/>
              </w:rPr>
            </w:pPr>
            <w:r>
              <w:rPr>
                <w:rFonts w:ascii="Arial" w:cs="Arial" w:eastAsia="Arial" w:hAnsi="Arial"/>
                <w:sz w:val="12"/>
                <w:szCs w:val="12"/>
                <w:color w:val="351B3D"/>
              </w:rPr>
              <w:t>Term Expires</w:t>
            </w:r>
          </w:p>
        </w:tc>
        <w:tc>
          <w:tcPr>
            <w:tcW w:w="1520" w:type="dxa"/>
            <w:vAlign w:val="bottom"/>
            <w:tcBorders>
              <w:top w:val="single" w:sz="8" w:color="auto"/>
            </w:tcBorders>
            <w:shd w:val="clear" w:color="auto" w:fill="F9F9EA"/>
          </w:tcPr>
          <w:p>
            <w:pPr>
              <w:ind w:left="40"/>
              <w:spacing w:after="0"/>
              <w:rPr>
                <w:sz w:val="20"/>
                <w:szCs w:val="20"/>
                <w:color w:val="auto"/>
              </w:rPr>
            </w:pPr>
            <w:r>
              <w:rPr>
                <w:rFonts w:ascii="Arial" w:cs="Arial" w:eastAsia="Arial" w:hAnsi="Arial"/>
                <w:sz w:val="12"/>
                <w:szCs w:val="12"/>
                <w:color w:val="351B3D"/>
              </w:rPr>
              <w:t>2027 Annual Meeting</w:t>
            </w:r>
          </w:p>
        </w:tc>
        <w:tc>
          <w:tcPr>
            <w:tcW w:w="140" w:type="dxa"/>
            <w:vAlign w:val="bottom"/>
            <w:tcBorders>
              <w:top w:val="single" w:sz="8" w:color="F9F9EA"/>
            </w:tcBorders>
            <w:shd w:val="clear" w:color="auto" w:fill="F9F9EA"/>
          </w:tcPr>
          <w:p>
            <w:pPr>
              <w:spacing w:after="0"/>
              <w:rPr>
                <w:sz w:val="24"/>
                <w:szCs w:val="24"/>
                <w:color w:val="auto"/>
              </w:rPr>
            </w:pPr>
          </w:p>
        </w:tc>
      </w:tr>
      <w:tr>
        <w:trPr>
          <w:trHeight w:val="161"/>
        </w:trPr>
        <w:tc>
          <w:tcPr>
            <w:tcW w:w="140" w:type="dxa"/>
            <w:vAlign w:val="bottom"/>
            <w:tcBorders>
              <w:bottom w:val="single" w:sz="8" w:color="F9F9EA"/>
            </w:tcBorders>
            <w:shd w:val="clear" w:color="auto" w:fill="F9F9EA"/>
          </w:tcPr>
          <w:p>
            <w:pPr>
              <w:spacing w:after="0"/>
              <w:rPr>
                <w:sz w:val="13"/>
                <w:szCs w:val="13"/>
                <w:color w:val="auto"/>
              </w:rPr>
            </w:pPr>
          </w:p>
        </w:tc>
        <w:tc>
          <w:tcPr>
            <w:tcW w:w="1360" w:type="dxa"/>
            <w:vAlign w:val="bottom"/>
            <w:tcBorders>
              <w:bottom w:val="single" w:sz="8" w:color="auto"/>
            </w:tcBorders>
            <w:shd w:val="clear" w:color="auto" w:fill="F9F9EA"/>
          </w:tcPr>
          <w:p>
            <w:pPr>
              <w:spacing w:after="0"/>
              <w:rPr>
                <w:sz w:val="13"/>
                <w:szCs w:val="13"/>
                <w:color w:val="auto"/>
              </w:rPr>
            </w:pPr>
          </w:p>
        </w:tc>
        <w:tc>
          <w:tcPr>
            <w:tcW w:w="1520" w:type="dxa"/>
            <w:vAlign w:val="bottom"/>
            <w:tcBorders>
              <w:bottom w:val="single" w:sz="8" w:color="auto"/>
            </w:tcBorders>
            <w:shd w:val="clear" w:color="auto" w:fill="F9F9EA"/>
          </w:tcPr>
          <w:p>
            <w:pPr>
              <w:spacing w:after="0"/>
              <w:rPr>
                <w:sz w:val="13"/>
                <w:szCs w:val="13"/>
                <w:color w:val="auto"/>
              </w:rPr>
            </w:pPr>
          </w:p>
        </w:tc>
        <w:tc>
          <w:tcPr>
            <w:tcW w:w="140" w:type="dxa"/>
            <w:vAlign w:val="bottom"/>
            <w:tcBorders>
              <w:bottom w:val="single" w:sz="8" w:color="F9F9EA"/>
            </w:tcBorders>
            <w:shd w:val="clear" w:color="auto" w:fill="F9F9EA"/>
          </w:tcPr>
          <w:p>
            <w:pPr>
              <w:spacing w:after="0"/>
              <w:rPr>
                <w:sz w:val="13"/>
                <w:szCs w:val="13"/>
                <w:color w:val="auto"/>
              </w:rPr>
            </w:pPr>
          </w:p>
        </w:tc>
      </w:tr>
      <w:tr>
        <w:trPr>
          <w:trHeight w:val="368"/>
        </w:trPr>
        <w:tc>
          <w:tcPr>
            <w:tcW w:w="140" w:type="dxa"/>
            <w:vAlign w:val="bottom"/>
            <w:shd w:val="clear" w:color="auto" w:fill="F9F9EA"/>
          </w:tcPr>
          <w:p>
            <w:pPr>
              <w:spacing w:after="0"/>
              <w:rPr>
                <w:sz w:val="24"/>
                <w:szCs w:val="24"/>
                <w:color w:val="auto"/>
              </w:rPr>
            </w:pPr>
          </w:p>
        </w:tc>
        <w:tc>
          <w:tcPr>
            <w:tcW w:w="136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Age</w:t>
            </w:r>
          </w:p>
        </w:tc>
        <w:tc>
          <w:tcPr>
            <w:tcW w:w="1520" w:type="dxa"/>
            <w:vAlign w:val="bottom"/>
            <w:shd w:val="clear" w:color="auto" w:fill="F9F9EA"/>
          </w:tcPr>
          <w:p>
            <w:pPr>
              <w:ind w:left="40"/>
              <w:spacing w:after="0"/>
              <w:rPr>
                <w:sz w:val="20"/>
                <w:szCs w:val="20"/>
                <w:color w:val="auto"/>
              </w:rPr>
            </w:pPr>
            <w:r>
              <w:rPr>
                <w:rFonts w:ascii="Arial" w:cs="Arial" w:eastAsia="Arial" w:hAnsi="Arial"/>
                <w:sz w:val="12"/>
                <w:szCs w:val="12"/>
                <w:color w:val="351B3D"/>
              </w:rPr>
              <w:t>65</w:t>
            </w:r>
          </w:p>
        </w:tc>
        <w:tc>
          <w:tcPr>
            <w:tcW w:w="140" w:type="dxa"/>
            <w:vAlign w:val="bottom"/>
            <w:shd w:val="clear" w:color="auto" w:fill="F9F9EA"/>
          </w:tcPr>
          <w:p>
            <w:pPr>
              <w:spacing w:after="0"/>
              <w:rPr>
                <w:sz w:val="24"/>
                <w:szCs w:val="24"/>
                <w:color w:val="auto"/>
              </w:rPr>
            </w:pPr>
          </w:p>
        </w:tc>
      </w:tr>
      <w:tr>
        <w:trPr>
          <w:trHeight w:val="161"/>
        </w:trPr>
        <w:tc>
          <w:tcPr>
            <w:tcW w:w="140" w:type="dxa"/>
            <w:vAlign w:val="bottom"/>
            <w:tcBorders>
              <w:bottom w:val="single" w:sz="8" w:color="F9F9EA"/>
            </w:tcBorders>
            <w:shd w:val="clear" w:color="auto" w:fill="F9F9EA"/>
          </w:tcPr>
          <w:p>
            <w:pPr>
              <w:spacing w:after="0"/>
              <w:rPr>
                <w:sz w:val="13"/>
                <w:szCs w:val="13"/>
                <w:color w:val="auto"/>
              </w:rPr>
            </w:pPr>
          </w:p>
        </w:tc>
        <w:tc>
          <w:tcPr>
            <w:tcW w:w="1360" w:type="dxa"/>
            <w:vAlign w:val="bottom"/>
            <w:tcBorders>
              <w:bottom w:val="single" w:sz="8" w:color="auto"/>
            </w:tcBorders>
            <w:shd w:val="clear" w:color="auto" w:fill="F9F9EA"/>
          </w:tcPr>
          <w:p>
            <w:pPr>
              <w:spacing w:after="0"/>
              <w:rPr>
                <w:sz w:val="13"/>
                <w:szCs w:val="13"/>
                <w:color w:val="auto"/>
              </w:rPr>
            </w:pPr>
          </w:p>
        </w:tc>
        <w:tc>
          <w:tcPr>
            <w:tcW w:w="1520" w:type="dxa"/>
            <w:vAlign w:val="bottom"/>
            <w:tcBorders>
              <w:bottom w:val="single" w:sz="8" w:color="auto"/>
            </w:tcBorders>
            <w:shd w:val="clear" w:color="auto" w:fill="F9F9EA"/>
          </w:tcPr>
          <w:p>
            <w:pPr>
              <w:spacing w:after="0"/>
              <w:rPr>
                <w:sz w:val="13"/>
                <w:szCs w:val="13"/>
                <w:color w:val="auto"/>
              </w:rPr>
            </w:pPr>
          </w:p>
        </w:tc>
        <w:tc>
          <w:tcPr>
            <w:tcW w:w="140" w:type="dxa"/>
            <w:vAlign w:val="bottom"/>
            <w:tcBorders>
              <w:bottom w:val="single" w:sz="8" w:color="F9F9EA"/>
            </w:tcBorders>
            <w:shd w:val="clear" w:color="auto" w:fill="F9F9EA"/>
          </w:tcPr>
          <w:p>
            <w:pPr>
              <w:spacing w:after="0"/>
              <w:rPr>
                <w:sz w:val="13"/>
                <w:szCs w:val="13"/>
                <w:color w:val="auto"/>
              </w:rPr>
            </w:pPr>
          </w:p>
        </w:tc>
      </w:tr>
      <w:tr>
        <w:trPr>
          <w:trHeight w:val="301"/>
        </w:trPr>
        <w:tc>
          <w:tcPr>
            <w:tcW w:w="140" w:type="dxa"/>
            <w:vAlign w:val="bottom"/>
            <w:shd w:val="clear" w:color="auto" w:fill="F9F9EA"/>
          </w:tcPr>
          <w:p>
            <w:pPr>
              <w:spacing w:after="0"/>
              <w:rPr>
                <w:sz w:val="24"/>
                <w:szCs w:val="24"/>
                <w:color w:val="auto"/>
              </w:rPr>
            </w:pPr>
          </w:p>
        </w:tc>
        <w:tc>
          <w:tcPr>
            <w:tcW w:w="136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Board Committees:</w:t>
            </w:r>
          </w:p>
        </w:tc>
        <w:tc>
          <w:tcPr>
            <w:tcW w:w="1520" w:type="dxa"/>
            <w:vAlign w:val="bottom"/>
            <w:shd w:val="clear" w:color="auto" w:fill="F9F9EA"/>
          </w:tcPr>
          <w:p>
            <w:pPr>
              <w:ind w:left="40"/>
              <w:spacing w:after="0"/>
              <w:rPr>
                <w:sz w:val="20"/>
                <w:szCs w:val="20"/>
                <w:color w:val="auto"/>
              </w:rPr>
            </w:pPr>
            <w:r>
              <w:rPr>
                <w:rFonts w:ascii="Arial" w:cs="Arial" w:eastAsia="Arial" w:hAnsi="Arial"/>
                <w:sz w:val="12"/>
                <w:szCs w:val="12"/>
                <w:color w:val="351B3D"/>
              </w:rPr>
              <w:t>Audit</w:t>
            </w:r>
          </w:p>
        </w:tc>
        <w:tc>
          <w:tcPr>
            <w:tcW w:w="140" w:type="dxa"/>
            <w:vAlign w:val="bottom"/>
            <w:shd w:val="clear" w:color="auto" w:fill="F9F9EA"/>
          </w:tcPr>
          <w:p>
            <w:pPr>
              <w:spacing w:after="0"/>
              <w:rPr>
                <w:sz w:val="24"/>
                <w:szCs w:val="24"/>
                <w:color w:val="auto"/>
              </w:rPr>
            </w:pPr>
          </w:p>
        </w:tc>
      </w:tr>
      <w:tr>
        <w:trPr>
          <w:trHeight w:val="120"/>
        </w:trPr>
        <w:tc>
          <w:tcPr>
            <w:tcW w:w="140" w:type="dxa"/>
            <w:vAlign w:val="bottom"/>
            <w:shd w:val="clear" w:color="auto" w:fill="F9F9EA"/>
          </w:tcPr>
          <w:p>
            <w:pPr>
              <w:spacing w:after="0"/>
              <w:rPr>
                <w:sz w:val="10"/>
                <w:szCs w:val="10"/>
                <w:color w:val="auto"/>
              </w:rPr>
            </w:pPr>
          </w:p>
        </w:tc>
        <w:tc>
          <w:tcPr>
            <w:tcW w:w="1360" w:type="dxa"/>
            <w:vAlign w:val="bottom"/>
            <w:shd w:val="clear" w:color="auto" w:fill="F9F9EA"/>
          </w:tcPr>
          <w:p>
            <w:pPr>
              <w:spacing w:after="0"/>
              <w:rPr>
                <w:sz w:val="10"/>
                <w:szCs w:val="10"/>
                <w:color w:val="auto"/>
              </w:rPr>
            </w:pPr>
          </w:p>
        </w:tc>
        <w:tc>
          <w:tcPr>
            <w:tcW w:w="1520" w:type="dxa"/>
            <w:vAlign w:val="bottom"/>
            <w:shd w:val="clear" w:color="auto" w:fill="F9F9EA"/>
          </w:tcPr>
          <w:p>
            <w:pPr>
              <w:spacing w:after="0"/>
              <w:rPr>
                <w:sz w:val="10"/>
                <w:szCs w:val="10"/>
                <w:color w:val="auto"/>
              </w:rPr>
            </w:pPr>
          </w:p>
        </w:tc>
        <w:tc>
          <w:tcPr>
            <w:tcW w:w="140" w:type="dxa"/>
            <w:vAlign w:val="bottom"/>
            <w:shd w:val="clear" w:color="auto" w:fill="F9F9EA"/>
          </w:tcPr>
          <w:p>
            <w:pPr>
              <w:spacing w:after="0"/>
              <w:rPr>
                <w:sz w:val="10"/>
                <w:szCs w:val="10"/>
                <w:color w:val="auto"/>
              </w:rPr>
            </w:pPr>
          </w:p>
        </w:tc>
      </w:tr>
    </w:tbl>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140F21"/>
        </w:rPr>
        <w:t>PREVIOUS EXPERIENCE</w:t>
      </w:r>
    </w:p>
    <w:p>
      <w:pPr>
        <w:spacing w:after="0" w:line="22" w:lineRule="exact"/>
        <w:rPr>
          <w:sz w:val="20"/>
          <w:szCs w:val="20"/>
          <w:color w:val="auto"/>
        </w:rPr>
      </w:pPr>
    </w:p>
    <w:p>
      <w:pPr>
        <w:ind w:right="180"/>
        <w:spacing w:after="0" w:line="348" w:lineRule="auto"/>
        <w:rPr>
          <w:sz w:val="20"/>
          <w:szCs w:val="20"/>
          <w:color w:val="auto"/>
        </w:rPr>
      </w:pPr>
      <w:r>
        <w:rPr>
          <w:rFonts w:ascii="Arial" w:cs="Arial" w:eastAsia="Arial" w:hAnsi="Arial"/>
          <w:sz w:val="14"/>
          <w:szCs w:val="14"/>
          <w:color w:val="auto"/>
        </w:rPr>
        <w:t>–   2011-2023 Consultant / Partner, Egon Zehnder, AG, Services Practice Group for Greater China and Asia Pacific –   2009-2011 Chief Operating Officer, China, Anschutz Entertainment Group (“AEG”)</w:t>
      </w:r>
    </w:p>
    <w:p>
      <w:pPr>
        <w:spacing w:after="0" w:line="1" w:lineRule="exact"/>
        <w:rPr>
          <w:sz w:val="20"/>
          <w:szCs w:val="20"/>
          <w:color w:val="auto"/>
        </w:rPr>
      </w:pPr>
    </w:p>
    <w:p>
      <w:pPr>
        <w:ind w:right="2380"/>
        <w:spacing w:after="0" w:line="400" w:lineRule="auto"/>
        <w:rPr>
          <w:sz w:val="20"/>
          <w:szCs w:val="20"/>
          <w:color w:val="auto"/>
        </w:rPr>
      </w:pPr>
      <w:r>
        <w:rPr>
          <w:rFonts w:ascii="Arial" w:cs="Arial" w:eastAsia="Arial" w:hAnsi="Arial"/>
          <w:sz w:val="14"/>
          <w:szCs w:val="14"/>
          <w:color w:val="auto"/>
        </w:rPr>
        <w:t>–   2000-2007 Executive Director and Chief Financial Officer, Three on the Bund –   Previous roles with multinational investment banks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140F21"/>
        </w:rPr>
        <w:t>EDUCATION</w:t>
      </w:r>
    </w:p>
    <w:p>
      <w:pPr>
        <w:spacing w:after="0" w:line="22" w:lineRule="exact"/>
        <w:rPr>
          <w:sz w:val="20"/>
          <w:szCs w:val="20"/>
          <w:color w:val="auto"/>
        </w:rPr>
      </w:pPr>
    </w:p>
    <w:p>
      <w:pPr>
        <w:ind w:right="220"/>
        <w:spacing w:after="0" w:line="260" w:lineRule="auto"/>
        <w:rPr>
          <w:sz w:val="20"/>
          <w:szCs w:val="20"/>
          <w:color w:val="auto"/>
        </w:rPr>
      </w:pPr>
      <w:r>
        <w:rPr>
          <w:rFonts w:ascii="Arial" w:cs="Arial" w:eastAsia="Arial" w:hAnsi="Arial"/>
          <w:sz w:val="14"/>
          <w:szCs w:val="14"/>
          <w:color w:val="auto"/>
        </w:rPr>
        <w:t>Mr. Liu graduated with a B.A. in 1983, from the University of Michigan, and an M.A. from Johns Hopkins University School of Advanced International Studies in 1986.</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140F21"/>
        </w:rPr>
        <w:t>EXPERTISE</w:t>
      </w:r>
    </w:p>
    <w:p>
      <w:pPr>
        <w:spacing w:after="0" w:line="22" w:lineRule="exact"/>
        <w:rPr>
          <w:sz w:val="20"/>
          <w:szCs w:val="20"/>
          <w:color w:val="auto"/>
        </w:rPr>
      </w:pPr>
    </w:p>
    <w:p>
      <w:pPr>
        <w:ind w:right="80"/>
        <w:spacing w:after="0" w:line="246" w:lineRule="auto"/>
        <w:rPr>
          <w:sz w:val="20"/>
          <w:szCs w:val="20"/>
          <w:color w:val="auto"/>
        </w:rPr>
      </w:pPr>
      <w:r>
        <w:rPr>
          <w:rFonts w:ascii="Arial" w:cs="Arial" w:eastAsia="Arial" w:hAnsi="Arial"/>
          <w:sz w:val="14"/>
          <w:szCs w:val="14"/>
          <w:color w:val="auto"/>
        </w:rPr>
        <w:t>Mr. Liu has significant professional experience in hospitality, entertainment, financial services, as well as talent management and appraisal, both in China and the Asia Pacific region. Most recently he served as a Partner at Egon Zehnder AG where he led the Services Practice in the Asia Pacific region with a focus on hotels and hospitality, serving multinational and Chinese companies.</w:t>
      </w:r>
    </w:p>
    <w:p>
      <w:pPr>
        <w:spacing w:after="0" w:line="1568" w:lineRule="exact"/>
        <w:rPr>
          <w:sz w:val="20"/>
          <w:szCs w:val="20"/>
          <w:color w:val="auto"/>
        </w:rPr>
      </w:pPr>
    </w:p>
    <w:p>
      <w:pPr>
        <w:sectPr>
          <w:pgSz w:w="11900" w:h="16838" w:orient="portrait"/>
          <w:cols w:equalWidth="0" w:num="2">
            <w:col w:w="3320" w:space="360"/>
            <w:col w:w="7400"/>
          </w:cols>
          <w:pgMar w:left="320" w:top="478" w:right="499" w:bottom="1440" w:gutter="0" w:footer="0" w:header="0"/>
          <w:type w:val="continuous"/>
        </w:sectPr>
      </w:pPr>
    </w:p>
    <w:p>
      <w:pPr>
        <w:ind w:left="160"/>
        <w:spacing w:after="0"/>
        <w:rPr>
          <w:sz w:val="20"/>
          <w:szCs w:val="20"/>
          <w:color w:val="auto"/>
        </w:rPr>
      </w:pPr>
      <w:r>
        <w:rPr>
          <w:rFonts w:ascii="Arial" w:cs="Arial" w:eastAsia="Arial" w:hAnsi="Arial"/>
          <w:sz w:val="16"/>
          <w:szCs w:val="16"/>
          <w:color w:val="140F21"/>
        </w:rPr>
        <w:t>SKILLS AND QUALIFICATIONS</w:t>
      </w:r>
    </w:p>
    <w:p>
      <w:pPr>
        <w:spacing w:after="0" w:line="138" w:lineRule="exact"/>
        <w:rPr>
          <w:sz w:val="20"/>
          <w:szCs w:val="20"/>
          <w:color w:val="auto"/>
        </w:rPr>
      </w:pPr>
    </w:p>
    <w:tbl>
      <w:tblPr>
        <w:tblLayout w:type="fixed"/>
        <w:tblInd w:w="160" w:type="dxa"/>
        <w:tblCellMar>
          <w:top w:w="0" w:type="dxa"/>
          <w:left w:w="0" w:type="dxa"/>
          <w:bottom w:w="0" w:type="dxa"/>
          <w:right w:w="0" w:type="dxa"/>
        </w:tblCellMar>
      </w:tblPr>
      <w:tr>
        <w:trPr>
          <w:trHeight w:val="285"/>
        </w:trPr>
        <w:tc>
          <w:tcPr>
            <w:tcW w:w="2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Finance &amp; Accounting</w:t>
            </w: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Mr. Liu was in banking for 14 years based in New York and Hong Kong, serving in corporate finance, asset management and capital</w:t>
            </w:r>
          </w:p>
        </w:tc>
      </w:tr>
      <w:tr>
        <w:trPr>
          <w:trHeight w:val="189"/>
        </w:trPr>
        <w:tc>
          <w:tcPr>
            <w:tcW w:w="2220" w:type="dxa"/>
            <w:vAlign w:val="bottom"/>
            <w:shd w:val="clear" w:color="auto" w:fill="D6D1D8"/>
          </w:tcPr>
          <w:p>
            <w:pPr>
              <w:spacing w:after="0"/>
              <w:rPr>
                <w:sz w:val="16"/>
                <w:szCs w:val="16"/>
                <w:color w:val="auto"/>
              </w:rPr>
            </w:pP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markets roles.</w:t>
            </w:r>
          </w:p>
        </w:tc>
      </w:tr>
      <w:tr>
        <w:trPr>
          <w:trHeight w:val="252"/>
        </w:trPr>
        <w:tc>
          <w:tcPr>
            <w:tcW w:w="2220" w:type="dxa"/>
            <w:vAlign w:val="bottom"/>
            <w:shd w:val="clear" w:color="auto" w:fill="D6D1D8"/>
          </w:tcPr>
          <w:p>
            <w:pPr>
              <w:spacing w:after="0"/>
              <w:rPr>
                <w:sz w:val="21"/>
                <w:szCs w:val="21"/>
                <w:color w:val="auto"/>
              </w:rPr>
            </w:pP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Mr. Liu has served previously as Chief Financial Officer for Three on the Bund, an iconic Shanghai destination, and as Chief Operating</w:t>
            </w:r>
          </w:p>
        </w:tc>
      </w:tr>
      <w:tr>
        <w:trPr>
          <w:trHeight w:val="189"/>
        </w:trPr>
        <w:tc>
          <w:tcPr>
            <w:tcW w:w="2220" w:type="dxa"/>
            <w:vAlign w:val="bottom"/>
            <w:shd w:val="clear" w:color="auto" w:fill="D6D1D8"/>
          </w:tcPr>
          <w:p>
            <w:pPr>
              <w:spacing w:after="0"/>
              <w:rPr>
                <w:sz w:val="16"/>
                <w:szCs w:val="16"/>
                <w:color w:val="auto"/>
              </w:rPr>
            </w:pP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Officer, China for AEG, which included responsibility for finance.</w:t>
            </w:r>
          </w:p>
        </w:tc>
      </w:tr>
      <w:tr>
        <w:trPr>
          <w:trHeight w:val="101"/>
        </w:trPr>
        <w:tc>
          <w:tcPr>
            <w:tcW w:w="2220" w:type="dxa"/>
            <w:vAlign w:val="bottom"/>
            <w:shd w:val="clear" w:color="auto" w:fill="D6D1D8"/>
          </w:tcPr>
          <w:p>
            <w:pPr>
              <w:spacing w:after="0"/>
              <w:rPr>
                <w:sz w:val="8"/>
                <w:szCs w:val="8"/>
                <w:color w:val="auto"/>
              </w:rPr>
            </w:pPr>
          </w:p>
        </w:tc>
        <w:tc>
          <w:tcPr>
            <w:tcW w:w="8700" w:type="dxa"/>
            <w:vAlign w:val="bottom"/>
            <w:shd w:val="clear" w:color="auto" w:fill="D6D1D8"/>
          </w:tcPr>
          <w:p>
            <w:pPr>
              <w:spacing w:after="0"/>
              <w:rPr>
                <w:sz w:val="8"/>
                <w:szCs w:val="8"/>
                <w:color w:val="auto"/>
              </w:rPr>
            </w:pPr>
          </w:p>
        </w:tc>
      </w:tr>
      <w:tr>
        <w:trPr>
          <w:trHeight w:val="285"/>
        </w:trPr>
        <w:tc>
          <w:tcPr>
            <w:tcW w:w="2220" w:type="dxa"/>
            <w:vAlign w:val="bottom"/>
          </w:tcPr>
          <w:p>
            <w:pPr>
              <w:ind w:left="80"/>
              <w:spacing w:after="0"/>
              <w:rPr>
                <w:sz w:val="20"/>
                <w:szCs w:val="20"/>
                <w:color w:val="auto"/>
              </w:rPr>
            </w:pPr>
            <w:r>
              <w:rPr>
                <w:rFonts w:ascii="Arial" w:cs="Arial" w:eastAsia="Arial" w:hAnsi="Arial"/>
                <w:sz w:val="14"/>
                <w:szCs w:val="14"/>
                <w:color w:val="auto"/>
              </w:rPr>
              <w:t>Real Estate &amp; Project</w:t>
            </w:r>
          </w:p>
        </w:tc>
        <w:tc>
          <w:tcPr>
            <w:tcW w:w="8700" w:type="dxa"/>
            <w:vAlign w:val="bottom"/>
          </w:tcPr>
          <w:p>
            <w:pPr>
              <w:ind w:left="120"/>
              <w:spacing w:after="0"/>
              <w:rPr>
                <w:sz w:val="20"/>
                <w:szCs w:val="20"/>
                <w:color w:val="auto"/>
              </w:rPr>
            </w:pPr>
            <w:r>
              <w:rPr>
                <w:rFonts w:ascii="Arial" w:cs="Arial" w:eastAsia="Arial" w:hAnsi="Arial"/>
                <w:sz w:val="14"/>
                <w:szCs w:val="14"/>
                <w:color w:val="auto"/>
              </w:rPr>
              <w:t>Mr. Liu has overseen several hospitality and lifestyle-related construction projects and negotiated luxury retail partnerships.</w:t>
            </w:r>
          </w:p>
        </w:tc>
      </w:tr>
      <w:tr>
        <w:trPr>
          <w:trHeight w:val="189"/>
        </w:trPr>
        <w:tc>
          <w:tcPr>
            <w:tcW w:w="2220" w:type="dxa"/>
            <w:vAlign w:val="bottom"/>
          </w:tcPr>
          <w:p>
            <w:pPr>
              <w:ind w:left="80"/>
              <w:spacing w:after="0"/>
              <w:rPr>
                <w:sz w:val="20"/>
                <w:szCs w:val="20"/>
                <w:color w:val="auto"/>
              </w:rPr>
            </w:pPr>
            <w:r>
              <w:rPr>
                <w:rFonts w:ascii="Arial" w:cs="Arial" w:eastAsia="Arial" w:hAnsi="Arial"/>
                <w:sz w:val="14"/>
                <w:szCs w:val="14"/>
                <w:color w:val="auto"/>
              </w:rPr>
              <w:t>Construction</w:t>
            </w:r>
          </w:p>
        </w:tc>
        <w:tc>
          <w:tcPr>
            <w:tcW w:w="8700" w:type="dxa"/>
            <w:vAlign w:val="bottom"/>
          </w:tcPr>
          <w:p>
            <w:pPr>
              <w:spacing w:after="0"/>
              <w:rPr>
                <w:sz w:val="16"/>
                <w:szCs w:val="16"/>
                <w:color w:val="auto"/>
              </w:rPr>
            </w:pPr>
          </w:p>
        </w:tc>
      </w:tr>
      <w:tr>
        <w:trPr>
          <w:trHeight w:val="88"/>
        </w:trPr>
        <w:tc>
          <w:tcPr>
            <w:tcW w:w="2220" w:type="dxa"/>
            <w:vAlign w:val="bottom"/>
          </w:tcPr>
          <w:p>
            <w:pPr>
              <w:spacing w:after="0"/>
              <w:rPr>
                <w:sz w:val="7"/>
                <w:szCs w:val="7"/>
                <w:color w:val="auto"/>
              </w:rPr>
            </w:pPr>
          </w:p>
        </w:tc>
        <w:tc>
          <w:tcPr>
            <w:tcW w:w="8700" w:type="dxa"/>
            <w:vAlign w:val="bottom"/>
          </w:tcPr>
          <w:p>
            <w:pPr>
              <w:spacing w:after="0"/>
              <w:rPr>
                <w:sz w:val="7"/>
                <w:szCs w:val="7"/>
                <w:color w:val="auto"/>
              </w:rPr>
            </w:pPr>
          </w:p>
        </w:tc>
      </w:tr>
      <w:tr>
        <w:trPr>
          <w:trHeight w:val="285"/>
        </w:trPr>
        <w:tc>
          <w:tcPr>
            <w:tcW w:w="2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Travel, Leisure, Hospitality &amp;</w:t>
            </w: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Mr. Liu was a founder of Three on the Bund, an iconic lifestyle development on the Shanghai Bund. He also managed the build-out of</w:t>
            </w:r>
          </w:p>
        </w:tc>
      </w:tr>
      <w:tr>
        <w:trPr>
          <w:trHeight w:val="160"/>
        </w:trPr>
        <w:tc>
          <w:tcPr>
            <w:tcW w:w="2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Entertainment</w:t>
            </w: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the AEG China operations during the design and construction of the Shanghai World Expo Performing Arts Center (now the</w:t>
            </w:r>
          </w:p>
        </w:tc>
      </w:tr>
      <w:tr>
        <w:trPr>
          <w:trHeight w:val="189"/>
        </w:trPr>
        <w:tc>
          <w:tcPr>
            <w:tcW w:w="2220" w:type="dxa"/>
            <w:vAlign w:val="bottom"/>
            <w:shd w:val="clear" w:color="auto" w:fill="D6D1D8"/>
          </w:tcPr>
          <w:p>
            <w:pPr>
              <w:spacing w:after="0"/>
              <w:rPr>
                <w:sz w:val="16"/>
                <w:szCs w:val="16"/>
                <w:color w:val="auto"/>
              </w:rPr>
            </w:pP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Mercedes-Benz arena).</w:t>
            </w:r>
          </w:p>
        </w:tc>
      </w:tr>
      <w:tr>
        <w:trPr>
          <w:trHeight w:val="88"/>
        </w:trPr>
        <w:tc>
          <w:tcPr>
            <w:tcW w:w="2220" w:type="dxa"/>
            <w:vAlign w:val="bottom"/>
            <w:shd w:val="clear" w:color="auto" w:fill="D6D1D8"/>
          </w:tcPr>
          <w:p>
            <w:pPr>
              <w:spacing w:after="0"/>
              <w:rPr>
                <w:sz w:val="7"/>
                <w:szCs w:val="7"/>
                <w:color w:val="auto"/>
              </w:rPr>
            </w:pPr>
          </w:p>
        </w:tc>
        <w:tc>
          <w:tcPr>
            <w:tcW w:w="8700" w:type="dxa"/>
            <w:vAlign w:val="bottom"/>
            <w:shd w:val="clear" w:color="auto" w:fill="D6D1D8"/>
          </w:tcPr>
          <w:p>
            <w:pPr>
              <w:spacing w:after="0"/>
              <w:rPr>
                <w:sz w:val="7"/>
                <w:szCs w:val="7"/>
                <w:color w:val="auto"/>
              </w:rPr>
            </w:pPr>
          </w:p>
        </w:tc>
      </w:tr>
    </w:tbl>
    <w:p>
      <w:pPr>
        <w:spacing w:after="0" w:line="12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080"/>
          </w:cols>
          <w:pgMar w:left="320" w:top="478" w:right="4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0" w:right="20"/>
        <w:spacing w:after="0" w:line="293" w:lineRule="auto"/>
        <w:rPr>
          <w:sz w:val="20"/>
          <w:szCs w:val="20"/>
          <w:color w:val="auto"/>
        </w:rPr>
      </w:pPr>
      <w:r>
        <w:rPr>
          <w:rFonts w:ascii="Times New Roman" w:cs="Times New Roman" w:eastAsia="Times New Roman" w:hAnsi="Times New Roman"/>
          <w:sz w:val="32"/>
          <w:szCs w:val="32"/>
          <w:color w:val="auto"/>
        </w:rPr>
        <w:t xml:space="preserve">Patricia Mulroy </w:t>
      </w:r>
      <w:r>
        <w:rPr>
          <w:rFonts w:ascii="Times New Roman" w:cs="Times New Roman" w:eastAsia="Times New Roman" w:hAnsi="Times New Roman"/>
          <w:sz w:val="14"/>
          <w:szCs w:val="14"/>
          <w:i w:val="1"/>
          <w:iCs w:val="1"/>
          <w:color w:val="351B3D"/>
        </w:rPr>
        <w:t>Non-Resident Senior Fellow for Climate Adaptation &amp; Environmental Policy, Practitioner in Residence, Saltman Center for Conflict Resolution, William</w:t>
      </w:r>
      <w:r>
        <w:rPr>
          <w:rFonts w:ascii="Times New Roman" w:cs="Times New Roman" w:eastAsia="Times New Roman" w:hAnsi="Times New Roman"/>
          <w:sz w:val="32"/>
          <w:szCs w:val="32"/>
          <w:color w:val="auto"/>
        </w:rPr>
        <w:t xml:space="preserve"> </w:t>
      </w:r>
      <w:r>
        <w:rPr>
          <w:rFonts w:ascii="Times New Roman" w:cs="Times New Roman" w:eastAsia="Times New Roman" w:hAnsi="Times New Roman"/>
          <w:sz w:val="14"/>
          <w:szCs w:val="14"/>
          <w:i w:val="1"/>
          <w:iCs w:val="1"/>
          <w:color w:val="351B3D"/>
        </w:rPr>
        <w:t>S. Boyd School of Law, University of Nevada, Las Vegas</w:t>
      </w:r>
    </w:p>
    <w:p>
      <w:pPr>
        <w:spacing w:after="0" w:line="68" w:lineRule="exact"/>
        <w:rPr>
          <w:sz w:val="20"/>
          <w:szCs w:val="20"/>
          <w:color w:val="auto"/>
        </w:rPr>
      </w:pPr>
    </w:p>
    <w:p>
      <w:pPr>
        <w:ind w:left="160" w:right="20"/>
        <w:spacing w:after="0" w:line="247" w:lineRule="auto"/>
        <w:rPr>
          <w:sz w:val="20"/>
          <w:szCs w:val="20"/>
          <w:color w:val="auto"/>
        </w:rPr>
      </w:pPr>
      <w:r>
        <w:rPr>
          <w:rFonts w:ascii="Arial" w:cs="Arial" w:eastAsia="Arial" w:hAnsi="Arial"/>
          <w:sz w:val="14"/>
          <w:szCs w:val="14"/>
          <w:color w:val="auto"/>
        </w:rPr>
        <w:t>Ms. Mulroy is currently a Non-Resident Senior Fellow for Climate Adaptation and Environmental Policy and Practitioner in Residence at the Saltman Center for Conflict Resolution at the William S. Boyd School of Law at the University of Nevada, Las Vegas, joining them after having served as a Non-Resident Senior Fellow of the Brookings Institute. She serves as a director of Bowman Consulting, Inc., a publicly traded engineering consulting firm. Ms. Mulroy operates a consulting firm representing both corporate and government clients in water matters. Ms. Mulroy is a recognized expert in climate related adaptation strategies for both governments and corporations having worked with organizations such as the World Bank in China and with the government of Saudi Arabia on their Project Neon. Ms. Mulroy formerly was a member of the Global Agenda Council on Water of the World Economic Forum and still serves as a Water Advisor to the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139065</wp:posOffset>
            </wp:positionV>
            <wp:extent cx="1986915" cy="1409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86915" cy="140970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500"/>
        </w:trPr>
        <w:tc>
          <w:tcPr>
            <w:tcW w:w="120" w:type="dxa"/>
            <w:vAlign w:val="bottom"/>
            <w:tcBorders>
              <w:bottom w:val="single" w:sz="8" w:color="F9F9EA"/>
            </w:tcBorders>
            <w:shd w:val="clear" w:color="auto" w:fill="F9F9EA"/>
          </w:tcPr>
          <w:p>
            <w:pPr>
              <w:spacing w:after="0"/>
              <w:rPr>
                <w:sz w:val="20"/>
                <w:szCs w:val="20"/>
                <w:color w:val="auto"/>
              </w:rPr>
            </w:pPr>
            <w:r>
              <w:rPr>
                <w:rFonts w:ascii="Arial" w:cs="Arial" w:eastAsia="Arial" w:hAnsi="Arial"/>
                <w:sz w:val="16"/>
                <w:szCs w:val="16"/>
                <w:color w:val="auto"/>
              </w:rPr>
              <w:t xml:space="preserve">   </w:t>
            </w:r>
          </w:p>
        </w:tc>
        <w:tc>
          <w:tcPr>
            <w:tcW w:w="1380" w:type="dxa"/>
            <w:vAlign w:val="bottom"/>
            <w:tcBorders>
              <w:bottom w:val="single" w:sz="8" w:color="F9F9EA"/>
            </w:tcBorders>
            <w:shd w:val="clear" w:color="auto" w:fill="F9F9EA"/>
          </w:tcPr>
          <w:p>
            <w:pPr>
              <w:ind w:left="60"/>
              <w:spacing w:after="0"/>
              <w:rPr>
                <w:sz w:val="20"/>
                <w:szCs w:val="20"/>
                <w:color w:val="auto"/>
              </w:rPr>
            </w:pPr>
            <w:r>
              <w:rPr>
                <w:rFonts w:ascii="Arial" w:cs="Arial" w:eastAsia="Arial" w:hAnsi="Arial"/>
                <w:sz w:val="12"/>
                <w:szCs w:val="12"/>
                <w:color w:val="351B3D"/>
              </w:rPr>
              <w:t>Director Since</w:t>
            </w:r>
          </w:p>
        </w:tc>
        <w:tc>
          <w:tcPr>
            <w:tcW w:w="1540" w:type="dxa"/>
            <w:vAlign w:val="bottom"/>
            <w:tcBorders>
              <w:bottom w:val="single" w:sz="8" w:color="F9F9EA"/>
            </w:tcBorders>
            <w:shd w:val="clear" w:color="auto" w:fill="F9F9EA"/>
          </w:tcPr>
          <w:p>
            <w:pPr>
              <w:ind w:left="60"/>
              <w:spacing w:after="0"/>
              <w:rPr>
                <w:sz w:val="20"/>
                <w:szCs w:val="20"/>
                <w:color w:val="auto"/>
              </w:rPr>
            </w:pPr>
            <w:r>
              <w:rPr>
                <w:rFonts w:ascii="Arial" w:cs="Arial" w:eastAsia="Arial" w:hAnsi="Arial"/>
                <w:sz w:val="12"/>
                <w:szCs w:val="12"/>
                <w:color w:val="351B3D"/>
              </w:rPr>
              <w:t>October 2015</w:t>
            </w:r>
          </w:p>
        </w:tc>
        <w:tc>
          <w:tcPr>
            <w:tcW w:w="120" w:type="dxa"/>
            <w:vAlign w:val="bottom"/>
            <w:tcBorders>
              <w:bottom w:val="single" w:sz="8" w:color="F9F9EA"/>
            </w:tcBorders>
            <w:shd w:val="clear" w:color="auto" w:fill="F9F9EA"/>
          </w:tcPr>
          <w:p>
            <w:pPr>
              <w:ind w:left="80"/>
              <w:spacing w:after="0"/>
              <w:rPr>
                <w:sz w:val="20"/>
                <w:szCs w:val="20"/>
                <w:color w:val="auto"/>
              </w:rPr>
            </w:pPr>
            <w:r>
              <w:rPr>
                <w:rFonts w:ascii="Arial" w:cs="Arial" w:eastAsia="Arial" w:hAnsi="Arial"/>
                <w:sz w:val="11"/>
                <w:szCs w:val="11"/>
                <w:color w:val="auto"/>
                <w:w w:val="70"/>
              </w:rPr>
              <w:t> </w:t>
            </w:r>
          </w:p>
        </w:tc>
      </w:tr>
      <w:tr>
        <w:trPr>
          <w:trHeight w:val="328"/>
        </w:trPr>
        <w:tc>
          <w:tcPr>
            <w:tcW w:w="120" w:type="dxa"/>
            <w:vAlign w:val="bottom"/>
            <w:tcBorders>
              <w:top w:val="single" w:sz="8" w:color="F9F9EA"/>
            </w:tcBorders>
            <w:shd w:val="clear" w:color="auto" w:fill="F9F9EA"/>
          </w:tcPr>
          <w:p>
            <w:pPr>
              <w:spacing w:after="0"/>
              <w:rPr>
                <w:sz w:val="24"/>
                <w:szCs w:val="24"/>
                <w:color w:val="auto"/>
              </w:rPr>
            </w:pPr>
          </w:p>
        </w:tc>
        <w:tc>
          <w:tcPr>
            <w:tcW w:w="1380" w:type="dxa"/>
            <w:vAlign w:val="bottom"/>
            <w:tcBorders>
              <w:top w:val="single" w:sz="8" w:color="auto"/>
            </w:tcBorders>
            <w:shd w:val="clear" w:color="auto" w:fill="F9F9EA"/>
          </w:tcPr>
          <w:p>
            <w:pPr>
              <w:ind w:left="60"/>
              <w:spacing w:after="0"/>
              <w:rPr>
                <w:sz w:val="20"/>
                <w:szCs w:val="20"/>
                <w:color w:val="auto"/>
              </w:rPr>
            </w:pPr>
            <w:r>
              <w:rPr>
                <w:rFonts w:ascii="Arial" w:cs="Arial" w:eastAsia="Arial" w:hAnsi="Arial"/>
                <w:sz w:val="12"/>
                <w:szCs w:val="12"/>
                <w:color w:val="351B3D"/>
              </w:rPr>
              <w:t>Term Expires</w:t>
            </w:r>
          </w:p>
        </w:tc>
        <w:tc>
          <w:tcPr>
            <w:tcW w:w="1540" w:type="dxa"/>
            <w:vAlign w:val="bottom"/>
            <w:tcBorders>
              <w:top w:val="single" w:sz="8" w:color="auto"/>
            </w:tcBorders>
            <w:shd w:val="clear" w:color="auto" w:fill="F9F9EA"/>
          </w:tcPr>
          <w:p>
            <w:pPr>
              <w:ind w:left="60"/>
              <w:spacing w:after="0"/>
              <w:rPr>
                <w:sz w:val="20"/>
                <w:szCs w:val="20"/>
                <w:color w:val="auto"/>
              </w:rPr>
            </w:pPr>
            <w:r>
              <w:rPr>
                <w:rFonts w:ascii="Arial" w:cs="Arial" w:eastAsia="Arial" w:hAnsi="Arial"/>
                <w:sz w:val="12"/>
                <w:szCs w:val="12"/>
                <w:color w:val="351B3D"/>
              </w:rPr>
              <w:t>2026 Annual Meeting</w:t>
            </w:r>
          </w:p>
        </w:tc>
        <w:tc>
          <w:tcPr>
            <w:tcW w:w="120" w:type="dxa"/>
            <w:vAlign w:val="bottom"/>
            <w:tcBorders>
              <w:top w:val="single" w:sz="8" w:color="F9F9EA"/>
            </w:tcBorders>
            <w:shd w:val="clear" w:color="auto" w:fill="F9F9EA"/>
          </w:tcPr>
          <w:p>
            <w:pPr>
              <w:spacing w:after="0"/>
              <w:rPr>
                <w:sz w:val="24"/>
                <w:szCs w:val="24"/>
                <w:color w:val="auto"/>
              </w:rPr>
            </w:pPr>
          </w:p>
        </w:tc>
      </w:tr>
      <w:tr>
        <w:trPr>
          <w:trHeight w:val="161"/>
        </w:trPr>
        <w:tc>
          <w:tcPr>
            <w:tcW w:w="120" w:type="dxa"/>
            <w:vAlign w:val="bottom"/>
            <w:tcBorders>
              <w:bottom w:val="single" w:sz="8" w:color="F9F9EA"/>
            </w:tcBorders>
            <w:shd w:val="clear" w:color="auto" w:fill="F9F9EA"/>
          </w:tcPr>
          <w:p>
            <w:pPr>
              <w:spacing w:after="0"/>
              <w:rPr>
                <w:sz w:val="13"/>
                <w:szCs w:val="13"/>
                <w:color w:val="auto"/>
              </w:rPr>
            </w:pPr>
          </w:p>
        </w:tc>
        <w:tc>
          <w:tcPr>
            <w:tcW w:w="1380" w:type="dxa"/>
            <w:vAlign w:val="bottom"/>
            <w:tcBorders>
              <w:bottom w:val="single" w:sz="8" w:color="auto"/>
            </w:tcBorders>
            <w:shd w:val="clear" w:color="auto" w:fill="F9F9EA"/>
          </w:tcPr>
          <w:p>
            <w:pPr>
              <w:spacing w:after="0"/>
              <w:rPr>
                <w:sz w:val="13"/>
                <w:szCs w:val="13"/>
                <w:color w:val="auto"/>
              </w:rPr>
            </w:pPr>
          </w:p>
        </w:tc>
        <w:tc>
          <w:tcPr>
            <w:tcW w:w="1540" w:type="dxa"/>
            <w:vAlign w:val="bottom"/>
            <w:tcBorders>
              <w:bottom w:val="single" w:sz="8" w:color="auto"/>
            </w:tcBorders>
            <w:shd w:val="clear" w:color="auto" w:fill="F9F9EA"/>
          </w:tcPr>
          <w:p>
            <w:pPr>
              <w:spacing w:after="0"/>
              <w:rPr>
                <w:sz w:val="13"/>
                <w:szCs w:val="13"/>
                <w:color w:val="auto"/>
              </w:rPr>
            </w:pPr>
          </w:p>
        </w:tc>
        <w:tc>
          <w:tcPr>
            <w:tcW w:w="120" w:type="dxa"/>
            <w:vAlign w:val="bottom"/>
            <w:tcBorders>
              <w:bottom w:val="single" w:sz="8" w:color="F9F9EA"/>
            </w:tcBorders>
            <w:shd w:val="clear" w:color="auto" w:fill="F9F9EA"/>
          </w:tcPr>
          <w:p>
            <w:pPr>
              <w:spacing w:after="0"/>
              <w:rPr>
                <w:sz w:val="13"/>
                <w:szCs w:val="13"/>
                <w:color w:val="auto"/>
              </w:rPr>
            </w:pPr>
          </w:p>
        </w:tc>
      </w:tr>
      <w:tr>
        <w:trPr>
          <w:trHeight w:val="328"/>
        </w:trPr>
        <w:tc>
          <w:tcPr>
            <w:tcW w:w="120" w:type="dxa"/>
            <w:vAlign w:val="bottom"/>
            <w:shd w:val="clear" w:color="auto" w:fill="F9F9EA"/>
          </w:tcPr>
          <w:p>
            <w:pPr>
              <w:spacing w:after="0"/>
              <w:rPr>
                <w:sz w:val="24"/>
                <w:szCs w:val="24"/>
                <w:color w:val="auto"/>
              </w:rPr>
            </w:pPr>
          </w:p>
        </w:tc>
        <w:tc>
          <w:tcPr>
            <w:tcW w:w="138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Age</w:t>
            </w:r>
          </w:p>
        </w:tc>
        <w:tc>
          <w:tcPr>
            <w:tcW w:w="154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72</w:t>
            </w:r>
          </w:p>
        </w:tc>
        <w:tc>
          <w:tcPr>
            <w:tcW w:w="120" w:type="dxa"/>
            <w:vAlign w:val="bottom"/>
            <w:shd w:val="clear" w:color="auto" w:fill="F9F9EA"/>
          </w:tcPr>
          <w:p>
            <w:pPr>
              <w:spacing w:after="0"/>
              <w:rPr>
                <w:sz w:val="24"/>
                <w:szCs w:val="24"/>
                <w:color w:val="auto"/>
              </w:rPr>
            </w:pPr>
          </w:p>
        </w:tc>
      </w:tr>
      <w:tr>
        <w:trPr>
          <w:trHeight w:val="161"/>
        </w:trPr>
        <w:tc>
          <w:tcPr>
            <w:tcW w:w="120" w:type="dxa"/>
            <w:vAlign w:val="bottom"/>
            <w:tcBorders>
              <w:bottom w:val="single" w:sz="8" w:color="F9F9EA"/>
            </w:tcBorders>
            <w:shd w:val="clear" w:color="auto" w:fill="F9F9EA"/>
          </w:tcPr>
          <w:p>
            <w:pPr>
              <w:spacing w:after="0"/>
              <w:rPr>
                <w:sz w:val="13"/>
                <w:szCs w:val="13"/>
                <w:color w:val="auto"/>
              </w:rPr>
            </w:pPr>
          </w:p>
        </w:tc>
        <w:tc>
          <w:tcPr>
            <w:tcW w:w="1380" w:type="dxa"/>
            <w:vAlign w:val="bottom"/>
            <w:tcBorders>
              <w:bottom w:val="single" w:sz="8" w:color="auto"/>
            </w:tcBorders>
            <w:shd w:val="clear" w:color="auto" w:fill="F9F9EA"/>
          </w:tcPr>
          <w:p>
            <w:pPr>
              <w:spacing w:after="0"/>
              <w:rPr>
                <w:sz w:val="13"/>
                <w:szCs w:val="13"/>
                <w:color w:val="auto"/>
              </w:rPr>
            </w:pPr>
          </w:p>
        </w:tc>
        <w:tc>
          <w:tcPr>
            <w:tcW w:w="1540" w:type="dxa"/>
            <w:vAlign w:val="bottom"/>
            <w:tcBorders>
              <w:bottom w:val="single" w:sz="8" w:color="auto"/>
            </w:tcBorders>
            <w:shd w:val="clear" w:color="auto" w:fill="F9F9EA"/>
          </w:tcPr>
          <w:p>
            <w:pPr>
              <w:spacing w:after="0"/>
              <w:rPr>
                <w:sz w:val="13"/>
                <w:szCs w:val="13"/>
                <w:color w:val="auto"/>
              </w:rPr>
            </w:pPr>
          </w:p>
        </w:tc>
        <w:tc>
          <w:tcPr>
            <w:tcW w:w="120" w:type="dxa"/>
            <w:vAlign w:val="bottom"/>
            <w:tcBorders>
              <w:bottom w:val="single" w:sz="8" w:color="F9F9EA"/>
            </w:tcBorders>
            <w:shd w:val="clear" w:color="auto" w:fill="F9F9EA"/>
          </w:tcPr>
          <w:p>
            <w:pPr>
              <w:spacing w:after="0"/>
              <w:rPr>
                <w:sz w:val="13"/>
                <w:szCs w:val="13"/>
                <w:color w:val="auto"/>
              </w:rPr>
            </w:pPr>
          </w:p>
        </w:tc>
      </w:tr>
      <w:tr>
        <w:trPr>
          <w:trHeight w:val="230"/>
        </w:trPr>
        <w:tc>
          <w:tcPr>
            <w:tcW w:w="120" w:type="dxa"/>
            <w:vAlign w:val="bottom"/>
            <w:shd w:val="clear" w:color="auto" w:fill="F9F9EA"/>
          </w:tcPr>
          <w:p>
            <w:pPr>
              <w:spacing w:after="0"/>
              <w:rPr>
                <w:sz w:val="19"/>
                <w:szCs w:val="19"/>
                <w:color w:val="auto"/>
              </w:rPr>
            </w:pPr>
          </w:p>
        </w:tc>
        <w:tc>
          <w:tcPr>
            <w:tcW w:w="138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 xml:space="preserve">Board Committees:    </w:t>
            </w:r>
          </w:p>
        </w:tc>
        <w:tc>
          <w:tcPr>
            <w:tcW w:w="154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Audit</w:t>
            </w:r>
          </w:p>
        </w:tc>
        <w:tc>
          <w:tcPr>
            <w:tcW w:w="120" w:type="dxa"/>
            <w:vAlign w:val="bottom"/>
            <w:shd w:val="clear" w:color="auto" w:fill="F9F9EA"/>
          </w:tcPr>
          <w:p>
            <w:pPr>
              <w:spacing w:after="0"/>
              <w:rPr>
                <w:sz w:val="19"/>
                <w:szCs w:val="19"/>
                <w:color w:val="auto"/>
              </w:rPr>
            </w:pPr>
          </w:p>
        </w:tc>
      </w:tr>
      <w:tr>
        <w:trPr>
          <w:trHeight w:val="134"/>
        </w:trPr>
        <w:tc>
          <w:tcPr>
            <w:tcW w:w="120" w:type="dxa"/>
            <w:vAlign w:val="bottom"/>
            <w:shd w:val="clear" w:color="auto" w:fill="F9F9EA"/>
          </w:tcPr>
          <w:p>
            <w:pPr>
              <w:spacing w:after="0"/>
              <w:rPr>
                <w:sz w:val="11"/>
                <w:szCs w:val="11"/>
                <w:color w:val="auto"/>
              </w:rPr>
            </w:pPr>
          </w:p>
        </w:tc>
        <w:tc>
          <w:tcPr>
            <w:tcW w:w="1380" w:type="dxa"/>
            <w:vAlign w:val="bottom"/>
            <w:shd w:val="clear" w:color="auto" w:fill="F9F9EA"/>
          </w:tcPr>
          <w:p>
            <w:pPr>
              <w:spacing w:after="0"/>
              <w:rPr>
                <w:sz w:val="11"/>
                <w:szCs w:val="11"/>
                <w:color w:val="auto"/>
              </w:rPr>
            </w:pPr>
          </w:p>
        </w:tc>
        <w:tc>
          <w:tcPr>
            <w:tcW w:w="1540" w:type="dxa"/>
            <w:vAlign w:val="bottom"/>
            <w:shd w:val="clear" w:color="auto" w:fill="F9F9EA"/>
          </w:tcPr>
          <w:p>
            <w:pPr>
              <w:ind w:left="60"/>
              <w:spacing w:after="0" w:line="134" w:lineRule="exact"/>
              <w:rPr>
                <w:sz w:val="20"/>
                <w:szCs w:val="20"/>
                <w:color w:val="auto"/>
              </w:rPr>
            </w:pPr>
            <w:r>
              <w:rPr>
                <w:rFonts w:ascii="Arial" w:cs="Arial" w:eastAsia="Arial" w:hAnsi="Arial"/>
                <w:sz w:val="12"/>
                <w:szCs w:val="12"/>
                <w:color w:val="351B3D"/>
              </w:rPr>
              <w:t>Nominating and Corporate</w:t>
            </w:r>
          </w:p>
        </w:tc>
        <w:tc>
          <w:tcPr>
            <w:tcW w:w="120" w:type="dxa"/>
            <w:vAlign w:val="bottom"/>
            <w:shd w:val="clear" w:color="auto" w:fill="F9F9EA"/>
          </w:tcPr>
          <w:p>
            <w:pPr>
              <w:spacing w:after="0"/>
              <w:rPr>
                <w:sz w:val="11"/>
                <w:szCs w:val="11"/>
                <w:color w:val="auto"/>
              </w:rPr>
            </w:pPr>
          </w:p>
        </w:tc>
      </w:tr>
      <w:tr>
        <w:trPr>
          <w:trHeight w:val="165"/>
        </w:trPr>
        <w:tc>
          <w:tcPr>
            <w:tcW w:w="120" w:type="dxa"/>
            <w:vAlign w:val="bottom"/>
            <w:shd w:val="clear" w:color="auto" w:fill="F9F9EA"/>
          </w:tcPr>
          <w:p>
            <w:pPr>
              <w:spacing w:after="0"/>
              <w:rPr>
                <w:sz w:val="14"/>
                <w:szCs w:val="14"/>
                <w:color w:val="auto"/>
              </w:rPr>
            </w:pPr>
          </w:p>
        </w:tc>
        <w:tc>
          <w:tcPr>
            <w:tcW w:w="1380" w:type="dxa"/>
            <w:vAlign w:val="bottom"/>
            <w:shd w:val="clear" w:color="auto" w:fill="F9F9EA"/>
          </w:tcPr>
          <w:p>
            <w:pPr>
              <w:spacing w:after="0"/>
              <w:rPr>
                <w:sz w:val="14"/>
                <w:szCs w:val="14"/>
                <w:color w:val="auto"/>
              </w:rPr>
            </w:pPr>
          </w:p>
        </w:tc>
        <w:tc>
          <w:tcPr>
            <w:tcW w:w="154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Governance (Chair)</w:t>
            </w:r>
          </w:p>
        </w:tc>
        <w:tc>
          <w:tcPr>
            <w:tcW w:w="120" w:type="dxa"/>
            <w:vAlign w:val="bottom"/>
            <w:shd w:val="clear" w:color="auto" w:fill="F9F9EA"/>
          </w:tcPr>
          <w:p>
            <w:pPr>
              <w:spacing w:after="0"/>
              <w:rPr>
                <w:sz w:val="14"/>
                <w:szCs w:val="14"/>
                <w:color w:val="auto"/>
              </w:rPr>
            </w:pPr>
          </w:p>
        </w:tc>
      </w:tr>
      <w:tr>
        <w:trPr>
          <w:trHeight w:val="67"/>
        </w:trPr>
        <w:tc>
          <w:tcPr>
            <w:tcW w:w="120" w:type="dxa"/>
            <w:vAlign w:val="bottom"/>
            <w:shd w:val="clear" w:color="auto" w:fill="F9F9EA"/>
          </w:tcPr>
          <w:p>
            <w:pPr>
              <w:spacing w:after="0"/>
              <w:rPr>
                <w:sz w:val="5"/>
                <w:szCs w:val="5"/>
                <w:color w:val="auto"/>
              </w:rPr>
            </w:pPr>
          </w:p>
        </w:tc>
        <w:tc>
          <w:tcPr>
            <w:tcW w:w="1380" w:type="dxa"/>
            <w:vAlign w:val="bottom"/>
            <w:shd w:val="clear" w:color="auto" w:fill="F9F9EA"/>
          </w:tcPr>
          <w:p>
            <w:pPr>
              <w:spacing w:after="0"/>
              <w:rPr>
                <w:sz w:val="5"/>
                <w:szCs w:val="5"/>
                <w:color w:val="auto"/>
              </w:rPr>
            </w:pPr>
          </w:p>
        </w:tc>
        <w:tc>
          <w:tcPr>
            <w:tcW w:w="1540" w:type="dxa"/>
            <w:vAlign w:val="bottom"/>
            <w:shd w:val="clear" w:color="auto" w:fill="F9F9EA"/>
          </w:tcPr>
          <w:p>
            <w:pPr>
              <w:spacing w:after="0"/>
              <w:rPr>
                <w:sz w:val="5"/>
                <w:szCs w:val="5"/>
                <w:color w:val="auto"/>
              </w:rPr>
            </w:pPr>
          </w:p>
        </w:tc>
        <w:tc>
          <w:tcPr>
            <w:tcW w:w="120" w:type="dxa"/>
            <w:vAlign w:val="bottom"/>
            <w:shd w:val="clear" w:color="auto" w:fill="F9F9EA"/>
          </w:tcPr>
          <w:p>
            <w:pPr>
              <w:spacing w:after="0"/>
              <w:rPr>
                <w:sz w:val="5"/>
                <w:szCs w:val="5"/>
                <w:color w:val="auto"/>
              </w:rPr>
            </w:pPr>
          </w:p>
        </w:tc>
      </w:tr>
    </w:tbl>
    <w:p>
      <w:pPr>
        <w:spacing w:after="0" w:line="173"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SKILLS AND QUALIFICATIONS</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140F21"/>
        </w:rPr>
        <w:t>PREVIOUS EXPERIENCE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–   July 2014 to October 2015: served on the Nevada Gaming Commission</w:t>
      </w:r>
    </w:p>
    <w:p>
      <w:pPr>
        <w:spacing w:after="0" w:line="66" w:lineRule="exact"/>
        <w:rPr>
          <w:sz w:val="20"/>
          <w:szCs w:val="20"/>
          <w:color w:val="auto"/>
        </w:rPr>
      </w:pPr>
    </w:p>
    <w:p>
      <w:pPr>
        <w:ind w:left="180" w:right="40" w:hanging="177"/>
        <w:spacing w:after="0" w:line="260" w:lineRule="auto"/>
        <w:rPr>
          <w:sz w:val="20"/>
          <w:szCs w:val="20"/>
          <w:color w:val="auto"/>
        </w:rPr>
      </w:pPr>
      <w:r>
        <w:rPr>
          <w:rFonts w:ascii="Arial" w:cs="Arial" w:eastAsia="Arial" w:hAnsi="Arial"/>
          <w:sz w:val="14"/>
          <w:szCs w:val="14"/>
          <w:color w:val="auto"/>
        </w:rPr>
        <w:t>–   1995 to 2014: Nevada’s representative in all interstate, national and international negotiations and matters regarding the Colorado River negotiating numerous groundbreaking interstate agreements and international treaty modifications.</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1993 to 2014: Chief executive of the Southern Nevada Water Authority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–   1989 to 2014: Chief executive of the Las Vegas Valley Water District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140F21"/>
        </w:rPr>
        <w:t>EDUCATION</w:t>
      </w:r>
    </w:p>
    <w:p>
      <w:pPr>
        <w:spacing w:after="0" w:line="22" w:lineRule="exact"/>
        <w:rPr>
          <w:sz w:val="20"/>
          <w:szCs w:val="20"/>
          <w:color w:val="auto"/>
        </w:rPr>
      </w:pPr>
    </w:p>
    <w:p>
      <w:pPr>
        <w:ind w:right="160"/>
        <w:spacing w:after="0" w:line="260" w:lineRule="auto"/>
        <w:rPr>
          <w:sz w:val="20"/>
          <w:szCs w:val="20"/>
          <w:color w:val="auto"/>
        </w:rPr>
      </w:pPr>
      <w:r>
        <w:rPr>
          <w:rFonts w:ascii="Arial" w:cs="Arial" w:eastAsia="Arial" w:hAnsi="Arial"/>
          <w:sz w:val="14"/>
          <w:szCs w:val="14"/>
          <w:color w:val="auto"/>
        </w:rPr>
        <w:t>Ms. Mulroy graduated with a B.A. and M.A. from the University of Nevada, Las Vegas and pursued doctoral studies at Stanford University.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140F21"/>
        </w:rPr>
        <w:t>EXPERTISE</w:t>
      </w:r>
    </w:p>
    <w:p>
      <w:pPr>
        <w:spacing w:after="0" w:line="22" w:lineRule="exact"/>
        <w:rPr>
          <w:sz w:val="20"/>
          <w:szCs w:val="20"/>
          <w:color w:val="auto"/>
        </w:rPr>
      </w:pPr>
    </w:p>
    <w:p>
      <w:pPr>
        <w:ind w:right="20"/>
        <w:spacing w:after="0" w:line="249" w:lineRule="auto"/>
        <w:rPr>
          <w:sz w:val="20"/>
          <w:szCs w:val="20"/>
          <w:color w:val="auto"/>
        </w:rPr>
      </w:pPr>
      <w:r>
        <w:rPr>
          <w:rFonts w:ascii="Arial" w:cs="Arial" w:eastAsia="Arial" w:hAnsi="Arial"/>
          <w:sz w:val="14"/>
          <w:szCs w:val="14"/>
          <w:color w:val="auto"/>
        </w:rPr>
        <w:t>Ms. Mulroy brings more than 30 years of government experience to the Board, serving in numerous leadership roles focusing on Nevada’s public infrastructure. Additionally, Ms. Mulroy’s experience on the Nevada Gaming Commission brings experience and insight into state regulatory and public policy issues impacting the Company’s operations.</w:t>
      </w:r>
    </w:p>
    <w:p>
      <w:pPr>
        <w:spacing w:after="0" w:line="1647" w:lineRule="exact"/>
        <w:rPr>
          <w:sz w:val="20"/>
          <w:szCs w:val="20"/>
          <w:color w:val="auto"/>
        </w:rPr>
      </w:pPr>
    </w:p>
    <w:p>
      <w:pPr>
        <w:sectPr>
          <w:pgSz w:w="11900" w:h="16838" w:orient="portrait"/>
          <w:cols w:equalWidth="0" w:num="2">
            <w:col w:w="3320" w:space="360"/>
            <w:col w:w="7400"/>
          </w:cols>
          <w:pgMar w:left="320" w:top="478" w:right="499" w:bottom="1440" w:gutter="0" w:footer="0" w:header="0"/>
          <w:type w:val="continuous"/>
        </w:sectPr>
      </w:pPr>
    </w:p>
    <w:tbl>
      <w:tblPr>
        <w:tblLayout w:type="fixed"/>
        <w:tblInd w:w="160" w:type="dxa"/>
        <w:tblCellMar>
          <w:top w:w="0" w:type="dxa"/>
          <w:left w:w="0" w:type="dxa"/>
          <w:bottom w:w="0" w:type="dxa"/>
          <w:right w:w="0" w:type="dxa"/>
        </w:tblCellMar>
      </w:tblPr>
      <w:tr>
        <w:trPr>
          <w:trHeight w:val="285"/>
        </w:trPr>
        <w:tc>
          <w:tcPr>
            <w:tcW w:w="2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Gaming or Other Regulated</w:t>
            </w: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Ms. Mulroy served as a member of the Nevada Gaming Commission.</w:t>
            </w:r>
          </w:p>
        </w:tc>
      </w:tr>
      <w:tr>
        <w:trPr>
          <w:trHeight w:val="189"/>
        </w:trPr>
        <w:tc>
          <w:tcPr>
            <w:tcW w:w="2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Industry</w:t>
            </w:r>
          </w:p>
        </w:tc>
        <w:tc>
          <w:tcPr>
            <w:tcW w:w="8700" w:type="dxa"/>
            <w:vAlign w:val="bottom"/>
            <w:shd w:val="clear" w:color="auto" w:fill="D6D1D8"/>
          </w:tcPr>
          <w:p>
            <w:pPr>
              <w:spacing w:after="0"/>
              <w:rPr>
                <w:sz w:val="16"/>
                <w:szCs w:val="16"/>
                <w:color w:val="auto"/>
              </w:rPr>
            </w:pPr>
          </w:p>
        </w:tc>
      </w:tr>
      <w:tr>
        <w:trPr>
          <w:trHeight w:val="88"/>
        </w:trPr>
        <w:tc>
          <w:tcPr>
            <w:tcW w:w="2220" w:type="dxa"/>
            <w:vAlign w:val="bottom"/>
            <w:shd w:val="clear" w:color="auto" w:fill="D6D1D8"/>
          </w:tcPr>
          <w:p>
            <w:pPr>
              <w:spacing w:after="0"/>
              <w:rPr>
                <w:sz w:val="7"/>
                <w:szCs w:val="7"/>
                <w:color w:val="auto"/>
              </w:rPr>
            </w:pPr>
          </w:p>
        </w:tc>
        <w:tc>
          <w:tcPr>
            <w:tcW w:w="8700" w:type="dxa"/>
            <w:vAlign w:val="bottom"/>
            <w:shd w:val="clear" w:color="auto" w:fill="D6D1D8"/>
          </w:tcPr>
          <w:p>
            <w:pPr>
              <w:spacing w:after="0"/>
              <w:rPr>
                <w:sz w:val="7"/>
                <w:szCs w:val="7"/>
                <w:color w:val="auto"/>
              </w:rPr>
            </w:pPr>
          </w:p>
        </w:tc>
      </w:tr>
      <w:tr>
        <w:trPr>
          <w:trHeight w:val="313"/>
        </w:trPr>
        <w:tc>
          <w:tcPr>
            <w:tcW w:w="2220" w:type="dxa"/>
            <w:vAlign w:val="bottom"/>
          </w:tcPr>
          <w:p>
            <w:pPr>
              <w:ind w:left="80"/>
              <w:spacing w:after="0"/>
              <w:rPr>
                <w:sz w:val="20"/>
                <w:szCs w:val="20"/>
                <w:color w:val="auto"/>
              </w:rPr>
            </w:pPr>
            <w:r>
              <w:rPr>
                <w:rFonts w:ascii="Arial" w:cs="Arial" w:eastAsia="Arial" w:hAnsi="Arial"/>
                <w:sz w:val="14"/>
                <w:szCs w:val="14"/>
                <w:color w:val="auto"/>
              </w:rPr>
              <w:t>Outside Public Boards</w:t>
            </w:r>
          </w:p>
        </w:tc>
        <w:tc>
          <w:tcPr>
            <w:tcW w:w="8700" w:type="dxa"/>
            <w:vAlign w:val="bottom"/>
          </w:tcPr>
          <w:p>
            <w:pPr>
              <w:ind w:left="120"/>
              <w:spacing w:after="0"/>
              <w:rPr>
                <w:sz w:val="20"/>
                <w:szCs w:val="20"/>
                <w:color w:val="auto"/>
              </w:rPr>
            </w:pPr>
            <w:r>
              <w:rPr>
                <w:rFonts w:ascii="Arial" w:cs="Arial" w:eastAsia="Arial" w:hAnsi="Arial"/>
                <w:sz w:val="14"/>
                <w:szCs w:val="14"/>
                <w:color w:val="auto"/>
              </w:rPr>
              <w:t>Ms. Mulroy serves as a director of Bowman Consulting, Inc., a publicly traded engineering consulting firm.</w:t>
            </w:r>
          </w:p>
        </w:tc>
      </w:tr>
      <w:tr>
        <w:trPr>
          <w:trHeight w:val="88"/>
        </w:trPr>
        <w:tc>
          <w:tcPr>
            <w:tcW w:w="2220" w:type="dxa"/>
            <w:vAlign w:val="bottom"/>
          </w:tcPr>
          <w:p>
            <w:pPr>
              <w:spacing w:after="0"/>
              <w:rPr>
                <w:sz w:val="7"/>
                <w:szCs w:val="7"/>
                <w:color w:val="auto"/>
              </w:rPr>
            </w:pPr>
          </w:p>
        </w:tc>
        <w:tc>
          <w:tcPr>
            <w:tcW w:w="8700" w:type="dxa"/>
            <w:vAlign w:val="bottom"/>
          </w:tcPr>
          <w:p>
            <w:pPr>
              <w:spacing w:after="0"/>
              <w:rPr>
                <w:sz w:val="7"/>
                <w:szCs w:val="7"/>
                <w:color w:val="auto"/>
              </w:rPr>
            </w:pPr>
          </w:p>
        </w:tc>
      </w:tr>
      <w:tr>
        <w:trPr>
          <w:trHeight w:val="285"/>
        </w:trPr>
        <w:tc>
          <w:tcPr>
            <w:tcW w:w="2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Geopolitical Affairs</w:t>
            </w: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Ms. Mulroy served as a member of the Global Agenda Council on Water of the World Economic Forum and continues to serve as a</w:t>
            </w:r>
          </w:p>
        </w:tc>
      </w:tr>
      <w:tr>
        <w:trPr>
          <w:trHeight w:val="189"/>
        </w:trPr>
        <w:tc>
          <w:tcPr>
            <w:tcW w:w="2220" w:type="dxa"/>
            <w:vAlign w:val="bottom"/>
            <w:shd w:val="clear" w:color="auto" w:fill="D6D1D8"/>
          </w:tcPr>
          <w:p>
            <w:pPr>
              <w:spacing w:after="0"/>
              <w:rPr>
                <w:sz w:val="16"/>
                <w:szCs w:val="16"/>
                <w:color w:val="auto"/>
              </w:rPr>
            </w:pP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Water Advisor to the organization.</w:t>
            </w:r>
          </w:p>
        </w:tc>
      </w:tr>
      <w:tr>
        <w:trPr>
          <w:trHeight w:val="88"/>
        </w:trPr>
        <w:tc>
          <w:tcPr>
            <w:tcW w:w="2220" w:type="dxa"/>
            <w:vAlign w:val="bottom"/>
            <w:shd w:val="clear" w:color="auto" w:fill="D6D1D8"/>
          </w:tcPr>
          <w:p>
            <w:pPr>
              <w:spacing w:after="0"/>
              <w:rPr>
                <w:sz w:val="7"/>
                <w:szCs w:val="7"/>
                <w:color w:val="auto"/>
              </w:rPr>
            </w:pPr>
          </w:p>
        </w:tc>
        <w:tc>
          <w:tcPr>
            <w:tcW w:w="8700" w:type="dxa"/>
            <w:vAlign w:val="bottom"/>
            <w:shd w:val="clear" w:color="auto" w:fill="D6D1D8"/>
          </w:tcPr>
          <w:p>
            <w:pPr>
              <w:spacing w:after="0"/>
              <w:rPr>
                <w:sz w:val="7"/>
                <w:szCs w:val="7"/>
                <w:color w:val="auto"/>
              </w:rPr>
            </w:pPr>
          </w:p>
        </w:tc>
      </w:tr>
      <w:tr>
        <w:trPr>
          <w:trHeight w:val="285"/>
        </w:trPr>
        <w:tc>
          <w:tcPr>
            <w:tcW w:w="2220" w:type="dxa"/>
            <w:vAlign w:val="bottom"/>
          </w:tcPr>
          <w:p>
            <w:pPr>
              <w:ind w:left="80"/>
              <w:spacing w:after="0"/>
              <w:rPr>
                <w:sz w:val="20"/>
                <w:szCs w:val="20"/>
                <w:color w:val="auto"/>
              </w:rPr>
            </w:pPr>
            <w:r>
              <w:rPr>
                <w:rFonts w:ascii="Arial" w:cs="Arial" w:eastAsia="Arial" w:hAnsi="Arial"/>
                <w:sz w:val="14"/>
                <w:szCs w:val="14"/>
                <w:color w:val="auto"/>
              </w:rPr>
              <w:t>Real Estate &amp; Project</w:t>
            </w:r>
          </w:p>
        </w:tc>
        <w:tc>
          <w:tcPr>
            <w:tcW w:w="8700" w:type="dxa"/>
            <w:vAlign w:val="bottom"/>
          </w:tcPr>
          <w:p>
            <w:pPr>
              <w:ind w:left="120"/>
              <w:spacing w:after="0"/>
              <w:rPr>
                <w:sz w:val="20"/>
                <w:szCs w:val="20"/>
                <w:color w:val="auto"/>
              </w:rPr>
            </w:pPr>
            <w:r>
              <w:rPr>
                <w:rFonts w:ascii="Arial" w:cs="Arial" w:eastAsia="Arial" w:hAnsi="Arial"/>
                <w:sz w:val="14"/>
                <w:szCs w:val="14"/>
                <w:color w:val="auto"/>
              </w:rPr>
              <w:t>As the chief executive of the Southern Nevada Water Authority, Ms. Mulroy managed several massive construction projects to protect</w:t>
            </w:r>
          </w:p>
        </w:tc>
      </w:tr>
      <w:tr>
        <w:trPr>
          <w:trHeight w:val="189"/>
        </w:trPr>
        <w:tc>
          <w:tcPr>
            <w:tcW w:w="2220" w:type="dxa"/>
            <w:vAlign w:val="bottom"/>
          </w:tcPr>
          <w:p>
            <w:pPr>
              <w:ind w:left="80"/>
              <w:spacing w:after="0"/>
              <w:rPr>
                <w:sz w:val="20"/>
                <w:szCs w:val="20"/>
                <w:color w:val="auto"/>
              </w:rPr>
            </w:pPr>
            <w:r>
              <w:rPr>
                <w:rFonts w:ascii="Arial" w:cs="Arial" w:eastAsia="Arial" w:hAnsi="Arial"/>
                <w:sz w:val="14"/>
                <w:szCs w:val="14"/>
                <w:color w:val="auto"/>
              </w:rPr>
              <w:t>Construction</w:t>
            </w:r>
          </w:p>
        </w:tc>
        <w:tc>
          <w:tcPr>
            <w:tcW w:w="8700" w:type="dxa"/>
            <w:vAlign w:val="bottom"/>
          </w:tcPr>
          <w:p>
            <w:pPr>
              <w:ind w:left="120"/>
              <w:spacing w:after="0"/>
              <w:rPr>
                <w:sz w:val="20"/>
                <w:szCs w:val="20"/>
                <w:color w:val="auto"/>
              </w:rPr>
            </w:pPr>
            <w:r>
              <w:rPr>
                <w:rFonts w:ascii="Arial" w:cs="Arial" w:eastAsia="Arial" w:hAnsi="Arial"/>
                <w:sz w:val="14"/>
                <w:szCs w:val="14"/>
                <w:color w:val="auto"/>
              </w:rPr>
              <w:t>the Las Vegas community from water shortages and to ensure state-of-the-art water infrastructure and treatment facilities.</w:t>
            </w:r>
          </w:p>
        </w:tc>
      </w:tr>
      <w:tr>
        <w:trPr>
          <w:trHeight w:val="88"/>
        </w:trPr>
        <w:tc>
          <w:tcPr>
            <w:tcW w:w="2220" w:type="dxa"/>
            <w:vAlign w:val="bottom"/>
          </w:tcPr>
          <w:p>
            <w:pPr>
              <w:spacing w:after="0"/>
              <w:rPr>
                <w:sz w:val="7"/>
                <w:szCs w:val="7"/>
                <w:color w:val="auto"/>
              </w:rPr>
            </w:pPr>
          </w:p>
        </w:tc>
        <w:tc>
          <w:tcPr>
            <w:tcW w:w="8700" w:type="dxa"/>
            <w:vAlign w:val="bottom"/>
          </w:tcPr>
          <w:p>
            <w:pPr>
              <w:spacing w:after="0"/>
              <w:rPr>
                <w:sz w:val="7"/>
                <w:szCs w:val="7"/>
                <w:color w:val="auto"/>
              </w:rPr>
            </w:pPr>
          </w:p>
        </w:tc>
      </w:tr>
      <w:tr>
        <w:trPr>
          <w:trHeight w:val="285"/>
        </w:trPr>
        <w:tc>
          <w:tcPr>
            <w:tcW w:w="2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Environmental &amp;</w:t>
            </w: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Ms. Mulroy is an acknowledged expert in environmental strategies having represented both governments and companies in water</w:t>
            </w:r>
          </w:p>
        </w:tc>
      </w:tr>
      <w:tr>
        <w:trPr>
          <w:trHeight w:val="160"/>
        </w:trPr>
        <w:tc>
          <w:tcPr>
            <w:tcW w:w="2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Sustainability</w:t>
            </w: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matters. She was the chief executive of the Southern Nevada Water Authority which is responsible for all regional water management</w:t>
            </w:r>
          </w:p>
        </w:tc>
      </w:tr>
      <w:tr>
        <w:trPr>
          <w:trHeight w:val="189"/>
        </w:trPr>
        <w:tc>
          <w:tcPr>
            <w:tcW w:w="2220" w:type="dxa"/>
            <w:vAlign w:val="bottom"/>
            <w:shd w:val="clear" w:color="auto" w:fill="D6D1D8"/>
          </w:tcPr>
          <w:p>
            <w:pPr>
              <w:spacing w:after="0"/>
              <w:rPr>
                <w:sz w:val="16"/>
                <w:szCs w:val="16"/>
                <w:color w:val="auto"/>
              </w:rPr>
            </w:pP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and facilities serving Southern Nevada and its 3 million inhabitants and 42 million annual visitors.</w:t>
            </w:r>
          </w:p>
        </w:tc>
      </w:tr>
      <w:tr>
        <w:trPr>
          <w:trHeight w:val="88"/>
        </w:trPr>
        <w:tc>
          <w:tcPr>
            <w:tcW w:w="2220" w:type="dxa"/>
            <w:vAlign w:val="bottom"/>
            <w:shd w:val="clear" w:color="auto" w:fill="D6D1D8"/>
          </w:tcPr>
          <w:p>
            <w:pPr>
              <w:spacing w:after="0"/>
              <w:rPr>
                <w:sz w:val="7"/>
                <w:szCs w:val="7"/>
                <w:color w:val="auto"/>
              </w:rPr>
            </w:pPr>
          </w:p>
        </w:tc>
        <w:tc>
          <w:tcPr>
            <w:tcW w:w="8700" w:type="dxa"/>
            <w:vAlign w:val="bottom"/>
            <w:shd w:val="clear" w:color="auto" w:fill="D6D1D8"/>
          </w:tcPr>
          <w:p>
            <w:pPr>
              <w:spacing w:after="0"/>
              <w:rPr>
                <w:sz w:val="7"/>
                <w:szCs w:val="7"/>
                <w:color w:val="auto"/>
              </w:rPr>
            </w:pPr>
          </w:p>
        </w:tc>
      </w:tr>
    </w:tbl>
    <w:p>
      <w:pPr>
        <w:spacing w:after="0" w:line="129" w:lineRule="exact"/>
        <w:rPr>
          <w:sz w:val="20"/>
          <w:szCs w:val="20"/>
          <w:color w:val="auto"/>
        </w:rPr>
      </w:pPr>
    </w:p>
    <w:p>
      <w:pPr>
        <w:ind w:left="160"/>
        <w:spacing w:after="0"/>
        <w:rPr>
          <w:sz w:val="20"/>
          <w:szCs w:val="20"/>
          <w:color w:val="auto"/>
        </w:rPr>
      </w:pPr>
      <w:r>
        <w:rPr>
          <w:rFonts w:ascii="Arial" w:cs="Arial" w:eastAsia="Arial" w:hAnsi="Arial"/>
          <w:sz w:val="12"/>
          <w:szCs w:val="12"/>
          <w:color w:val="351B3D"/>
        </w:rPr>
        <w:t>10</w:t>
      </w:r>
    </w:p>
    <w:p>
      <w:pPr>
        <w:sectPr>
          <w:pgSz w:w="11900" w:h="16838" w:orient="portrait"/>
          <w:cols w:equalWidth="0" w:num="1">
            <w:col w:w="11080"/>
          </w:cols>
          <w:pgMar w:left="320" w:top="478" w:right="4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32"/>
          <w:szCs w:val="32"/>
          <w:color w:val="auto"/>
        </w:rPr>
        <w:t xml:space="preserve">Anthony M. Sanfilippo </w:t>
      </w:r>
      <w:r>
        <w:rPr>
          <w:rFonts w:ascii="Times New Roman" w:cs="Times New Roman" w:eastAsia="Times New Roman" w:hAnsi="Times New Roman"/>
          <w:sz w:val="14"/>
          <w:szCs w:val="14"/>
          <w:i w:val="1"/>
          <w:iCs w:val="1"/>
          <w:color w:val="351B3D"/>
        </w:rPr>
        <w:t>Co-Founder, Sorelle Capital</w:t>
      </w:r>
    </w:p>
    <w:p>
      <w:pPr>
        <w:spacing w:after="0" w:line="199" w:lineRule="exact"/>
        <w:rPr>
          <w:sz w:val="20"/>
          <w:szCs w:val="20"/>
          <w:color w:val="auto"/>
        </w:rPr>
      </w:pPr>
    </w:p>
    <w:p>
      <w:pPr>
        <w:ind w:left="160" w:right="20"/>
        <w:spacing w:after="0" w:line="281" w:lineRule="auto"/>
        <w:rPr>
          <w:sz w:val="20"/>
          <w:szCs w:val="20"/>
          <w:color w:val="auto"/>
        </w:rPr>
      </w:pPr>
      <w:r>
        <w:rPr>
          <w:rFonts w:ascii="Arial" w:cs="Arial" w:eastAsia="Arial" w:hAnsi="Arial"/>
          <w:sz w:val="14"/>
          <w:szCs w:val="14"/>
          <w:color w:val="auto"/>
        </w:rPr>
        <w:t>Mr. Sanfilippo has extensive experience in the hospitality and gaming industries. Mr. Sanfilippo is the co-founder of Sorelle Capital and Sorelle Hospitality, entities focused on investing and operating companies in the hospitality sector and real estate development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123190</wp:posOffset>
            </wp:positionV>
            <wp:extent cx="2004060" cy="26073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04060" cy="260731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60" w:type="dxa"/>
        <w:tblCellMar>
          <w:top w:w="0" w:type="dxa"/>
          <w:left w:w="0" w:type="dxa"/>
          <w:bottom w:w="0" w:type="dxa"/>
          <w:right w:w="0" w:type="dxa"/>
        </w:tblCellMar>
      </w:tblPr>
      <w:tr>
        <w:trPr>
          <w:trHeight w:val="429"/>
        </w:trPr>
        <w:tc>
          <w:tcPr>
            <w:tcW w:w="1200" w:type="dxa"/>
            <w:vAlign w:val="bottom"/>
            <w:gridSpan w:val="2"/>
          </w:tcPr>
          <w:p>
            <w:pPr>
              <w:spacing w:after="0"/>
              <w:rPr>
                <w:sz w:val="20"/>
                <w:szCs w:val="20"/>
                <w:color w:val="auto"/>
              </w:rPr>
            </w:pPr>
            <w:r>
              <w:rPr>
                <w:rFonts w:ascii="Arial" w:cs="Arial" w:eastAsia="Arial" w:hAnsi="Arial"/>
                <w:sz w:val="32"/>
                <w:szCs w:val="32"/>
                <w:color w:val="000000"/>
                <w:vertAlign w:val="subscript"/>
              </w:rPr>
              <w:t xml:space="preserve">   </w:t>
            </w:r>
            <w:r>
              <w:rPr>
                <w:rFonts w:ascii="Arial" w:cs="Arial" w:eastAsia="Arial" w:hAnsi="Arial"/>
                <w:sz w:val="12"/>
                <w:szCs w:val="12"/>
                <w:color w:val="351B3D"/>
              </w:rPr>
              <w:t xml:space="preserve"> Director Since</w:t>
            </w:r>
          </w:p>
        </w:tc>
        <w:tc>
          <w:tcPr>
            <w:tcW w:w="1800" w:type="dxa"/>
            <w:vAlign w:val="bottom"/>
          </w:tcPr>
          <w:p>
            <w:pPr>
              <w:ind w:left="180"/>
              <w:spacing w:after="0"/>
              <w:rPr>
                <w:sz w:val="20"/>
                <w:szCs w:val="20"/>
                <w:color w:val="auto"/>
              </w:rPr>
            </w:pPr>
            <w:r>
              <w:rPr>
                <w:rFonts w:ascii="Arial" w:cs="Arial" w:eastAsia="Arial" w:hAnsi="Arial"/>
                <w:sz w:val="12"/>
                <w:szCs w:val="12"/>
                <w:color w:val="351B3D"/>
              </w:rPr>
              <w:t>N/A</w:t>
            </w:r>
          </w:p>
        </w:tc>
      </w:tr>
      <w:tr>
        <w:trPr>
          <w:trHeight w:val="57"/>
        </w:trPr>
        <w:tc>
          <w:tcPr>
            <w:tcW w:w="16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r>
      <w:tr>
        <w:trPr>
          <w:trHeight w:val="368"/>
        </w:trPr>
        <w:tc>
          <w:tcPr>
            <w:tcW w:w="16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Arial" w:cs="Arial" w:eastAsia="Arial" w:hAnsi="Arial"/>
                <w:sz w:val="12"/>
                <w:szCs w:val="12"/>
                <w:color w:val="351B3D"/>
              </w:rPr>
              <w:t>Term Expires</w:t>
            </w:r>
          </w:p>
        </w:tc>
        <w:tc>
          <w:tcPr>
            <w:tcW w:w="1800" w:type="dxa"/>
            <w:vAlign w:val="bottom"/>
          </w:tcPr>
          <w:p>
            <w:pPr>
              <w:ind w:left="180"/>
              <w:spacing w:after="0"/>
              <w:rPr>
                <w:sz w:val="20"/>
                <w:szCs w:val="20"/>
                <w:color w:val="auto"/>
              </w:rPr>
            </w:pPr>
            <w:r>
              <w:rPr>
                <w:rFonts w:ascii="Arial" w:cs="Arial" w:eastAsia="Arial" w:hAnsi="Arial"/>
                <w:sz w:val="12"/>
                <w:szCs w:val="12"/>
                <w:color w:val="351B3D"/>
              </w:rPr>
              <w:t>2028 Annual Meeting</w:t>
            </w:r>
          </w:p>
        </w:tc>
      </w:tr>
      <w:tr>
        <w:trPr>
          <w:trHeight w:val="187"/>
        </w:trPr>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0" w:type="dxa"/>
            <w:vAlign w:val="bottom"/>
          </w:tcPr>
          <w:p>
            <w:pPr>
              <w:ind w:left="180"/>
              <w:spacing w:after="0"/>
              <w:rPr>
                <w:sz w:val="20"/>
                <w:szCs w:val="20"/>
                <w:color w:val="auto"/>
              </w:rPr>
            </w:pPr>
            <w:r>
              <w:rPr>
                <w:rFonts w:ascii="Arial" w:cs="Arial" w:eastAsia="Arial" w:hAnsi="Arial"/>
                <w:sz w:val="12"/>
                <w:szCs w:val="12"/>
                <w:color w:val="351B3D"/>
              </w:rPr>
              <w:t>(if elected)</w:t>
            </w:r>
          </w:p>
        </w:tc>
      </w:tr>
    </w:tbl>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6"/>
          <w:szCs w:val="16"/>
          <w:color w:val="140F21"/>
        </w:rPr>
        <w:t>PREVIOUS EXPERIENCE</w:t>
      </w:r>
    </w:p>
    <w:p>
      <w:pPr>
        <w:spacing w:after="0" w:line="2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–   2010 to 2018: Chairman and Chief Executive Officer of Pinnacle Entertainment, Inc.</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–   2008 to 2010: President and Chief Executive Officer of Multimedia Games, Inc.</w:t>
      </w:r>
    </w:p>
    <w:p>
      <w:pPr>
        <w:spacing w:after="0" w:line="80" w:lineRule="exact"/>
        <w:rPr>
          <w:sz w:val="20"/>
          <w:szCs w:val="20"/>
          <w:color w:val="auto"/>
        </w:rPr>
      </w:pPr>
    </w:p>
    <w:p>
      <w:pPr>
        <w:ind w:left="580" w:right="280" w:hanging="177"/>
        <w:spacing w:after="0" w:line="281" w:lineRule="auto"/>
        <w:rPr>
          <w:sz w:val="20"/>
          <w:szCs w:val="20"/>
          <w:color w:val="auto"/>
        </w:rPr>
      </w:pPr>
      <w:r>
        <w:rPr>
          <w:rFonts w:ascii="Arial" w:cs="Arial" w:eastAsia="Arial" w:hAnsi="Arial"/>
          <w:sz w:val="14"/>
          <w:szCs w:val="14"/>
          <w:color w:val="auto"/>
        </w:rPr>
        <w:t>–   Various roles at Harrah’s Entertainment, Inc., including President and Chief Operating Officer for Harrah’s New Orleans.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6"/>
          <w:szCs w:val="16"/>
          <w:color w:val="140F21"/>
        </w:rPr>
        <w:t>EDUCATION</w:t>
      </w:r>
    </w:p>
    <w:p>
      <w:pPr>
        <w:spacing w:after="0" w:line="2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Mr. Sanfilippo attended the University of Texas in Austin and the Stanford Executive Program</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6"/>
          <w:szCs w:val="16"/>
          <w:color w:val="140F21"/>
        </w:rPr>
        <w:t>EXPERTISE</w:t>
      </w:r>
    </w:p>
    <w:p>
      <w:pPr>
        <w:spacing w:after="0" w:line="22" w:lineRule="exact"/>
        <w:rPr>
          <w:sz w:val="20"/>
          <w:szCs w:val="20"/>
          <w:color w:val="auto"/>
        </w:rPr>
      </w:pPr>
    </w:p>
    <w:p>
      <w:pPr>
        <w:ind w:left="420" w:right="340"/>
        <w:spacing w:after="0" w:line="249" w:lineRule="auto"/>
        <w:rPr>
          <w:sz w:val="20"/>
          <w:szCs w:val="20"/>
          <w:color w:val="auto"/>
        </w:rPr>
      </w:pPr>
      <w:r>
        <w:rPr>
          <w:rFonts w:ascii="Arial" w:cs="Arial" w:eastAsia="Arial" w:hAnsi="Arial"/>
          <w:sz w:val="14"/>
          <w:szCs w:val="14"/>
          <w:color w:val="auto"/>
        </w:rPr>
        <w:t>Mr. Sanfilippo’s prior experience as an executive in our industry enhances the Board’s understanding of our regulatory, operational, financial, and strategic matters. His board service in various industries complements and strengthens our corporate governance and risk oversight.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739" w:lineRule="exact"/>
        <w:rPr>
          <w:sz w:val="20"/>
          <w:szCs w:val="20"/>
          <w:color w:val="auto"/>
        </w:rPr>
      </w:pPr>
    </w:p>
    <w:p>
      <w:pPr>
        <w:sectPr>
          <w:pgSz w:w="11900" w:h="16838" w:orient="portrait"/>
          <w:cols w:equalWidth="0" w:num="2">
            <w:col w:w="3160" w:space="100"/>
            <w:col w:w="7820"/>
          </w:cols>
          <w:pgMar w:left="320" w:top="478" w:right="499" w:bottom="1440" w:gutter="0" w:footer="0" w:header="0"/>
          <w:type w:val="continuous"/>
        </w:sectPr>
      </w:pPr>
    </w:p>
    <w:tbl>
      <w:tblPr>
        <w:tblLayout w:type="fixed"/>
        <w:tblInd w:w="320" w:type="dxa"/>
        <w:tblCellMar>
          <w:top w:w="0" w:type="dxa"/>
          <w:left w:w="0" w:type="dxa"/>
          <w:bottom w:w="0" w:type="dxa"/>
          <w:right w:w="0" w:type="dxa"/>
        </w:tblCellMar>
      </w:tblPr>
      <w:tr>
        <w:trPr>
          <w:trHeight w:val="388"/>
        </w:trPr>
        <w:tc>
          <w:tcPr>
            <w:tcW w:w="80" w:type="dxa"/>
            <w:vAlign w:val="bottom"/>
          </w:tcPr>
          <w:p>
            <w:pPr>
              <w:spacing w:after="0"/>
              <w:rPr>
                <w:sz w:val="24"/>
                <w:szCs w:val="24"/>
                <w:color w:val="auto"/>
              </w:rPr>
            </w:pPr>
          </w:p>
        </w:tc>
        <w:tc>
          <w:tcPr>
            <w:tcW w:w="680" w:type="dxa"/>
            <w:vAlign w:val="bottom"/>
            <w:shd w:val="clear" w:color="auto" w:fill="F9F9EA"/>
          </w:tcPr>
          <w:p>
            <w:pPr>
              <w:spacing w:after="0"/>
              <w:rPr>
                <w:sz w:val="20"/>
                <w:szCs w:val="20"/>
                <w:color w:val="auto"/>
              </w:rPr>
            </w:pPr>
            <w:r>
              <w:rPr>
                <w:rFonts w:ascii="Arial" w:cs="Arial" w:eastAsia="Arial" w:hAnsi="Arial"/>
                <w:sz w:val="12"/>
                <w:szCs w:val="12"/>
                <w:color w:val="351B3D"/>
              </w:rPr>
              <w:t>Age</w:t>
            </w:r>
          </w:p>
        </w:tc>
        <w:tc>
          <w:tcPr>
            <w:tcW w:w="2080" w:type="dxa"/>
            <w:vAlign w:val="bottom"/>
            <w:shd w:val="clear" w:color="auto" w:fill="F9F9EA"/>
          </w:tcPr>
          <w:p>
            <w:pPr>
              <w:jc w:val="right"/>
              <w:ind w:right="1418"/>
              <w:spacing w:after="0"/>
              <w:rPr>
                <w:sz w:val="20"/>
                <w:szCs w:val="20"/>
                <w:color w:val="auto"/>
              </w:rPr>
            </w:pPr>
            <w:r>
              <w:rPr>
                <w:rFonts w:ascii="Arial" w:cs="Arial" w:eastAsia="Arial" w:hAnsi="Arial"/>
                <w:sz w:val="12"/>
                <w:szCs w:val="12"/>
                <w:color w:val="351B3D"/>
              </w:rPr>
              <w:t>66</w:t>
            </w:r>
          </w:p>
        </w:tc>
        <w:tc>
          <w:tcPr>
            <w:tcW w:w="160" w:type="dxa"/>
            <w:vAlign w:val="bottom"/>
            <w:shd w:val="clear" w:color="auto" w:fill="F9F9EA"/>
          </w:tcPr>
          <w:p>
            <w:pPr>
              <w:spacing w:after="0"/>
              <w:rPr>
                <w:sz w:val="24"/>
                <w:szCs w:val="24"/>
                <w:color w:val="auto"/>
              </w:rPr>
            </w:pPr>
          </w:p>
        </w:tc>
      </w:tr>
      <w:tr>
        <w:trPr>
          <w:trHeight w:val="161"/>
        </w:trPr>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shd w:val="clear" w:color="auto" w:fill="F9F9EA"/>
          </w:tcPr>
          <w:p>
            <w:pPr>
              <w:spacing w:after="0"/>
              <w:rPr>
                <w:sz w:val="13"/>
                <w:szCs w:val="13"/>
                <w:color w:val="auto"/>
              </w:rPr>
            </w:pPr>
          </w:p>
        </w:tc>
        <w:tc>
          <w:tcPr>
            <w:tcW w:w="2080" w:type="dxa"/>
            <w:vAlign w:val="bottom"/>
            <w:tcBorders>
              <w:bottom w:val="single" w:sz="8" w:color="auto"/>
            </w:tcBorders>
            <w:shd w:val="clear" w:color="auto" w:fill="F9F9EA"/>
          </w:tcPr>
          <w:p>
            <w:pPr>
              <w:spacing w:after="0"/>
              <w:rPr>
                <w:sz w:val="13"/>
                <w:szCs w:val="13"/>
                <w:color w:val="auto"/>
              </w:rPr>
            </w:pPr>
          </w:p>
        </w:tc>
        <w:tc>
          <w:tcPr>
            <w:tcW w:w="160" w:type="dxa"/>
            <w:vAlign w:val="bottom"/>
            <w:shd w:val="clear" w:color="auto" w:fill="F9F9EA"/>
          </w:tcPr>
          <w:p>
            <w:pPr>
              <w:spacing w:after="0"/>
              <w:rPr>
                <w:sz w:val="13"/>
                <w:szCs w:val="13"/>
                <w:color w:val="auto"/>
              </w:rPr>
            </w:pPr>
          </w:p>
        </w:tc>
      </w:tr>
    </w:tbl>
    <w:p>
      <w:pPr>
        <w:spacing w:after="0" w:line="173"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SKILLS AND QUALIFICATIONS</w:t>
      </w:r>
    </w:p>
    <w:p>
      <w:pPr>
        <w:spacing w:after="0" w:line="138" w:lineRule="exact"/>
        <w:rPr>
          <w:sz w:val="20"/>
          <w:szCs w:val="20"/>
          <w:color w:val="auto"/>
        </w:rPr>
      </w:pPr>
    </w:p>
    <w:tbl>
      <w:tblPr>
        <w:tblLayout w:type="fixed"/>
        <w:tblInd w:w="160" w:type="dxa"/>
        <w:tblCellMar>
          <w:top w:w="0" w:type="dxa"/>
          <w:left w:w="0" w:type="dxa"/>
          <w:bottom w:w="0" w:type="dxa"/>
          <w:right w:w="0" w:type="dxa"/>
        </w:tblCellMar>
      </w:tblPr>
      <w:tr>
        <w:trPr>
          <w:trHeight w:val="285"/>
        </w:trPr>
        <w:tc>
          <w:tcPr>
            <w:tcW w:w="2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Gaming or Other Regulated</w:t>
            </w: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During his service as Chairman and Chief Executive Officer of Pinnacle Entertainment, Inc., Mr. Sanfilippo led multiple strategic</w:t>
            </w:r>
          </w:p>
        </w:tc>
      </w:tr>
      <w:tr>
        <w:trPr>
          <w:trHeight w:val="160"/>
        </w:trPr>
        <w:tc>
          <w:tcPr>
            <w:tcW w:w="2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Industry</w:t>
            </w: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transactions through its ultimate sale to Penn Entertainment, Inc. (f/k/a Penn National Gaming). Prior to its sale, Pinnacle operated 16</w:t>
            </w:r>
          </w:p>
        </w:tc>
      </w:tr>
      <w:tr>
        <w:trPr>
          <w:trHeight w:val="189"/>
        </w:trPr>
        <w:tc>
          <w:tcPr>
            <w:tcW w:w="2220" w:type="dxa"/>
            <w:vAlign w:val="bottom"/>
            <w:shd w:val="clear" w:color="auto" w:fill="D6D1D8"/>
          </w:tcPr>
          <w:p>
            <w:pPr>
              <w:spacing w:after="0"/>
              <w:rPr>
                <w:sz w:val="16"/>
                <w:szCs w:val="16"/>
                <w:color w:val="auto"/>
              </w:rPr>
            </w:pP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casino locations in 10 states.</w:t>
            </w:r>
          </w:p>
        </w:tc>
      </w:tr>
      <w:tr>
        <w:trPr>
          <w:trHeight w:val="88"/>
        </w:trPr>
        <w:tc>
          <w:tcPr>
            <w:tcW w:w="2220" w:type="dxa"/>
            <w:vAlign w:val="bottom"/>
            <w:shd w:val="clear" w:color="auto" w:fill="D6D1D8"/>
          </w:tcPr>
          <w:p>
            <w:pPr>
              <w:spacing w:after="0"/>
              <w:rPr>
                <w:sz w:val="7"/>
                <w:szCs w:val="7"/>
                <w:color w:val="auto"/>
              </w:rPr>
            </w:pPr>
          </w:p>
        </w:tc>
        <w:tc>
          <w:tcPr>
            <w:tcW w:w="8700" w:type="dxa"/>
            <w:vAlign w:val="bottom"/>
            <w:shd w:val="clear" w:color="auto" w:fill="D6D1D8"/>
          </w:tcPr>
          <w:p>
            <w:pPr>
              <w:spacing w:after="0"/>
              <w:rPr>
                <w:sz w:val="7"/>
                <w:szCs w:val="7"/>
                <w:color w:val="auto"/>
              </w:rPr>
            </w:pPr>
          </w:p>
        </w:tc>
      </w:tr>
      <w:tr>
        <w:trPr>
          <w:trHeight w:val="285"/>
        </w:trPr>
        <w:tc>
          <w:tcPr>
            <w:tcW w:w="2220" w:type="dxa"/>
            <w:vAlign w:val="bottom"/>
          </w:tcPr>
          <w:p>
            <w:pPr>
              <w:ind w:left="80"/>
              <w:spacing w:after="0"/>
              <w:rPr>
                <w:sz w:val="20"/>
                <w:szCs w:val="20"/>
                <w:color w:val="auto"/>
              </w:rPr>
            </w:pPr>
            <w:r>
              <w:rPr>
                <w:rFonts w:ascii="Arial" w:cs="Arial" w:eastAsia="Arial" w:hAnsi="Arial"/>
                <w:sz w:val="14"/>
                <w:szCs w:val="14"/>
                <w:color w:val="auto"/>
              </w:rPr>
              <w:t>Travel, Leisure, Hospitality &amp;</w:t>
            </w:r>
          </w:p>
        </w:tc>
        <w:tc>
          <w:tcPr>
            <w:tcW w:w="8700" w:type="dxa"/>
            <w:vAlign w:val="bottom"/>
          </w:tcPr>
          <w:p>
            <w:pPr>
              <w:ind w:left="120"/>
              <w:spacing w:after="0"/>
              <w:rPr>
                <w:sz w:val="20"/>
                <w:szCs w:val="20"/>
                <w:color w:val="auto"/>
              </w:rPr>
            </w:pPr>
            <w:r>
              <w:rPr>
                <w:rFonts w:ascii="Arial" w:cs="Arial" w:eastAsia="Arial" w:hAnsi="Arial"/>
                <w:sz w:val="14"/>
                <w:szCs w:val="14"/>
                <w:color w:val="auto"/>
              </w:rPr>
              <w:t>Mr. Sanfilippo has over 35 years of experience specifically in gaming hospitality. And, during that time period served as a board member</w:t>
            </w:r>
          </w:p>
        </w:tc>
      </w:tr>
      <w:tr>
        <w:trPr>
          <w:trHeight w:val="160"/>
        </w:trPr>
        <w:tc>
          <w:tcPr>
            <w:tcW w:w="2220" w:type="dxa"/>
            <w:vAlign w:val="bottom"/>
          </w:tcPr>
          <w:p>
            <w:pPr>
              <w:ind w:left="80"/>
              <w:spacing w:after="0"/>
              <w:rPr>
                <w:sz w:val="20"/>
                <w:szCs w:val="20"/>
                <w:color w:val="auto"/>
              </w:rPr>
            </w:pPr>
            <w:r>
              <w:rPr>
                <w:rFonts w:ascii="Arial" w:cs="Arial" w:eastAsia="Arial" w:hAnsi="Arial"/>
                <w:sz w:val="14"/>
                <w:szCs w:val="14"/>
                <w:color w:val="auto"/>
              </w:rPr>
              <w:t>Entertainment</w:t>
            </w:r>
          </w:p>
        </w:tc>
        <w:tc>
          <w:tcPr>
            <w:tcW w:w="8700" w:type="dxa"/>
            <w:vAlign w:val="bottom"/>
          </w:tcPr>
          <w:p>
            <w:pPr>
              <w:ind w:left="120"/>
              <w:spacing w:after="0"/>
              <w:rPr>
                <w:sz w:val="20"/>
                <w:szCs w:val="20"/>
                <w:color w:val="auto"/>
              </w:rPr>
            </w:pPr>
            <w:r>
              <w:rPr>
                <w:rFonts w:ascii="Arial" w:cs="Arial" w:eastAsia="Arial" w:hAnsi="Arial"/>
                <w:sz w:val="14"/>
                <w:szCs w:val="14"/>
                <w:color w:val="auto"/>
              </w:rPr>
              <w:t>and chief executive officer in the gaming hospitality industry for over 12 years. Mr. Sanfilippo is the Managing Partner of Sorelle</w:t>
            </w:r>
          </w:p>
        </w:tc>
      </w:tr>
      <w:tr>
        <w:trPr>
          <w:trHeight w:val="189"/>
        </w:trPr>
        <w:tc>
          <w:tcPr>
            <w:tcW w:w="2220" w:type="dxa"/>
            <w:vAlign w:val="bottom"/>
          </w:tcPr>
          <w:p>
            <w:pPr>
              <w:spacing w:after="0"/>
              <w:rPr>
                <w:sz w:val="16"/>
                <w:szCs w:val="16"/>
                <w:color w:val="auto"/>
              </w:rPr>
            </w:pPr>
          </w:p>
        </w:tc>
        <w:tc>
          <w:tcPr>
            <w:tcW w:w="8700" w:type="dxa"/>
            <w:vAlign w:val="bottom"/>
          </w:tcPr>
          <w:p>
            <w:pPr>
              <w:ind w:left="120"/>
              <w:spacing w:after="0"/>
              <w:rPr>
                <w:sz w:val="20"/>
                <w:szCs w:val="20"/>
                <w:color w:val="auto"/>
              </w:rPr>
            </w:pPr>
            <w:r>
              <w:rPr>
                <w:rFonts w:ascii="Arial" w:cs="Arial" w:eastAsia="Arial" w:hAnsi="Arial"/>
                <w:sz w:val="14"/>
                <w:szCs w:val="14"/>
                <w:color w:val="auto"/>
              </w:rPr>
              <w:t>Hospitality which owns and operates hospitality related businesses. Sorelle Hospitality is based in Nashville, Tennessee.</w:t>
            </w:r>
          </w:p>
        </w:tc>
      </w:tr>
      <w:tr>
        <w:trPr>
          <w:trHeight w:val="88"/>
        </w:trPr>
        <w:tc>
          <w:tcPr>
            <w:tcW w:w="2220" w:type="dxa"/>
            <w:vAlign w:val="bottom"/>
          </w:tcPr>
          <w:p>
            <w:pPr>
              <w:spacing w:after="0"/>
              <w:rPr>
                <w:sz w:val="7"/>
                <w:szCs w:val="7"/>
                <w:color w:val="auto"/>
              </w:rPr>
            </w:pPr>
          </w:p>
        </w:tc>
        <w:tc>
          <w:tcPr>
            <w:tcW w:w="8700" w:type="dxa"/>
            <w:vAlign w:val="bottom"/>
          </w:tcPr>
          <w:p>
            <w:pPr>
              <w:spacing w:after="0"/>
              <w:rPr>
                <w:sz w:val="7"/>
                <w:szCs w:val="7"/>
                <w:color w:val="auto"/>
              </w:rPr>
            </w:pPr>
          </w:p>
        </w:tc>
      </w:tr>
      <w:tr>
        <w:trPr>
          <w:trHeight w:val="285"/>
        </w:trPr>
        <w:tc>
          <w:tcPr>
            <w:tcW w:w="2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Executive Leadership</w:t>
            </w: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Mr. Sanfilippo served as Chief Executive Officer of Pinnacle Entertainment, Inc. for almost 10 years, and, prior to that, as Chief</w:t>
            </w:r>
          </w:p>
        </w:tc>
      </w:tr>
      <w:tr>
        <w:trPr>
          <w:trHeight w:val="189"/>
        </w:trPr>
        <w:tc>
          <w:tcPr>
            <w:tcW w:w="2220" w:type="dxa"/>
            <w:vAlign w:val="bottom"/>
            <w:shd w:val="clear" w:color="auto" w:fill="D6D1D8"/>
          </w:tcPr>
          <w:p>
            <w:pPr>
              <w:spacing w:after="0"/>
              <w:rPr>
                <w:sz w:val="16"/>
                <w:szCs w:val="16"/>
                <w:color w:val="auto"/>
              </w:rPr>
            </w:pP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Executive Officer of Multimedia Games, Inc.</w:t>
            </w:r>
          </w:p>
        </w:tc>
      </w:tr>
      <w:tr>
        <w:trPr>
          <w:trHeight w:val="88"/>
        </w:trPr>
        <w:tc>
          <w:tcPr>
            <w:tcW w:w="2220" w:type="dxa"/>
            <w:vAlign w:val="bottom"/>
            <w:shd w:val="clear" w:color="auto" w:fill="D6D1D8"/>
          </w:tcPr>
          <w:p>
            <w:pPr>
              <w:spacing w:after="0"/>
              <w:rPr>
                <w:sz w:val="7"/>
                <w:szCs w:val="7"/>
                <w:color w:val="auto"/>
              </w:rPr>
            </w:pPr>
          </w:p>
        </w:tc>
        <w:tc>
          <w:tcPr>
            <w:tcW w:w="8700" w:type="dxa"/>
            <w:vAlign w:val="bottom"/>
            <w:shd w:val="clear" w:color="auto" w:fill="D6D1D8"/>
          </w:tcPr>
          <w:p>
            <w:pPr>
              <w:spacing w:after="0"/>
              <w:rPr>
                <w:sz w:val="7"/>
                <w:szCs w:val="7"/>
                <w:color w:val="auto"/>
              </w:rPr>
            </w:pPr>
          </w:p>
        </w:tc>
      </w:tr>
      <w:tr>
        <w:trPr>
          <w:trHeight w:val="313"/>
        </w:trPr>
        <w:tc>
          <w:tcPr>
            <w:tcW w:w="2220" w:type="dxa"/>
            <w:vAlign w:val="bottom"/>
          </w:tcPr>
          <w:p>
            <w:pPr>
              <w:ind w:left="80"/>
              <w:spacing w:after="0"/>
              <w:rPr>
                <w:sz w:val="20"/>
                <w:szCs w:val="20"/>
                <w:color w:val="auto"/>
              </w:rPr>
            </w:pPr>
            <w:r>
              <w:rPr>
                <w:rFonts w:ascii="Arial" w:cs="Arial" w:eastAsia="Arial" w:hAnsi="Arial"/>
                <w:sz w:val="14"/>
                <w:szCs w:val="14"/>
                <w:color w:val="auto"/>
              </w:rPr>
              <w:t>Outside Public Board</w:t>
            </w:r>
          </w:p>
        </w:tc>
        <w:tc>
          <w:tcPr>
            <w:tcW w:w="8700" w:type="dxa"/>
            <w:vAlign w:val="bottom"/>
          </w:tcPr>
          <w:p>
            <w:pPr>
              <w:ind w:left="120"/>
              <w:spacing w:after="0"/>
              <w:rPr>
                <w:sz w:val="20"/>
                <w:szCs w:val="20"/>
                <w:color w:val="auto"/>
              </w:rPr>
            </w:pPr>
            <w:r>
              <w:rPr>
                <w:rFonts w:ascii="Arial" w:cs="Arial" w:eastAsia="Arial" w:hAnsi="Arial"/>
                <w:sz w:val="14"/>
                <w:szCs w:val="14"/>
                <w:color w:val="auto"/>
              </w:rPr>
              <w:t>Mr. Sanfilippo has served on the boards of Papa Johns International, Inc., Tivity Health, Inc, and Jazz Casino Corporation.</w:t>
            </w:r>
          </w:p>
        </w:tc>
      </w:tr>
      <w:tr>
        <w:trPr>
          <w:trHeight w:val="88"/>
        </w:trPr>
        <w:tc>
          <w:tcPr>
            <w:tcW w:w="2220" w:type="dxa"/>
            <w:vAlign w:val="bottom"/>
          </w:tcPr>
          <w:p>
            <w:pPr>
              <w:spacing w:after="0"/>
              <w:rPr>
                <w:sz w:val="7"/>
                <w:szCs w:val="7"/>
                <w:color w:val="auto"/>
              </w:rPr>
            </w:pPr>
          </w:p>
        </w:tc>
        <w:tc>
          <w:tcPr>
            <w:tcW w:w="8700" w:type="dxa"/>
            <w:vAlign w:val="bottom"/>
          </w:tcPr>
          <w:p>
            <w:pPr>
              <w:spacing w:after="0"/>
              <w:rPr>
                <w:sz w:val="7"/>
                <w:szCs w:val="7"/>
                <w:color w:val="auto"/>
              </w:rPr>
            </w:pPr>
          </w:p>
        </w:tc>
      </w:tr>
      <w:tr>
        <w:trPr>
          <w:trHeight w:val="285"/>
        </w:trPr>
        <w:tc>
          <w:tcPr>
            <w:tcW w:w="2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Real Estate or Project</w:t>
            </w: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Mr. Sanfilippo co-founded Sorelle Capital, a Family Office focused in part on investing in and developing real estate related projects.</w:t>
            </w:r>
          </w:p>
        </w:tc>
      </w:tr>
      <w:tr>
        <w:trPr>
          <w:trHeight w:val="189"/>
        </w:trPr>
        <w:tc>
          <w:tcPr>
            <w:tcW w:w="2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Construction</w:t>
            </w:r>
          </w:p>
        </w:tc>
        <w:tc>
          <w:tcPr>
            <w:tcW w:w="8700" w:type="dxa"/>
            <w:vAlign w:val="bottom"/>
            <w:shd w:val="clear" w:color="auto" w:fill="D6D1D8"/>
          </w:tcPr>
          <w:p>
            <w:pPr>
              <w:spacing w:after="0"/>
              <w:rPr>
                <w:sz w:val="16"/>
                <w:szCs w:val="16"/>
                <w:color w:val="auto"/>
              </w:rPr>
            </w:pPr>
          </w:p>
        </w:tc>
      </w:tr>
      <w:tr>
        <w:trPr>
          <w:trHeight w:val="88"/>
        </w:trPr>
        <w:tc>
          <w:tcPr>
            <w:tcW w:w="2220" w:type="dxa"/>
            <w:vAlign w:val="bottom"/>
            <w:shd w:val="clear" w:color="auto" w:fill="D6D1D8"/>
          </w:tcPr>
          <w:p>
            <w:pPr>
              <w:spacing w:after="0"/>
              <w:rPr>
                <w:sz w:val="7"/>
                <w:szCs w:val="7"/>
                <w:color w:val="auto"/>
              </w:rPr>
            </w:pPr>
          </w:p>
        </w:tc>
        <w:tc>
          <w:tcPr>
            <w:tcW w:w="8700" w:type="dxa"/>
            <w:vAlign w:val="bottom"/>
            <w:shd w:val="clear" w:color="auto" w:fill="D6D1D8"/>
          </w:tcPr>
          <w:p>
            <w:pPr>
              <w:spacing w:after="0"/>
              <w:rPr>
                <w:sz w:val="7"/>
                <w:szCs w:val="7"/>
                <w:color w:val="auto"/>
              </w:rPr>
            </w:pPr>
          </w:p>
        </w:tc>
      </w:tr>
      <w:tr>
        <w:trPr>
          <w:trHeight w:val="294"/>
        </w:trPr>
        <w:tc>
          <w:tcPr>
            <w:tcW w:w="2220" w:type="dxa"/>
            <w:vAlign w:val="bottom"/>
          </w:tcPr>
          <w:p>
            <w:pPr>
              <w:spacing w:after="0"/>
              <w:rPr>
                <w:sz w:val="24"/>
                <w:szCs w:val="24"/>
                <w:color w:val="auto"/>
              </w:rPr>
            </w:pPr>
          </w:p>
        </w:tc>
        <w:tc>
          <w:tcPr>
            <w:tcW w:w="8700" w:type="dxa"/>
            <w:vAlign w:val="bottom"/>
          </w:tcPr>
          <w:p>
            <w:pPr>
              <w:ind w:left="8580"/>
              <w:spacing w:after="0"/>
              <w:rPr>
                <w:sz w:val="20"/>
                <w:szCs w:val="20"/>
                <w:color w:val="auto"/>
              </w:rPr>
            </w:pPr>
            <w:r>
              <w:rPr>
                <w:rFonts w:ascii="Arial" w:cs="Arial" w:eastAsia="Arial" w:hAnsi="Arial"/>
                <w:sz w:val="12"/>
                <w:szCs w:val="12"/>
                <w:color w:val="auto"/>
                <w:w w:val="74"/>
              </w:rPr>
              <w:t>11</w:t>
            </w:r>
          </w:p>
        </w:tc>
      </w:tr>
    </w:tbl>
    <w:p>
      <w:pPr>
        <w:sectPr>
          <w:pgSz w:w="11900" w:h="16838" w:orient="portrait"/>
          <w:cols w:equalWidth="0" w:num="1">
            <w:col w:w="11080"/>
          </w:cols>
          <w:pgMar w:left="320" w:top="478" w:right="4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32"/>
          <w:szCs w:val="32"/>
          <w:color w:val="auto"/>
        </w:rPr>
        <w:t xml:space="preserve">Philip G. Satre </w:t>
      </w:r>
      <w:r>
        <w:rPr>
          <w:rFonts w:ascii="Times New Roman" w:cs="Times New Roman" w:eastAsia="Times New Roman" w:hAnsi="Times New Roman"/>
          <w:sz w:val="14"/>
          <w:szCs w:val="14"/>
          <w:i w:val="1"/>
          <w:iCs w:val="1"/>
          <w:color w:val="351B3D"/>
        </w:rPr>
        <w:t>Retired</w:t>
      </w:r>
    </w:p>
    <w:p>
      <w:pPr>
        <w:spacing w:after="0" w:line="199" w:lineRule="exact"/>
        <w:rPr>
          <w:sz w:val="20"/>
          <w:szCs w:val="20"/>
          <w:color w:val="auto"/>
        </w:rPr>
      </w:pPr>
    </w:p>
    <w:p>
      <w:pPr>
        <w:ind w:left="160" w:right="20"/>
        <w:spacing w:after="0" w:line="253" w:lineRule="auto"/>
        <w:rPr>
          <w:sz w:val="20"/>
          <w:szCs w:val="20"/>
          <w:color w:val="auto"/>
        </w:rPr>
      </w:pPr>
      <w:r>
        <w:rPr>
          <w:rFonts w:ascii="Arial" w:cs="Arial" w:eastAsia="Arial" w:hAnsi="Arial"/>
          <w:sz w:val="14"/>
          <w:szCs w:val="14"/>
          <w:color w:val="auto"/>
        </w:rPr>
        <w:t>Mr. Satre has served as the Non-Executive Chair of the Board since November 2018 and joined the Board as Vice-Chair in August 2018. In the not-for-profit sector, Mr. Satre is President Emeritus of the International Center for Responsible Gaming; a Trustee of The National World War II Museum; serves on the Board of the National Automobile Museum - The Harrah Collection in Reno, Nevada; is Co-Founder and Chair of the Kenny Guinn Center for Policy Priorities and served on the Stanford Alumni Association Board of Directors until June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135255</wp:posOffset>
            </wp:positionV>
            <wp:extent cx="1986915" cy="1409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86915" cy="140970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160" w:type="dxa"/>
        <w:tblCellMar>
          <w:top w:w="0" w:type="dxa"/>
          <w:left w:w="0" w:type="dxa"/>
          <w:bottom w:w="0" w:type="dxa"/>
          <w:right w:w="0" w:type="dxa"/>
        </w:tblCellMar>
      </w:tblPr>
      <w:tr>
        <w:trPr>
          <w:trHeight w:val="478"/>
        </w:trPr>
        <w:tc>
          <w:tcPr>
            <w:tcW w:w="120" w:type="dxa"/>
            <w:vAlign w:val="bottom"/>
            <w:shd w:val="clear" w:color="auto" w:fill="F9F9EA"/>
          </w:tcPr>
          <w:p>
            <w:pPr>
              <w:spacing w:after="0"/>
              <w:rPr>
                <w:sz w:val="20"/>
                <w:szCs w:val="20"/>
                <w:color w:val="auto"/>
              </w:rPr>
            </w:pPr>
            <w:r>
              <w:rPr>
                <w:rFonts w:ascii="Arial" w:cs="Arial" w:eastAsia="Arial" w:hAnsi="Arial"/>
                <w:sz w:val="16"/>
                <w:szCs w:val="16"/>
                <w:color w:val="auto"/>
              </w:rPr>
              <w:t xml:space="preserve">   </w:t>
            </w:r>
          </w:p>
        </w:tc>
        <w:tc>
          <w:tcPr>
            <w:tcW w:w="134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Director Since</w:t>
            </w:r>
          </w:p>
        </w:tc>
        <w:tc>
          <w:tcPr>
            <w:tcW w:w="158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August 2018</w:t>
            </w:r>
          </w:p>
        </w:tc>
        <w:tc>
          <w:tcPr>
            <w:tcW w:w="120" w:type="dxa"/>
            <w:vAlign w:val="bottom"/>
            <w:shd w:val="clear" w:color="auto" w:fill="F9F9EA"/>
          </w:tcPr>
          <w:p>
            <w:pPr>
              <w:ind w:left="80"/>
              <w:spacing w:after="0"/>
              <w:rPr>
                <w:sz w:val="20"/>
                <w:szCs w:val="20"/>
                <w:color w:val="auto"/>
              </w:rPr>
            </w:pPr>
            <w:r>
              <w:rPr>
                <w:rFonts w:ascii="Arial" w:cs="Arial" w:eastAsia="Arial" w:hAnsi="Arial"/>
                <w:sz w:val="11"/>
                <w:szCs w:val="11"/>
                <w:color w:val="auto"/>
                <w:w w:val="70"/>
              </w:rPr>
              <w:t> </w:t>
            </w:r>
          </w:p>
        </w:tc>
      </w:tr>
      <w:tr>
        <w:trPr>
          <w:trHeight w:val="124"/>
        </w:trPr>
        <w:tc>
          <w:tcPr>
            <w:tcW w:w="120" w:type="dxa"/>
            <w:vAlign w:val="bottom"/>
            <w:tcBorders>
              <w:bottom w:val="single" w:sz="8" w:color="F9F9EA"/>
            </w:tcBorders>
            <w:shd w:val="clear" w:color="auto" w:fill="F9F9EA"/>
          </w:tcPr>
          <w:p>
            <w:pPr>
              <w:spacing w:after="0"/>
              <w:rPr>
                <w:sz w:val="10"/>
                <w:szCs w:val="10"/>
                <w:color w:val="auto"/>
              </w:rPr>
            </w:pPr>
          </w:p>
        </w:tc>
        <w:tc>
          <w:tcPr>
            <w:tcW w:w="1340" w:type="dxa"/>
            <w:vAlign w:val="bottom"/>
            <w:tcBorders>
              <w:bottom w:val="single" w:sz="8" w:color="auto"/>
            </w:tcBorders>
            <w:shd w:val="clear" w:color="auto" w:fill="F9F9EA"/>
          </w:tcPr>
          <w:p>
            <w:pPr>
              <w:spacing w:after="0"/>
              <w:rPr>
                <w:sz w:val="10"/>
                <w:szCs w:val="10"/>
                <w:color w:val="auto"/>
              </w:rPr>
            </w:pPr>
          </w:p>
        </w:tc>
        <w:tc>
          <w:tcPr>
            <w:tcW w:w="1580" w:type="dxa"/>
            <w:vAlign w:val="bottom"/>
            <w:tcBorders>
              <w:bottom w:val="single" w:sz="8" w:color="auto"/>
            </w:tcBorders>
            <w:shd w:val="clear" w:color="auto" w:fill="F9F9EA"/>
          </w:tcPr>
          <w:p>
            <w:pPr>
              <w:spacing w:after="0"/>
              <w:rPr>
                <w:sz w:val="10"/>
                <w:szCs w:val="10"/>
                <w:color w:val="auto"/>
              </w:rPr>
            </w:pPr>
          </w:p>
        </w:tc>
        <w:tc>
          <w:tcPr>
            <w:tcW w:w="120" w:type="dxa"/>
            <w:vAlign w:val="bottom"/>
            <w:tcBorders>
              <w:bottom w:val="single" w:sz="8" w:color="F9F9EA"/>
            </w:tcBorders>
            <w:shd w:val="clear" w:color="auto" w:fill="F9F9EA"/>
          </w:tcPr>
          <w:p>
            <w:pPr>
              <w:spacing w:after="0"/>
              <w:rPr>
                <w:sz w:val="10"/>
                <w:szCs w:val="10"/>
                <w:color w:val="auto"/>
              </w:rPr>
            </w:pPr>
          </w:p>
        </w:tc>
      </w:tr>
      <w:tr>
        <w:trPr>
          <w:trHeight w:val="368"/>
        </w:trPr>
        <w:tc>
          <w:tcPr>
            <w:tcW w:w="120" w:type="dxa"/>
            <w:vAlign w:val="bottom"/>
            <w:shd w:val="clear" w:color="auto" w:fill="F9F9EA"/>
          </w:tcPr>
          <w:p>
            <w:pPr>
              <w:spacing w:after="0"/>
              <w:rPr>
                <w:sz w:val="24"/>
                <w:szCs w:val="24"/>
                <w:color w:val="auto"/>
              </w:rPr>
            </w:pPr>
          </w:p>
        </w:tc>
        <w:tc>
          <w:tcPr>
            <w:tcW w:w="134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Term Expires</w:t>
            </w:r>
          </w:p>
        </w:tc>
        <w:tc>
          <w:tcPr>
            <w:tcW w:w="158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2026 Annual Meeting</w:t>
            </w:r>
          </w:p>
        </w:tc>
        <w:tc>
          <w:tcPr>
            <w:tcW w:w="120" w:type="dxa"/>
            <w:vAlign w:val="bottom"/>
            <w:shd w:val="clear" w:color="auto" w:fill="F9F9EA"/>
          </w:tcPr>
          <w:p>
            <w:pPr>
              <w:spacing w:after="0"/>
              <w:rPr>
                <w:sz w:val="24"/>
                <w:szCs w:val="24"/>
                <w:color w:val="auto"/>
              </w:rPr>
            </w:pPr>
          </w:p>
        </w:tc>
      </w:tr>
      <w:tr>
        <w:trPr>
          <w:trHeight w:val="227"/>
        </w:trPr>
        <w:tc>
          <w:tcPr>
            <w:tcW w:w="120" w:type="dxa"/>
            <w:vAlign w:val="bottom"/>
            <w:tcBorders>
              <w:bottom w:val="single" w:sz="8" w:color="F9F9EA"/>
            </w:tcBorders>
            <w:shd w:val="clear" w:color="auto" w:fill="F9F9EA"/>
          </w:tcPr>
          <w:p>
            <w:pPr>
              <w:spacing w:after="0"/>
              <w:rPr>
                <w:sz w:val="19"/>
                <w:szCs w:val="19"/>
                <w:color w:val="auto"/>
              </w:rPr>
            </w:pPr>
          </w:p>
        </w:tc>
        <w:tc>
          <w:tcPr>
            <w:tcW w:w="1340" w:type="dxa"/>
            <w:vAlign w:val="bottom"/>
            <w:tcBorders>
              <w:bottom w:val="single" w:sz="8" w:color="auto"/>
            </w:tcBorders>
            <w:shd w:val="clear" w:color="auto" w:fill="F9F9EA"/>
          </w:tcPr>
          <w:p>
            <w:pPr>
              <w:spacing w:after="0"/>
              <w:rPr>
                <w:sz w:val="19"/>
                <w:szCs w:val="19"/>
                <w:color w:val="auto"/>
              </w:rPr>
            </w:pPr>
          </w:p>
        </w:tc>
        <w:tc>
          <w:tcPr>
            <w:tcW w:w="1580" w:type="dxa"/>
            <w:vAlign w:val="bottom"/>
            <w:tcBorders>
              <w:bottom w:val="single" w:sz="8" w:color="auto"/>
            </w:tcBorders>
            <w:shd w:val="clear" w:color="auto" w:fill="F9F9EA"/>
          </w:tcPr>
          <w:p>
            <w:pPr>
              <w:spacing w:after="0"/>
              <w:rPr>
                <w:sz w:val="19"/>
                <w:szCs w:val="19"/>
                <w:color w:val="auto"/>
              </w:rPr>
            </w:pPr>
          </w:p>
        </w:tc>
        <w:tc>
          <w:tcPr>
            <w:tcW w:w="120" w:type="dxa"/>
            <w:vAlign w:val="bottom"/>
            <w:tcBorders>
              <w:bottom w:val="single" w:sz="8" w:color="F9F9EA"/>
            </w:tcBorders>
            <w:shd w:val="clear" w:color="auto" w:fill="F9F9EA"/>
          </w:tcPr>
          <w:p>
            <w:pPr>
              <w:spacing w:after="0"/>
              <w:rPr>
                <w:sz w:val="19"/>
                <w:szCs w:val="19"/>
                <w:color w:val="auto"/>
              </w:rPr>
            </w:pPr>
          </w:p>
        </w:tc>
      </w:tr>
      <w:tr>
        <w:trPr>
          <w:trHeight w:val="368"/>
        </w:trPr>
        <w:tc>
          <w:tcPr>
            <w:tcW w:w="120" w:type="dxa"/>
            <w:vAlign w:val="bottom"/>
            <w:shd w:val="clear" w:color="auto" w:fill="F9F9EA"/>
          </w:tcPr>
          <w:p>
            <w:pPr>
              <w:spacing w:after="0"/>
              <w:rPr>
                <w:sz w:val="24"/>
                <w:szCs w:val="24"/>
                <w:color w:val="auto"/>
              </w:rPr>
            </w:pPr>
          </w:p>
        </w:tc>
        <w:tc>
          <w:tcPr>
            <w:tcW w:w="134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Age</w:t>
            </w:r>
          </w:p>
        </w:tc>
        <w:tc>
          <w:tcPr>
            <w:tcW w:w="158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75</w:t>
            </w:r>
          </w:p>
        </w:tc>
        <w:tc>
          <w:tcPr>
            <w:tcW w:w="120" w:type="dxa"/>
            <w:vAlign w:val="bottom"/>
            <w:shd w:val="clear" w:color="auto" w:fill="F9F9EA"/>
          </w:tcPr>
          <w:p>
            <w:pPr>
              <w:spacing w:after="0"/>
              <w:rPr>
                <w:sz w:val="24"/>
                <w:szCs w:val="24"/>
                <w:color w:val="auto"/>
              </w:rPr>
            </w:pPr>
          </w:p>
        </w:tc>
      </w:tr>
      <w:tr>
        <w:trPr>
          <w:trHeight w:val="227"/>
        </w:trPr>
        <w:tc>
          <w:tcPr>
            <w:tcW w:w="120" w:type="dxa"/>
            <w:vAlign w:val="bottom"/>
            <w:tcBorders>
              <w:bottom w:val="single" w:sz="8" w:color="F9F9EA"/>
            </w:tcBorders>
            <w:shd w:val="clear" w:color="auto" w:fill="F9F9EA"/>
          </w:tcPr>
          <w:p>
            <w:pPr>
              <w:spacing w:after="0"/>
              <w:rPr>
                <w:sz w:val="19"/>
                <w:szCs w:val="19"/>
                <w:color w:val="auto"/>
              </w:rPr>
            </w:pPr>
          </w:p>
        </w:tc>
        <w:tc>
          <w:tcPr>
            <w:tcW w:w="1340" w:type="dxa"/>
            <w:vAlign w:val="bottom"/>
            <w:tcBorders>
              <w:bottom w:val="single" w:sz="8" w:color="auto"/>
            </w:tcBorders>
            <w:shd w:val="clear" w:color="auto" w:fill="F9F9EA"/>
          </w:tcPr>
          <w:p>
            <w:pPr>
              <w:spacing w:after="0"/>
              <w:rPr>
                <w:sz w:val="19"/>
                <w:szCs w:val="19"/>
                <w:color w:val="auto"/>
              </w:rPr>
            </w:pPr>
          </w:p>
        </w:tc>
        <w:tc>
          <w:tcPr>
            <w:tcW w:w="1580" w:type="dxa"/>
            <w:vAlign w:val="bottom"/>
            <w:tcBorders>
              <w:bottom w:val="single" w:sz="8" w:color="auto"/>
            </w:tcBorders>
            <w:shd w:val="clear" w:color="auto" w:fill="F9F9EA"/>
          </w:tcPr>
          <w:p>
            <w:pPr>
              <w:spacing w:after="0"/>
              <w:rPr>
                <w:sz w:val="19"/>
                <w:szCs w:val="19"/>
                <w:color w:val="auto"/>
              </w:rPr>
            </w:pPr>
          </w:p>
        </w:tc>
        <w:tc>
          <w:tcPr>
            <w:tcW w:w="120" w:type="dxa"/>
            <w:vAlign w:val="bottom"/>
            <w:tcBorders>
              <w:bottom w:val="single" w:sz="8" w:color="F9F9EA"/>
            </w:tcBorders>
            <w:shd w:val="clear" w:color="auto" w:fill="F9F9EA"/>
          </w:tcPr>
          <w:p>
            <w:pPr>
              <w:spacing w:after="0"/>
              <w:rPr>
                <w:sz w:val="19"/>
                <w:szCs w:val="19"/>
                <w:color w:val="auto"/>
              </w:rPr>
            </w:pPr>
          </w:p>
        </w:tc>
      </w:tr>
      <w:tr>
        <w:trPr>
          <w:trHeight w:val="270"/>
        </w:trPr>
        <w:tc>
          <w:tcPr>
            <w:tcW w:w="120" w:type="dxa"/>
            <w:vAlign w:val="bottom"/>
            <w:shd w:val="clear" w:color="auto" w:fill="F9F9EA"/>
          </w:tcPr>
          <w:p>
            <w:pPr>
              <w:spacing w:after="0"/>
              <w:rPr>
                <w:sz w:val="23"/>
                <w:szCs w:val="23"/>
                <w:color w:val="auto"/>
              </w:rPr>
            </w:pPr>
          </w:p>
        </w:tc>
        <w:tc>
          <w:tcPr>
            <w:tcW w:w="134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 xml:space="preserve">Board Committees    </w:t>
            </w:r>
          </w:p>
        </w:tc>
        <w:tc>
          <w:tcPr>
            <w:tcW w:w="158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Audit</w:t>
            </w:r>
          </w:p>
        </w:tc>
        <w:tc>
          <w:tcPr>
            <w:tcW w:w="120" w:type="dxa"/>
            <w:vAlign w:val="bottom"/>
            <w:shd w:val="clear" w:color="auto" w:fill="F9F9EA"/>
          </w:tcPr>
          <w:p>
            <w:pPr>
              <w:spacing w:after="0"/>
              <w:rPr>
                <w:sz w:val="23"/>
                <w:szCs w:val="23"/>
                <w:color w:val="auto"/>
              </w:rPr>
            </w:pPr>
          </w:p>
        </w:tc>
      </w:tr>
      <w:tr>
        <w:trPr>
          <w:trHeight w:val="134"/>
        </w:trPr>
        <w:tc>
          <w:tcPr>
            <w:tcW w:w="120" w:type="dxa"/>
            <w:vAlign w:val="bottom"/>
            <w:shd w:val="clear" w:color="auto" w:fill="F9F9EA"/>
          </w:tcPr>
          <w:p>
            <w:pPr>
              <w:spacing w:after="0"/>
              <w:rPr>
                <w:sz w:val="11"/>
                <w:szCs w:val="11"/>
                <w:color w:val="auto"/>
              </w:rPr>
            </w:pPr>
          </w:p>
        </w:tc>
        <w:tc>
          <w:tcPr>
            <w:tcW w:w="1340" w:type="dxa"/>
            <w:vAlign w:val="bottom"/>
            <w:shd w:val="clear" w:color="auto" w:fill="F9F9EA"/>
          </w:tcPr>
          <w:p>
            <w:pPr>
              <w:spacing w:after="0"/>
              <w:rPr>
                <w:sz w:val="11"/>
                <w:szCs w:val="11"/>
                <w:color w:val="auto"/>
              </w:rPr>
            </w:pPr>
          </w:p>
        </w:tc>
        <w:tc>
          <w:tcPr>
            <w:tcW w:w="1580" w:type="dxa"/>
            <w:vAlign w:val="bottom"/>
            <w:shd w:val="clear" w:color="auto" w:fill="F9F9EA"/>
          </w:tcPr>
          <w:p>
            <w:pPr>
              <w:ind w:left="60"/>
              <w:spacing w:after="0" w:line="134" w:lineRule="exact"/>
              <w:rPr>
                <w:sz w:val="20"/>
                <w:szCs w:val="20"/>
                <w:color w:val="auto"/>
              </w:rPr>
            </w:pPr>
            <w:r>
              <w:rPr>
                <w:rFonts w:ascii="Arial" w:cs="Arial" w:eastAsia="Arial" w:hAnsi="Arial"/>
                <w:sz w:val="12"/>
                <w:szCs w:val="12"/>
                <w:color w:val="351B3D"/>
              </w:rPr>
              <w:t>Nominating and Corporate</w:t>
            </w:r>
          </w:p>
        </w:tc>
        <w:tc>
          <w:tcPr>
            <w:tcW w:w="120" w:type="dxa"/>
            <w:vAlign w:val="bottom"/>
            <w:shd w:val="clear" w:color="auto" w:fill="F9F9EA"/>
          </w:tcPr>
          <w:p>
            <w:pPr>
              <w:spacing w:after="0"/>
              <w:rPr>
                <w:sz w:val="11"/>
                <w:szCs w:val="11"/>
                <w:color w:val="auto"/>
              </w:rPr>
            </w:pPr>
          </w:p>
        </w:tc>
      </w:tr>
      <w:tr>
        <w:trPr>
          <w:trHeight w:val="165"/>
        </w:trPr>
        <w:tc>
          <w:tcPr>
            <w:tcW w:w="120" w:type="dxa"/>
            <w:vAlign w:val="bottom"/>
            <w:shd w:val="clear" w:color="auto" w:fill="F9F9EA"/>
          </w:tcPr>
          <w:p>
            <w:pPr>
              <w:spacing w:after="0"/>
              <w:rPr>
                <w:sz w:val="14"/>
                <w:szCs w:val="14"/>
                <w:color w:val="auto"/>
              </w:rPr>
            </w:pPr>
          </w:p>
        </w:tc>
        <w:tc>
          <w:tcPr>
            <w:tcW w:w="1340" w:type="dxa"/>
            <w:vAlign w:val="bottom"/>
            <w:shd w:val="clear" w:color="auto" w:fill="F9F9EA"/>
          </w:tcPr>
          <w:p>
            <w:pPr>
              <w:spacing w:after="0"/>
              <w:rPr>
                <w:sz w:val="14"/>
                <w:szCs w:val="14"/>
                <w:color w:val="auto"/>
              </w:rPr>
            </w:pPr>
          </w:p>
        </w:tc>
        <w:tc>
          <w:tcPr>
            <w:tcW w:w="158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Governance</w:t>
            </w:r>
          </w:p>
        </w:tc>
        <w:tc>
          <w:tcPr>
            <w:tcW w:w="120" w:type="dxa"/>
            <w:vAlign w:val="bottom"/>
            <w:shd w:val="clear" w:color="auto" w:fill="F9F9EA"/>
          </w:tcPr>
          <w:p>
            <w:pPr>
              <w:spacing w:after="0"/>
              <w:rPr>
                <w:sz w:val="14"/>
                <w:szCs w:val="14"/>
                <w:color w:val="auto"/>
              </w:rPr>
            </w:pPr>
          </w:p>
        </w:tc>
      </w:tr>
      <w:tr>
        <w:trPr>
          <w:trHeight w:val="134"/>
        </w:trPr>
        <w:tc>
          <w:tcPr>
            <w:tcW w:w="120" w:type="dxa"/>
            <w:vAlign w:val="bottom"/>
            <w:shd w:val="clear" w:color="auto" w:fill="F9F9EA"/>
          </w:tcPr>
          <w:p>
            <w:pPr>
              <w:spacing w:after="0"/>
              <w:rPr>
                <w:sz w:val="11"/>
                <w:szCs w:val="11"/>
                <w:color w:val="auto"/>
              </w:rPr>
            </w:pPr>
          </w:p>
        </w:tc>
        <w:tc>
          <w:tcPr>
            <w:tcW w:w="1340" w:type="dxa"/>
            <w:vAlign w:val="bottom"/>
            <w:shd w:val="clear" w:color="auto" w:fill="F9F9EA"/>
          </w:tcPr>
          <w:p>
            <w:pPr>
              <w:spacing w:after="0"/>
              <w:rPr>
                <w:sz w:val="11"/>
                <w:szCs w:val="11"/>
                <w:color w:val="auto"/>
              </w:rPr>
            </w:pPr>
          </w:p>
        </w:tc>
        <w:tc>
          <w:tcPr>
            <w:tcW w:w="1580" w:type="dxa"/>
            <w:vAlign w:val="bottom"/>
            <w:shd w:val="clear" w:color="auto" w:fill="F9F9EA"/>
          </w:tcPr>
          <w:p>
            <w:pPr>
              <w:spacing w:after="0"/>
              <w:rPr>
                <w:sz w:val="11"/>
                <w:szCs w:val="11"/>
                <w:color w:val="auto"/>
              </w:rPr>
            </w:pPr>
          </w:p>
        </w:tc>
        <w:tc>
          <w:tcPr>
            <w:tcW w:w="120" w:type="dxa"/>
            <w:vAlign w:val="bottom"/>
            <w:shd w:val="clear" w:color="auto" w:fill="F9F9EA"/>
          </w:tcPr>
          <w:p>
            <w:pPr>
              <w:spacing w:after="0"/>
              <w:rPr>
                <w:sz w:val="11"/>
                <w:szCs w:val="11"/>
                <w:color w:val="auto"/>
              </w:rPr>
            </w:pPr>
          </w:p>
        </w:tc>
      </w:tr>
    </w:tbl>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140F21"/>
        </w:rPr>
        <w:t>PREVIOUS EXPERIENCE</w:t>
      </w:r>
    </w:p>
    <w:p>
      <w:pPr>
        <w:spacing w:after="0" w:line="22" w:lineRule="exact"/>
        <w:rPr>
          <w:sz w:val="20"/>
          <w:szCs w:val="20"/>
          <w:color w:val="auto"/>
        </w:rPr>
      </w:pPr>
    </w:p>
    <w:p>
      <w:pPr>
        <w:ind w:left="180" w:right="40" w:hanging="177"/>
        <w:spacing w:after="0" w:line="249" w:lineRule="auto"/>
        <w:rPr>
          <w:sz w:val="20"/>
          <w:szCs w:val="20"/>
          <w:color w:val="auto"/>
        </w:rPr>
      </w:pPr>
      <w:r>
        <w:rPr>
          <w:rFonts w:ascii="Arial" w:cs="Arial" w:eastAsia="Arial" w:hAnsi="Arial"/>
          <w:sz w:val="14"/>
          <w:szCs w:val="14"/>
          <w:color w:val="auto"/>
        </w:rPr>
        <w:t>–   1980 to 2005: Various roles at Harrah’s Entertainment, Inc. with increasing responsibility, including Vice President, General Counsel and Secretary; President and Chief Executive Officer of its gaming division; and culminating in service as Chief Executive Officer and Chair</w:t>
      </w:r>
    </w:p>
    <w:p>
      <w:pPr>
        <w:spacing w:after="0" w:line="47" w:lineRule="exact"/>
        <w:rPr>
          <w:sz w:val="20"/>
          <w:szCs w:val="20"/>
          <w:color w:val="auto"/>
        </w:rPr>
      </w:pPr>
    </w:p>
    <w:p>
      <w:pPr>
        <w:ind w:left="180" w:right="380" w:hanging="177"/>
        <w:spacing w:after="0" w:line="281" w:lineRule="auto"/>
        <w:rPr>
          <w:sz w:val="20"/>
          <w:szCs w:val="20"/>
          <w:color w:val="auto"/>
        </w:rPr>
      </w:pPr>
      <w:r>
        <w:rPr>
          <w:rFonts w:ascii="Arial" w:cs="Arial" w:eastAsia="Arial" w:hAnsi="Arial"/>
          <w:sz w:val="14"/>
          <w:szCs w:val="14"/>
          <w:color w:val="auto"/>
        </w:rPr>
        <w:t>–   Previously served on the boards of Nordstrom, Inc., International Game Technology PLC (“IGT”), NV Energy, Tabcorp Holdings Ltd. (Australia), and Rite Aid Corporation</w:t>
      </w:r>
    </w:p>
    <w:p>
      <w:pPr>
        <w:spacing w:after="0" w:line="24" w:lineRule="exact"/>
        <w:rPr>
          <w:sz w:val="20"/>
          <w:szCs w:val="20"/>
          <w:color w:val="auto"/>
        </w:rPr>
      </w:pPr>
    </w:p>
    <w:p>
      <w:pPr>
        <w:ind w:left="180" w:right="220" w:hanging="177"/>
        <w:spacing w:after="0" w:line="281" w:lineRule="auto"/>
        <w:rPr>
          <w:sz w:val="20"/>
          <w:szCs w:val="20"/>
          <w:color w:val="auto"/>
        </w:rPr>
      </w:pPr>
      <w:r>
        <w:rPr>
          <w:rFonts w:ascii="Arial" w:cs="Arial" w:eastAsia="Arial" w:hAnsi="Arial"/>
          <w:sz w:val="14"/>
          <w:szCs w:val="14"/>
          <w:color w:val="auto"/>
        </w:rPr>
        <w:t>–   Various roles in non-profits, including as Chair of the Guinn Center for Policy Priorities and Emeritus Member of the Stanford University Board of Trustees (2005 to 2010)</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140F21"/>
        </w:rPr>
        <w:t>EDUCATION</w:t>
      </w:r>
    </w:p>
    <w:p>
      <w:pPr>
        <w:spacing w:after="0" w:line="22" w:lineRule="exact"/>
        <w:rPr>
          <w:sz w:val="20"/>
          <w:szCs w:val="20"/>
          <w:color w:val="auto"/>
        </w:rPr>
      </w:pPr>
    </w:p>
    <w:p>
      <w:pPr>
        <w:ind w:right="440"/>
        <w:spacing w:after="0" w:line="260" w:lineRule="auto"/>
        <w:rPr>
          <w:sz w:val="20"/>
          <w:szCs w:val="20"/>
          <w:color w:val="auto"/>
        </w:rPr>
      </w:pPr>
      <w:r>
        <w:rPr>
          <w:rFonts w:ascii="Arial" w:cs="Arial" w:eastAsia="Arial" w:hAnsi="Arial"/>
          <w:sz w:val="14"/>
          <w:szCs w:val="14"/>
          <w:color w:val="auto"/>
        </w:rPr>
        <w:t>Mr. Satre graduated with a B.A. from Stanford University and a J.D. from the University of California, Davis. He attended the M.I.T. Senior Executive Development Program in Fall, 1982.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140F21"/>
        </w:rPr>
        <w:t>EXPERTISE</w:t>
      </w:r>
    </w:p>
    <w:p>
      <w:pPr>
        <w:spacing w:after="0" w:line="22"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Mr. Satre’s prior experience as an executive in our industry brings the Board extensive understanding of the complex financial, regulatory, operational, and strategic challenges we face, while his prior experience as a director across a diversity of industries adds additional expertise in matters of good corporate governance and effective Board oversight.</w:t>
      </w:r>
    </w:p>
    <w:p>
      <w:pPr>
        <w:spacing w:after="0" w:line="1514" w:lineRule="exact"/>
        <w:rPr>
          <w:sz w:val="20"/>
          <w:szCs w:val="20"/>
          <w:color w:val="auto"/>
        </w:rPr>
      </w:pPr>
    </w:p>
    <w:p>
      <w:pPr>
        <w:sectPr>
          <w:pgSz w:w="11900" w:h="16838" w:orient="portrait"/>
          <w:cols w:equalWidth="0" w:num="2">
            <w:col w:w="3320" w:space="360"/>
            <w:col w:w="7400"/>
          </w:cols>
          <w:pgMar w:left="320" w:top="478" w:right="499" w:bottom="1440" w:gutter="0" w:footer="0" w:header="0"/>
          <w:type w:val="continuous"/>
        </w:sectPr>
      </w:pPr>
    </w:p>
    <w:p>
      <w:pPr>
        <w:ind w:left="160"/>
        <w:spacing w:after="0"/>
        <w:rPr>
          <w:sz w:val="20"/>
          <w:szCs w:val="20"/>
          <w:color w:val="auto"/>
        </w:rPr>
      </w:pPr>
      <w:r>
        <w:rPr>
          <w:rFonts w:ascii="Arial" w:cs="Arial" w:eastAsia="Arial" w:hAnsi="Arial"/>
          <w:sz w:val="16"/>
          <w:szCs w:val="16"/>
          <w:color w:val="140F21"/>
        </w:rPr>
        <w:t>SKILLS AND QUALIFICATIONS</w:t>
      </w:r>
    </w:p>
    <w:p>
      <w:pPr>
        <w:spacing w:after="0" w:line="138" w:lineRule="exact"/>
        <w:rPr>
          <w:sz w:val="20"/>
          <w:szCs w:val="20"/>
          <w:color w:val="auto"/>
        </w:rPr>
      </w:pPr>
    </w:p>
    <w:tbl>
      <w:tblPr>
        <w:tblLayout w:type="fixed"/>
        <w:tblInd w:w="160" w:type="dxa"/>
        <w:tblCellMar>
          <w:top w:w="0" w:type="dxa"/>
          <w:left w:w="0" w:type="dxa"/>
          <w:bottom w:w="0" w:type="dxa"/>
          <w:right w:w="0" w:type="dxa"/>
        </w:tblCellMar>
      </w:tblPr>
      <w:tr>
        <w:trPr>
          <w:trHeight w:val="258"/>
        </w:trPr>
        <w:tc>
          <w:tcPr>
            <w:tcW w:w="2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Gaming or Other Regulated</w:t>
            </w: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Harrah’s Entertainment, the publicly traded company where Mr. Satre served as CEO and Chairman of the Board and IGT, a publicly</w:t>
            </w:r>
          </w:p>
        </w:tc>
      </w:tr>
      <w:tr>
        <w:trPr>
          <w:trHeight w:val="160"/>
        </w:trPr>
        <w:tc>
          <w:tcPr>
            <w:tcW w:w="2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Industry</w:t>
            </w: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traded gaming equipment manufacturer where he served as non-executive Chair of the Board, are regulated by the SEC and by the</w:t>
            </w:r>
          </w:p>
        </w:tc>
      </w:tr>
      <w:tr>
        <w:trPr>
          <w:trHeight w:val="160"/>
        </w:trPr>
        <w:tc>
          <w:tcPr>
            <w:tcW w:w="2220" w:type="dxa"/>
            <w:vAlign w:val="bottom"/>
            <w:shd w:val="clear" w:color="auto" w:fill="D6D1D8"/>
          </w:tcPr>
          <w:p>
            <w:pPr>
              <w:spacing w:after="0"/>
              <w:rPr>
                <w:sz w:val="13"/>
                <w:szCs w:val="13"/>
                <w:color w:val="auto"/>
              </w:rPr>
            </w:pP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gaming regulatory agencies in the 28 jurisdictions in which Harrah’s operated casinos at the time of his retirement and the over-250</w:t>
            </w:r>
          </w:p>
        </w:tc>
      </w:tr>
      <w:tr>
        <w:trPr>
          <w:trHeight w:val="217"/>
        </w:trPr>
        <w:tc>
          <w:tcPr>
            <w:tcW w:w="2220" w:type="dxa"/>
            <w:vAlign w:val="bottom"/>
            <w:tcBorders>
              <w:bottom w:val="single" w:sz="8" w:color="D6D1D8"/>
            </w:tcBorders>
            <w:shd w:val="clear" w:color="auto" w:fill="D6D1D8"/>
          </w:tcPr>
          <w:p>
            <w:pPr>
              <w:spacing w:after="0"/>
              <w:rPr>
                <w:sz w:val="18"/>
                <w:szCs w:val="18"/>
                <w:color w:val="auto"/>
              </w:rPr>
            </w:pPr>
          </w:p>
        </w:tc>
        <w:tc>
          <w:tcPr>
            <w:tcW w:w="8700" w:type="dxa"/>
            <w:vAlign w:val="bottom"/>
            <w:tcBorders>
              <w:bottom w:val="single" w:sz="8" w:color="D6D1D8"/>
            </w:tcBorders>
            <w:shd w:val="clear" w:color="auto" w:fill="D6D1D8"/>
          </w:tcPr>
          <w:p>
            <w:pPr>
              <w:ind w:left="120"/>
              <w:spacing w:after="0"/>
              <w:rPr>
                <w:sz w:val="20"/>
                <w:szCs w:val="20"/>
                <w:color w:val="auto"/>
              </w:rPr>
            </w:pPr>
            <w:r>
              <w:rPr>
                <w:rFonts w:ascii="Arial" w:cs="Arial" w:eastAsia="Arial" w:hAnsi="Arial"/>
                <w:sz w:val="14"/>
                <w:szCs w:val="14"/>
                <w:color w:val="auto"/>
              </w:rPr>
              <w:t>jurisdictions in which IGT was licensed to manufacture gaming equipment.</w:t>
            </w:r>
          </w:p>
        </w:tc>
      </w:tr>
      <w:tr>
        <w:trPr>
          <w:trHeight w:val="258"/>
        </w:trPr>
        <w:tc>
          <w:tcPr>
            <w:tcW w:w="2220" w:type="dxa"/>
            <w:vAlign w:val="bottom"/>
          </w:tcPr>
          <w:p>
            <w:pPr>
              <w:ind w:left="80"/>
              <w:spacing w:after="0"/>
              <w:rPr>
                <w:sz w:val="20"/>
                <w:szCs w:val="20"/>
                <w:color w:val="auto"/>
              </w:rPr>
            </w:pPr>
            <w:r>
              <w:rPr>
                <w:rFonts w:ascii="Arial" w:cs="Arial" w:eastAsia="Arial" w:hAnsi="Arial"/>
                <w:sz w:val="14"/>
                <w:szCs w:val="14"/>
                <w:color w:val="auto"/>
              </w:rPr>
              <w:t>Travel, Leisure, Hospitality &amp;</w:t>
            </w:r>
          </w:p>
        </w:tc>
        <w:tc>
          <w:tcPr>
            <w:tcW w:w="8700" w:type="dxa"/>
            <w:vAlign w:val="bottom"/>
          </w:tcPr>
          <w:p>
            <w:pPr>
              <w:ind w:left="120"/>
              <w:spacing w:after="0"/>
              <w:rPr>
                <w:sz w:val="20"/>
                <w:szCs w:val="20"/>
                <w:color w:val="auto"/>
              </w:rPr>
            </w:pPr>
            <w:r>
              <w:rPr>
                <w:rFonts w:ascii="Arial" w:cs="Arial" w:eastAsia="Arial" w:hAnsi="Arial"/>
                <w:sz w:val="14"/>
                <w:szCs w:val="14"/>
                <w:color w:val="auto"/>
              </w:rPr>
              <w:t>Mr. Satre was with Harrah’s Entertainment for 25 years, serving ultimately as CEO and Chairman of the Board.</w:t>
            </w:r>
          </w:p>
        </w:tc>
      </w:tr>
      <w:tr>
        <w:trPr>
          <w:trHeight w:val="189"/>
        </w:trPr>
        <w:tc>
          <w:tcPr>
            <w:tcW w:w="2220" w:type="dxa"/>
            <w:vAlign w:val="bottom"/>
          </w:tcPr>
          <w:p>
            <w:pPr>
              <w:ind w:left="80"/>
              <w:spacing w:after="0"/>
              <w:rPr>
                <w:sz w:val="20"/>
                <w:szCs w:val="20"/>
                <w:color w:val="auto"/>
              </w:rPr>
            </w:pPr>
            <w:r>
              <w:rPr>
                <w:rFonts w:ascii="Arial" w:cs="Arial" w:eastAsia="Arial" w:hAnsi="Arial"/>
                <w:sz w:val="14"/>
                <w:szCs w:val="14"/>
                <w:color w:val="auto"/>
              </w:rPr>
              <w:t>Entertainment</w:t>
            </w:r>
          </w:p>
        </w:tc>
        <w:tc>
          <w:tcPr>
            <w:tcW w:w="8700" w:type="dxa"/>
            <w:vAlign w:val="bottom"/>
          </w:tcPr>
          <w:p>
            <w:pPr>
              <w:spacing w:after="0"/>
              <w:rPr>
                <w:sz w:val="16"/>
                <w:szCs w:val="16"/>
                <w:color w:val="auto"/>
              </w:rPr>
            </w:pPr>
          </w:p>
        </w:tc>
      </w:tr>
      <w:tr>
        <w:trPr>
          <w:trHeight w:val="48"/>
        </w:trPr>
        <w:tc>
          <w:tcPr>
            <w:tcW w:w="2220" w:type="dxa"/>
            <w:vAlign w:val="bottom"/>
          </w:tcPr>
          <w:p>
            <w:pPr>
              <w:spacing w:after="0"/>
              <w:rPr>
                <w:sz w:val="4"/>
                <w:szCs w:val="4"/>
                <w:color w:val="auto"/>
              </w:rPr>
            </w:pPr>
          </w:p>
        </w:tc>
        <w:tc>
          <w:tcPr>
            <w:tcW w:w="8700" w:type="dxa"/>
            <w:vAlign w:val="bottom"/>
          </w:tcPr>
          <w:p>
            <w:pPr>
              <w:spacing w:after="0"/>
              <w:rPr>
                <w:sz w:val="4"/>
                <w:szCs w:val="4"/>
                <w:color w:val="auto"/>
              </w:rPr>
            </w:pPr>
          </w:p>
        </w:tc>
      </w:tr>
      <w:tr>
        <w:trPr>
          <w:trHeight w:val="314"/>
        </w:trPr>
        <w:tc>
          <w:tcPr>
            <w:tcW w:w="2220" w:type="dxa"/>
            <w:vAlign w:val="bottom"/>
            <w:tcBorders>
              <w:bottom w:val="single" w:sz="8" w:color="D6D1D8"/>
            </w:tcBorders>
            <w:shd w:val="clear" w:color="auto" w:fill="D6D1D8"/>
          </w:tcPr>
          <w:p>
            <w:pPr>
              <w:ind w:left="80"/>
              <w:spacing w:after="0"/>
              <w:rPr>
                <w:sz w:val="20"/>
                <w:szCs w:val="20"/>
                <w:color w:val="auto"/>
              </w:rPr>
            </w:pPr>
            <w:r>
              <w:rPr>
                <w:rFonts w:ascii="Arial" w:cs="Arial" w:eastAsia="Arial" w:hAnsi="Arial"/>
                <w:sz w:val="14"/>
                <w:szCs w:val="14"/>
                <w:color w:val="auto"/>
              </w:rPr>
              <w:t>Executive Leadership</w:t>
            </w:r>
          </w:p>
        </w:tc>
        <w:tc>
          <w:tcPr>
            <w:tcW w:w="8700" w:type="dxa"/>
            <w:vAlign w:val="bottom"/>
            <w:tcBorders>
              <w:bottom w:val="single" w:sz="8" w:color="D6D1D8"/>
            </w:tcBorders>
            <w:shd w:val="clear" w:color="auto" w:fill="D6D1D8"/>
          </w:tcPr>
          <w:p>
            <w:pPr>
              <w:ind w:left="120"/>
              <w:spacing w:after="0"/>
              <w:rPr>
                <w:sz w:val="20"/>
                <w:szCs w:val="20"/>
                <w:color w:val="auto"/>
              </w:rPr>
            </w:pPr>
            <w:r>
              <w:rPr>
                <w:rFonts w:ascii="Arial" w:cs="Arial" w:eastAsia="Arial" w:hAnsi="Arial"/>
                <w:sz w:val="14"/>
                <w:szCs w:val="14"/>
                <w:color w:val="auto"/>
              </w:rPr>
              <w:t>Mr. Satre was with Harrah’s Entertainment for 25 years, serving ultimately as CEO and Chairman of the Board.</w:t>
            </w:r>
          </w:p>
        </w:tc>
      </w:tr>
      <w:tr>
        <w:trPr>
          <w:trHeight w:val="258"/>
        </w:trPr>
        <w:tc>
          <w:tcPr>
            <w:tcW w:w="2220" w:type="dxa"/>
            <w:vAlign w:val="bottom"/>
          </w:tcPr>
          <w:p>
            <w:pPr>
              <w:ind w:left="80"/>
              <w:spacing w:after="0"/>
              <w:rPr>
                <w:sz w:val="20"/>
                <w:szCs w:val="20"/>
                <w:color w:val="auto"/>
              </w:rPr>
            </w:pPr>
            <w:r>
              <w:rPr>
                <w:rFonts w:ascii="Arial" w:cs="Arial" w:eastAsia="Arial" w:hAnsi="Arial"/>
                <w:sz w:val="14"/>
                <w:szCs w:val="14"/>
                <w:color w:val="auto"/>
              </w:rPr>
              <w:t>Outside Public Boards</w:t>
            </w:r>
          </w:p>
        </w:tc>
        <w:tc>
          <w:tcPr>
            <w:tcW w:w="8700" w:type="dxa"/>
            <w:vAlign w:val="bottom"/>
          </w:tcPr>
          <w:p>
            <w:pPr>
              <w:ind w:left="120"/>
              <w:spacing w:after="0"/>
              <w:rPr>
                <w:sz w:val="20"/>
                <w:szCs w:val="20"/>
                <w:color w:val="auto"/>
              </w:rPr>
            </w:pPr>
            <w:r>
              <w:rPr>
                <w:rFonts w:ascii="Arial" w:cs="Arial" w:eastAsia="Arial" w:hAnsi="Arial"/>
                <w:sz w:val="14"/>
                <w:szCs w:val="14"/>
                <w:color w:val="auto"/>
              </w:rPr>
              <w:t>Mr. Satre has served on the boards of Harrah’s Entertainment, Inc., IGT, Nordstrom, Inc., NV Energy, Rite Aid Corporation and Tabcorp</w:t>
            </w:r>
          </w:p>
        </w:tc>
      </w:tr>
      <w:tr>
        <w:trPr>
          <w:trHeight w:val="189"/>
        </w:trPr>
        <w:tc>
          <w:tcPr>
            <w:tcW w:w="2220" w:type="dxa"/>
            <w:vAlign w:val="bottom"/>
          </w:tcPr>
          <w:p>
            <w:pPr>
              <w:spacing w:after="0"/>
              <w:rPr>
                <w:sz w:val="16"/>
                <w:szCs w:val="16"/>
                <w:color w:val="auto"/>
              </w:rPr>
            </w:pPr>
          </w:p>
        </w:tc>
        <w:tc>
          <w:tcPr>
            <w:tcW w:w="8700" w:type="dxa"/>
            <w:vAlign w:val="bottom"/>
          </w:tcPr>
          <w:p>
            <w:pPr>
              <w:ind w:left="120"/>
              <w:spacing w:after="0"/>
              <w:rPr>
                <w:sz w:val="20"/>
                <w:szCs w:val="20"/>
                <w:color w:val="auto"/>
              </w:rPr>
            </w:pPr>
            <w:r>
              <w:rPr>
                <w:rFonts w:ascii="Arial" w:cs="Arial" w:eastAsia="Arial" w:hAnsi="Arial"/>
                <w:sz w:val="14"/>
                <w:szCs w:val="14"/>
                <w:color w:val="auto"/>
              </w:rPr>
              <w:t>Holdings Ltd. (Australia).</w:t>
            </w:r>
          </w:p>
        </w:tc>
      </w:tr>
      <w:tr>
        <w:trPr>
          <w:trHeight w:val="48"/>
        </w:trPr>
        <w:tc>
          <w:tcPr>
            <w:tcW w:w="2220" w:type="dxa"/>
            <w:vAlign w:val="bottom"/>
          </w:tcPr>
          <w:p>
            <w:pPr>
              <w:spacing w:after="0"/>
              <w:rPr>
                <w:sz w:val="4"/>
                <w:szCs w:val="4"/>
                <w:color w:val="auto"/>
              </w:rPr>
            </w:pPr>
          </w:p>
        </w:tc>
        <w:tc>
          <w:tcPr>
            <w:tcW w:w="8700" w:type="dxa"/>
            <w:vAlign w:val="bottom"/>
          </w:tcPr>
          <w:p>
            <w:pPr>
              <w:spacing w:after="0"/>
              <w:rPr>
                <w:sz w:val="4"/>
                <w:szCs w:val="4"/>
                <w:color w:val="auto"/>
              </w:rPr>
            </w:pPr>
          </w:p>
        </w:tc>
      </w:tr>
      <w:tr>
        <w:trPr>
          <w:trHeight w:val="258"/>
        </w:trPr>
        <w:tc>
          <w:tcPr>
            <w:tcW w:w="2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Finance &amp; Accounting</w:t>
            </w: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Mr. Satre led all financing efforts at Harrah’s Entertainment, including the successful acquisitions of numerous companies, all while</w:t>
            </w:r>
          </w:p>
        </w:tc>
      </w:tr>
      <w:tr>
        <w:trPr>
          <w:trHeight w:val="217"/>
        </w:trPr>
        <w:tc>
          <w:tcPr>
            <w:tcW w:w="2220" w:type="dxa"/>
            <w:vAlign w:val="bottom"/>
            <w:tcBorders>
              <w:bottom w:val="single" w:sz="8" w:color="D6D1D8"/>
            </w:tcBorders>
            <w:shd w:val="clear" w:color="auto" w:fill="D6D1D8"/>
          </w:tcPr>
          <w:p>
            <w:pPr>
              <w:spacing w:after="0"/>
              <w:rPr>
                <w:sz w:val="18"/>
                <w:szCs w:val="18"/>
                <w:color w:val="auto"/>
              </w:rPr>
            </w:pPr>
          </w:p>
        </w:tc>
        <w:tc>
          <w:tcPr>
            <w:tcW w:w="8700" w:type="dxa"/>
            <w:vAlign w:val="bottom"/>
            <w:tcBorders>
              <w:bottom w:val="single" w:sz="8" w:color="D6D1D8"/>
            </w:tcBorders>
            <w:shd w:val="clear" w:color="auto" w:fill="D6D1D8"/>
          </w:tcPr>
          <w:p>
            <w:pPr>
              <w:ind w:left="120"/>
              <w:spacing w:after="0"/>
              <w:rPr>
                <w:sz w:val="20"/>
                <w:szCs w:val="20"/>
                <w:color w:val="auto"/>
              </w:rPr>
            </w:pPr>
            <w:r>
              <w:rPr>
                <w:rFonts w:ascii="Arial" w:cs="Arial" w:eastAsia="Arial" w:hAnsi="Arial"/>
                <w:sz w:val="14"/>
                <w:szCs w:val="14"/>
                <w:color w:val="auto"/>
              </w:rPr>
              <w:t>maintaining a strong balance sheet. Mr. Satre built Harrah’s Entertainment into a Fortune 500 company.</w:t>
            </w:r>
          </w:p>
        </w:tc>
      </w:tr>
      <w:tr>
        <w:trPr>
          <w:trHeight w:val="258"/>
        </w:trPr>
        <w:tc>
          <w:tcPr>
            <w:tcW w:w="2220" w:type="dxa"/>
            <w:vAlign w:val="bottom"/>
          </w:tcPr>
          <w:p>
            <w:pPr>
              <w:ind w:left="80"/>
              <w:spacing w:after="0"/>
              <w:rPr>
                <w:sz w:val="20"/>
                <w:szCs w:val="20"/>
                <w:color w:val="auto"/>
              </w:rPr>
            </w:pPr>
            <w:r>
              <w:rPr>
                <w:rFonts w:ascii="Arial" w:cs="Arial" w:eastAsia="Arial" w:hAnsi="Arial"/>
                <w:sz w:val="14"/>
                <w:szCs w:val="14"/>
                <w:color w:val="auto"/>
              </w:rPr>
              <w:t>Real Estate &amp; Project</w:t>
            </w:r>
          </w:p>
        </w:tc>
        <w:tc>
          <w:tcPr>
            <w:tcW w:w="8700" w:type="dxa"/>
            <w:vAlign w:val="bottom"/>
          </w:tcPr>
          <w:p>
            <w:pPr>
              <w:ind w:left="120"/>
              <w:spacing w:after="0"/>
              <w:rPr>
                <w:sz w:val="20"/>
                <w:szCs w:val="20"/>
                <w:color w:val="auto"/>
              </w:rPr>
            </w:pPr>
            <w:r>
              <w:rPr>
                <w:rFonts w:ascii="Arial" w:cs="Arial" w:eastAsia="Arial" w:hAnsi="Arial"/>
                <w:sz w:val="14"/>
                <w:szCs w:val="14"/>
                <w:color w:val="auto"/>
              </w:rPr>
              <w:t>Mr. Satre led the transformation of Harrah’s Entertainment from a small regional company with four casinos to one with 28 casinos</w:t>
            </w:r>
          </w:p>
        </w:tc>
      </w:tr>
      <w:tr>
        <w:trPr>
          <w:trHeight w:val="189"/>
        </w:trPr>
        <w:tc>
          <w:tcPr>
            <w:tcW w:w="2220" w:type="dxa"/>
            <w:vAlign w:val="bottom"/>
          </w:tcPr>
          <w:p>
            <w:pPr>
              <w:ind w:left="80"/>
              <w:spacing w:after="0"/>
              <w:rPr>
                <w:sz w:val="20"/>
                <w:szCs w:val="20"/>
                <w:color w:val="auto"/>
              </w:rPr>
            </w:pPr>
            <w:r>
              <w:rPr>
                <w:rFonts w:ascii="Arial" w:cs="Arial" w:eastAsia="Arial" w:hAnsi="Arial"/>
                <w:sz w:val="14"/>
                <w:szCs w:val="14"/>
                <w:color w:val="auto"/>
              </w:rPr>
              <w:t>Construction</w:t>
            </w:r>
          </w:p>
        </w:tc>
        <w:tc>
          <w:tcPr>
            <w:tcW w:w="8700" w:type="dxa"/>
            <w:vAlign w:val="bottom"/>
          </w:tcPr>
          <w:p>
            <w:pPr>
              <w:ind w:left="120"/>
              <w:spacing w:after="0"/>
              <w:rPr>
                <w:sz w:val="20"/>
                <w:szCs w:val="20"/>
                <w:color w:val="auto"/>
              </w:rPr>
            </w:pPr>
            <w:r>
              <w:rPr>
                <w:rFonts w:ascii="Arial" w:cs="Arial" w:eastAsia="Arial" w:hAnsi="Arial"/>
                <w:sz w:val="14"/>
                <w:szCs w:val="14"/>
                <w:color w:val="auto"/>
              </w:rPr>
              <w:t>throughout the United States and internationally.</w:t>
            </w:r>
          </w:p>
        </w:tc>
      </w:tr>
    </w:tbl>
    <w:p>
      <w:pPr>
        <w:spacing w:after="0" w:line="177" w:lineRule="exact"/>
        <w:rPr>
          <w:sz w:val="20"/>
          <w:szCs w:val="20"/>
          <w:color w:val="auto"/>
        </w:rPr>
      </w:pPr>
    </w:p>
    <w:p>
      <w:pPr>
        <w:ind w:left="160"/>
        <w:spacing w:after="0"/>
        <w:rPr>
          <w:sz w:val="20"/>
          <w:szCs w:val="20"/>
          <w:color w:val="auto"/>
        </w:rPr>
      </w:pPr>
      <w:r>
        <w:rPr>
          <w:rFonts w:ascii="Arial" w:cs="Arial" w:eastAsia="Arial" w:hAnsi="Arial"/>
          <w:sz w:val="12"/>
          <w:szCs w:val="12"/>
          <w:color w:val="351B3D"/>
        </w:rPr>
        <w:t>12</w:t>
      </w:r>
    </w:p>
    <w:p>
      <w:pPr>
        <w:sectPr>
          <w:pgSz w:w="11900" w:h="16838" w:orient="portrait"/>
          <w:cols w:equalWidth="0" w:num="1">
            <w:col w:w="11080"/>
          </w:cols>
          <w:pgMar w:left="320" w:top="478" w:right="4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32"/>
          <w:szCs w:val="32"/>
          <w:color w:val="auto"/>
        </w:rPr>
        <w:t xml:space="preserve">Darnell O. Strom </w:t>
      </w:r>
      <w:r>
        <w:rPr>
          <w:rFonts w:ascii="Times New Roman" w:cs="Times New Roman" w:eastAsia="Times New Roman" w:hAnsi="Times New Roman"/>
          <w:sz w:val="14"/>
          <w:szCs w:val="14"/>
          <w:i w:val="1"/>
          <w:iCs w:val="1"/>
          <w:color w:val="351B3D"/>
        </w:rPr>
        <w:t>Partner &amp; Head of Culture and Leadership, UTA</w:t>
      </w:r>
    </w:p>
    <w:p>
      <w:pPr>
        <w:spacing w:after="0" w:line="199" w:lineRule="exact"/>
        <w:rPr>
          <w:sz w:val="20"/>
          <w:szCs w:val="20"/>
          <w:color w:val="auto"/>
        </w:rPr>
      </w:pPr>
    </w:p>
    <w:p>
      <w:pPr>
        <w:ind w:left="160" w:right="120"/>
        <w:spacing w:after="0" w:line="281" w:lineRule="auto"/>
        <w:rPr>
          <w:sz w:val="20"/>
          <w:szCs w:val="20"/>
          <w:color w:val="auto"/>
        </w:rPr>
      </w:pPr>
      <w:r>
        <w:rPr>
          <w:rFonts w:ascii="Arial" w:cs="Arial" w:eastAsia="Arial" w:hAnsi="Arial"/>
          <w:sz w:val="14"/>
          <w:szCs w:val="14"/>
          <w:color w:val="auto"/>
        </w:rPr>
        <w:t>Mr. Strom is a Partner &amp; Head of the Culture and Leadership Division at premiere entertainment agency, United Talent Agency (“UTA”). Mr. Strom represents transformative talent, brands, and organizations across entertainment, media, sports, fashion, the arts, entrepreneurship, politics, and thought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123190</wp:posOffset>
            </wp:positionV>
            <wp:extent cx="1986915" cy="1409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86915" cy="140970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60" w:type="dxa"/>
        <w:tblCellMar>
          <w:top w:w="0" w:type="dxa"/>
          <w:left w:w="0" w:type="dxa"/>
          <w:bottom w:w="0" w:type="dxa"/>
          <w:right w:w="0" w:type="dxa"/>
        </w:tblCellMar>
      </w:tblPr>
      <w:tr>
        <w:trPr>
          <w:trHeight w:val="478"/>
        </w:trPr>
        <w:tc>
          <w:tcPr>
            <w:tcW w:w="120" w:type="dxa"/>
            <w:vAlign w:val="bottom"/>
            <w:shd w:val="clear" w:color="auto" w:fill="F9F9EA"/>
          </w:tcPr>
          <w:p>
            <w:pPr>
              <w:spacing w:after="0"/>
              <w:rPr>
                <w:sz w:val="20"/>
                <w:szCs w:val="20"/>
                <w:color w:val="auto"/>
              </w:rPr>
            </w:pPr>
            <w:r>
              <w:rPr>
                <w:rFonts w:ascii="Arial" w:cs="Arial" w:eastAsia="Arial" w:hAnsi="Arial"/>
                <w:sz w:val="16"/>
                <w:szCs w:val="16"/>
                <w:color w:val="auto"/>
              </w:rPr>
              <w:t xml:space="preserve">   </w:t>
            </w:r>
          </w:p>
        </w:tc>
        <w:tc>
          <w:tcPr>
            <w:tcW w:w="138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Director Since</w:t>
            </w:r>
          </w:p>
        </w:tc>
        <w:tc>
          <w:tcPr>
            <w:tcW w:w="154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October 2020</w:t>
            </w:r>
          </w:p>
        </w:tc>
        <w:tc>
          <w:tcPr>
            <w:tcW w:w="120" w:type="dxa"/>
            <w:vAlign w:val="bottom"/>
            <w:shd w:val="clear" w:color="auto" w:fill="F9F9EA"/>
          </w:tcPr>
          <w:p>
            <w:pPr>
              <w:ind w:left="80"/>
              <w:spacing w:after="0"/>
              <w:rPr>
                <w:sz w:val="20"/>
                <w:szCs w:val="20"/>
                <w:color w:val="auto"/>
              </w:rPr>
            </w:pPr>
            <w:r>
              <w:rPr>
                <w:rFonts w:ascii="Arial" w:cs="Arial" w:eastAsia="Arial" w:hAnsi="Arial"/>
                <w:sz w:val="11"/>
                <w:szCs w:val="11"/>
                <w:color w:val="auto"/>
                <w:w w:val="70"/>
              </w:rPr>
              <w:t> </w:t>
            </w:r>
          </w:p>
        </w:tc>
      </w:tr>
      <w:tr>
        <w:trPr>
          <w:trHeight w:val="124"/>
        </w:trPr>
        <w:tc>
          <w:tcPr>
            <w:tcW w:w="120" w:type="dxa"/>
            <w:vAlign w:val="bottom"/>
            <w:tcBorders>
              <w:bottom w:val="single" w:sz="8" w:color="F9F9EA"/>
            </w:tcBorders>
            <w:shd w:val="clear" w:color="auto" w:fill="F9F9EA"/>
          </w:tcPr>
          <w:p>
            <w:pPr>
              <w:spacing w:after="0"/>
              <w:rPr>
                <w:sz w:val="10"/>
                <w:szCs w:val="10"/>
                <w:color w:val="auto"/>
              </w:rPr>
            </w:pPr>
          </w:p>
        </w:tc>
        <w:tc>
          <w:tcPr>
            <w:tcW w:w="1380" w:type="dxa"/>
            <w:vAlign w:val="bottom"/>
            <w:tcBorders>
              <w:bottom w:val="single" w:sz="8" w:color="auto"/>
            </w:tcBorders>
            <w:shd w:val="clear" w:color="auto" w:fill="F9F9EA"/>
          </w:tcPr>
          <w:p>
            <w:pPr>
              <w:spacing w:after="0"/>
              <w:rPr>
                <w:sz w:val="10"/>
                <w:szCs w:val="10"/>
                <w:color w:val="auto"/>
              </w:rPr>
            </w:pPr>
          </w:p>
        </w:tc>
        <w:tc>
          <w:tcPr>
            <w:tcW w:w="1540" w:type="dxa"/>
            <w:vAlign w:val="bottom"/>
            <w:tcBorders>
              <w:bottom w:val="single" w:sz="8" w:color="auto"/>
            </w:tcBorders>
            <w:shd w:val="clear" w:color="auto" w:fill="F9F9EA"/>
          </w:tcPr>
          <w:p>
            <w:pPr>
              <w:spacing w:after="0"/>
              <w:rPr>
                <w:sz w:val="10"/>
                <w:szCs w:val="10"/>
                <w:color w:val="auto"/>
              </w:rPr>
            </w:pPr>
          </w:p>
        </w:tc>
        <w:tc>
          <w:tcPr>
            <w:tcW w:w="120" w:type="dxa"/>
            <w:vAlign w:val="bottom"/>
            <w:tcBorders>
              <w:bottom w:val="single" w:sz="8" w:color="F9F9EA"/>
            </w:tcBorders>
            <w:shd w:val="clear" w:color="auto" w:fill="F9F9EA"/>
          </w:tcPr>
          <w:p>
            <w:pPr>
              <w:spacing w:after="0"/>
              <w:rPr>
                <w:sz w:val="10"/>
                <w:szCs w:val="10"/>
                <w:color w:val="auto"/>
              </w:rPr>
            </w:pPr>
          </w:p>
        </w:tc>
      </w:tr>
      <w:tr>
        <w:trPr>
          <w:trHeight w:val="368"/>
        </w:trPr>
        <w:tc>
          <w:tcPr>
            <w:tcW w:w="120" w:type="dxa"/>
            <w:vAlign w:val="bottom"/>
            <w:shd w:val="clear" w:color="auto" w:fill="F9F9EA"/>
          </w:tcPr>
          <w:p>
            <w:pPr>
              <w:spacing w:after="0"/>
              <w:rPr>
                <w:sz w:val="24"/>
                <w:szCs w:val="24"/>
                <w:color w:val="auto"/>
              </w:rPr>
            </w:pPr>
          </w:p>
        </w:tc>
        <w:tc>
          <w:tcPr>
            <w:tcW w:w="138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Term Expires</w:t>
            </w:r>
          </w:p>
        </w:tc>
        <w:tc>
          <w:tcPr>
            <w:tcW w:w="154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2027 Annual Meeting</w:t>
            </w:r>
          </w:p>
        </w:tc>
        <w:tc>
          <w:tcPr>
            <w:tcW w:w="120" w:type="dxa"/>
            <w:vAlign w:val="bottom"/>
            <w:shd w:val="clear" w:color="auto" w:fill="F9F9EA"/>
          </w:tcPr>
          <w:p>
            <w:pPr>
              <w:spacing w:after="0"/>
              <w:rPr>
                <w:sz w:val="24"/>
                <w:szCs w:val="24"/>
                <w:color w:val="auto"/>
              </w:rPr>
            </w:pPr>
          </w:p>
        </w:tc>
      </w:tr>
      <w:tr>
        <w:trPr>
          <w:trHeight w:val="227"/>
        </w:trPr>
        <w:tc>
          <w:tcPr>
            <w:tcW w:w="120" w:type="dxa"/>
            <w:vAlign w:val="bottom"/>
            <w:tcBorders>
              <w:bottom w:val="single" w:sz="8" w:color="F9F9EA"/>
            </w:tcBorders>
            <w:shd w:val="clear" w:color="auto" w:fill="F9F9EA"/>
          </w:tcPr>
          <w:p>
            <w:pPr>
              <w:spacing w:after="0"/>
              <w:rPr>
                <w:sz w:val="19"/>
                <w:szCs w:val="19"/>
                <w:color w:val="auto"/>
              </w:rPr>
            </w:pPr>
          </w:p>
        </w:tc>
        <w:tc>
          <w:tcPr>
            <w:tcW w:w="1380" w:type="dxa"/>
            <w:vAlign w:val="bottom"/>
            <w:tcBorders>
              <w:bottom w:val="single" w:sz="8" w:color="auto"/>
            </w:tcBorders>
            <w:shd w:val="clear" w:color="auto" w:fill="F9F9EA"/>
          </w:tcPr>
          <w:p>
            <w:pPr>
              <w:spacing w:after="0"/>
              <w:rPr>
                <w:sz w:val="19"/>
                <w:szCs w:val="19"/>
                <w:color w:val="auto"/>
              </w:rPr>
            </w:pPr>
          </w:p>
        </w:tc>
        <w:tc>
          <w:tcPr>
            <w:tcW w:w="1540" w:type="dxa"/>
            <w:vAlign w:val="bottom"/>
            <w:tcBorders>
              <w:bottom w:val="single" w:sz="8" w:color="auto"/>
            </w:tcBorders>
            <w:shd w:val="clear" w:color="auto" w:fill="F9F9EA"/>
          </w:tcPr>
          <w:p>
            <w:pPr>
              <w:spacing w:after="0"/>
              <w:rPr>
                <w:sz w:val="19"/>
                <w:szCs w:val="19"/>
                <w:color w:val="auto"/>
              </w:rPr>
            </w:pPr>
          </w:p>
        </w:tc>
        <w:tc>
          <w:tcPr>
            <w:tcW w:w="120" w:type="dxa"/>
            <w:vAlign w:val="bottom"/>
            <w:tcBorders>
              <w:bottom w:val="single" w:sz="8" w:color="F9F9EA"/>
            </w:tcBorders>
            <w:shd w:val="clear" w:color="auto" w:fill="F9F9EA"/>
          </w:tcPr>
          <w:p>
            <w:pPr>
              <w:spacing w:after="0"/>
              <w:rPr>
                <w:sz w:val="19"/>
                <w:szCs w:val="19"/>
                <w:color w:val="auto"/>
              </w:rPr>
            </w:pPr>
          </w:p>
        </w:tc>
      </w:tr>
      <w:tr>
        <w:trPr>
          <w:trHeight w:val="368"/>
        </w:trPr>
        <w:tc>
          <w:tcPr>
            <w:tcW w:w="120" w:type="dxa"/>
            <w:vAlign w:val="bottom"/>
            <w:shd w:val="clear" w:color="auto" w:fill="F9F9EA"/>
          </w:tcPr>
          <w:p>
            <w:pPr>
              <w:spacing w:after="0"/>
              <w:rPr>
                <w:sz w:val="24"/>
                <w:szCs w:val="24"/>
                <w:color w:val="auto"/>
              </w:rPr>
            </w:pPr>
          </w:p>
        </w:tc>
        <w:tc>
          <w:tcPr>
            <w:tcW w:w="138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Age</w:t>
            </w:r>
          </w:p>
        </w:tc>
        <w:tc>
          <w:tcPr>
            <w:tcW w:w="154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43</w:t>
            </w:r>
          </w:p>
        </w:tc>
        <w:tc>
          <w:tcPr>
            <w:tcW w:w="120" w:type="dxa"/>
            <w:vAlign w:val="bottom"/>
            <w:shd w:val="clear" w:color="auto" w:fill="F9F9EA"/>
          </w:tcPr>
          <w:p>
            <w:pPr>
              <w:spacing w:after="0"/>
              <w:rPr>
                <w:sz w:val="24"/>
                <w:szCs w:val="24"/>
                <w:color w:val="auto"/>
              </w:rPr>
            </w:pPr>
          </w:p>
        </w:tc>
      </w:tr>
      <w:tr>
        <w:trPr>
          <w:trHeight w:val="227"/>
        </w:trPr>
        <w:tc>
          <w:tcPr>
            <w:tcW w:w="120" w:type="dxa"/>
            <w:vAlign w:val="bottom"/>
            <w:tcBorders>
              <w:bottom w:val="single" w:sz="8" w:color="F9F9EA"/>
            </w:tcBorders>
            <w:shd w:val="clear" w:color="auto" w:fill="F9F9EA"/>
          </w:tcPr>
          <w:p>
            <w:pPr>
              <w:spacing w:after="0"/>
              <w:rPr>
                <w:sz w:val="19"/>
                <w:szCs w:val="19"/>
                <w:color w:val="auto"/>
              </w:rPr>
            </w:pPr>
          </w:p>
        </w:tc>
        <w:tc>
          <w:tcPr>
            <w:tcW w:w="1380" w:type="dxa"/>
            <w:vAlign w:val="bottom"/>
            <w:tcBorders>
              <w:bottom w:val="single" w:sz="8" w:color="auto"/>
            </w:tcBorders>
            <w:shd w:val="clear" w:color="auto" w:fill="F9F9EA"/>
          </w:tcPr>
          <w:p>
            <w:pPr>
              <w:spacing w:after="0"/>
              <w:rPr>
                <w:sz w:val="19"/>
                <w:szCs w:val="19"/>
                <w:color w:val="auto"/>
              </w:rPr>
            </w:pPr>
          </w:p>
        </w:tc>
        <w:tc>
          <w:tcPr>
            <w:tcW w:w="1540" w:type="dxa"/>
            <w:vAlign w:val="bottom"/>
            <w:tcBorders>
              <w:bottom w:val="single" w:sz="8" w:color="auto"/>
            </w:tcBorders>
            <w:shd w:val="clear" w:color="auto" w:fill="F9F9EA"/>
          </w:tcPr>
          <w:p>
            <w:pPr>
              <w:spacing w:after="0"/>
              <w:rPr>
                <w:sz w:val="19"/>
                <w:szCs w:val="19"/>
                <w:color w:val="auto"/>
              </w:rPr>
            </w:pPr>
          </w:p>
        </w:tc>
        <w:tc>
          <w:tcPr>
            <w:tcW w:w="120" w:type="dxa"/>
            <w:vAlign w:val="bottom"/>
            <w:tcBorders>
              <w:bottom w:val="single" w:sz="8" w:color="F9F9EA"/>
            </w:tcBorders>
            <w:shd w:val="clear" w:color="auto" w:fill="F9F9EA"/>
          </w:tcPr>
          <w:p>
            <w:pPr>
              <w:spacing w:after="0"/>
              <w:rPr>
                <w:sz w:val="19"/>
                <w:szCs w:val="19"/>
                <w:color w:val="auto"/>
              </w:rPr>
            </w:pPr>
          </w:p>
        </w:tc>
      </w:tr>
      <w:tr>
        <w:trPr>
          <w:trHeight w:val="270"/>
        </w:trPr>
        <w:tc>
          <w:tcPr>
            <w:tcW w:w="120" w:type="dxa"/>
            <w:vAlign w:val="bottom"/>
            <w:shd w:val="clear" w:color="auto" w:fill="F9F9EA"/>
          </w:tcPr>
          <w:p>
            <w:pPr>
              <w:spacing w:after="0"/>
              <w:rPr>
                <w:sz w:val="23"/>
                <w:szCs w:val="23"/>
                <w:color w:val="auto"/>
              </w:rPr>
            </w:pPr>
          </w:p>
        </w:tc>
        <w:tc>
          <w:tcPr>
            <w:tcW w:w="138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 xml:space="preserve">Board Committees:    </w:t>
            </w:r>
          </w:p>
        </w:tc>
        <w:tc>
          <w:tcPr>
            <w:tcW w:w="154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Compensation</w:t>
            </w:r>
          </w:p>
        </w:tc>
        <w:tc>
          <w:tcPr>
            <w:tcW w:w="120" w:type="dxa"/>
            <w:vAlign w:val="bottom"/>
            <w:shd w:val="clear" w:color="auto" w:fill="F9F9EA"/>
          </w:tcPr>
          <w:p>
            <w:pPr>
              <w:spacing w:after="0"/>
              <w:rPr>
                <w:sz w:val="23"/>
                <w:szCs w:val="23"/>
                <w:color w:val="auto"/>
              </w:rPr>
            </w:pPr>
          </w:p>
        </w:tc>
      </w:tr>
      <w:tr>
        <w:trPr>
          <w:trHeight w:val="134"/>
        </w:trPr>
        <w:tc>
          <w:tcPr>
            <w:tcW w:w="120" w:type="dxa"/>
            <w:vAlign w:val="bottom"/>
            <w:shd w:val="clear" w:color="auto" w:fill="F9F9EA"/>
          </w:tcPr>
          <w:p>
            <w:pPr>
              <w:spacing w:after="0"/>
              <w:rPr>
                <w:sz w:val="11"/>
                <w:szCs w:val="11"/>
                <w:color w:val="auto"/>
              </w:rPr>
            </w:pPr>
          </w:p>
        </w:tc>
        <w:tc>
          <w:tcPr>
            <w:tcW w:w="1380" w:type="dxa"/>
            <w:vAlign w:val="bottom"/>
            <w:shd w:val="clear" w:color="auto" w:fill="F9F9EA"/>
          </w:tcPr>
          <w:p>
            <w:pPr>
              <w:spacing w:after="0"/>
              <w:rPr>
                <w:sz w:val="11"/>
                <w:szCs w:val="11"/>
                <w:color w:val="auto"/>
              </w:rPr>
            </w:pPr>
          </w:p>
        </w:tc>
        <w:tc>
          <w:tcPr>
            <w:tcW w:w="1540" w:type="dxa"/>
            <w:vAlign w:val="bottom"/>
            <w:shd w:val="clear" w:color="auto" w:fill="F9F9EA"/>
          </w:tcPr>
          <w:p>
            <w:pPr>
              <w:ind w:left="60"/>
              <w:spacing w:after="0" w:line="134" w:lineRule="exact"/>
              <w:rPr>
                <w:sz w:val="20"/>
                <w:szCs w:val="20"/>
                <w:color w:val="auto"/>
              </w:rPr>
            </w:pPr>
            <w:r>
              <w:rPr>
                <w:rFonts w:ascii="Arial" w:cs="Arial" w:eastAsia="Arial" w:hAnsi="Arial"/>
                <w:sz w:val="12"/>
                <w:szCs w:val="12"/>
                <w:color w:val="351B3D"/>
              </w:rPr>
              <w:t>Nominating and Corporate</w:t>
            </w:r>
          </w:p>
        </w:tc>
        <w:tc>
          <w:tcPr>
            <w:tcW w:w="120" w:type="dxa"/>
            <w:vAlign w:val="bottom"/>
            <w:shd w:val="clear" w:color="auto" w:fill="F9F9EA"/>
          </w:tcPr>
          <w:p>
            <w:pPr>
              <w:spacing w:after="0"/>
              <w:rPr>
                <w:sz w:val="11"/>
                <w:szCs w:val="11"/>
                <w:color w:val="auto"/>
              </w:rPr>
            </w:pPr>
          </w:p>
        </w:tc>
      </w:tr>
      <w:tr>
        <w:trPr>
          <w:trHeight w:val="165"/>
        </w:trPr>
        <w:tc>
          <w:tcPr>
            <w:tcW w:w="120" w:type="dxa"/>
            <w:vAlign w:val="bottom"/>
            <w:shd w:val="clear" w:color="auto" w:fill="F9F9EA"/>
          </w:tcPr>
          <w:p>
            <w:pPr>
              <w:spacing w:after="0"/>
              <w:rPr>
                <w:sz w:val="14"/>
                <w:szCs w:val="14"/>
                <w:color w:val="auto"/>
              </w:rPr>
            </w:pPr>
          </w:p>
        </w:tc>
        <w:tc>
          <w:tcPr>
            <w:tcW w:w="1380" w:type="dxa"/>
            <w:vAlign w:val="bottom"/>
            <w:shd w:val="clear" w:color="auto" w:fill="F9F9EA"/>
          </w:tcPr>
          <w:p>
            <w:pPr>
              <w:spacing w:after="0"/>
              <w:rPr>
                <w:sz w:val="14"/>
                <w:szCs w:val="14"/>
                <w:color w:val="auto"/>
              </w:rPr>
            </w:pPr>
          </w:p>
        </w:tc>
        <w:tc>
          <w:tcPr>
            <w:tcW w:w="154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Governance</w:t>
            </w:r>
          </w:p>
        </w:tc>
        <w:tc>
          <w:tcPr>
            <w:tcW w:w="120" w:type="dxa"/>
            <w:vAlign w:val="bottom"/>
            <w:shd w:val="clear" w:color="auto" w:fill="F9F9EA"/>
          </w:tcPr>
          <w:p>
            <w:pPr>
              <w:spacing w:after="0"/>
              <w:rPr>
                <w:sz w:val="14"/>
                <w:szCs w:val="14"/>
                <w:color w:val="auto"/>
              </w:rPr>
            </w:pPr>
          </w:p>
        </w:tc>
      </w:tr>
      <w:tr>
        <w:trPr>
          <w:trHeight w:val="134"/>
        </w:trPr>
        <w:tc>
          <w:tcPr>
            <w:tcW w:w="120" w:type="dxa"/>
            <w:vAlign w:val="bottom"/>
            <w:shd w:val="clear" w:color="auto" w:fill="F9F9EA"/>
          </w:tcPr>
          <w:p>
            <w:pPr>
              <w:spacing w:after="0"/>
              <w:rPr>
                <w:sz w:val="11"/>
                <w:szCs w:val="11"/>
                <w:color w:val="auto"/>
              </w:rPr>
            </w:pPr>
          </w:p>
        </w:tc>
        <w:tc>
          <w:tcPr>
            <w:tcW w:w="1380" w:type="dxa"/>
            <w:vAlign w:val="bottom"/>
            <w:shd w:val="clear" w:color="auto" w:fill="F9F9EA"/>
          </w:tcPr>
          <w:p>
            <w:pPr>
              <w:spacing w:after="0"/>
              <w:rPr>
                <w:sz w:val="11"/>
                <w:szCs w:val="11"/>
                <w:color w:val="auto"/>
              </w:rPr>
            </w:pPr>
          </w:p>
        </w:tc>
        <w:tc>
          <w:tcPr>
            <w:tcW w:w="1540" w:type="dxa"/>
            <w:vAlign w:val="bottom"/>
            <w:shd w:val="clear" w:color="auto" w:fill="F9F9EA"/>
          </w:tcPr>
          <w:p>
            <w:pPr>
              <w:spacing w:after="0"/>
              <w:rPr>
                <w:sz w:val="11"/>
                <w:szCs w:val="11"/>
                <w:color w:val="auto"/>
              </w:rPr>
            </w:pPr>
          </w:p>
        </w:tc>
        <w:tc>
          <w:tcPr>
            <w:tcW w:w="120" w:type="dxa"/>
            <w:vAlign w:val="bottom"/>
            <w:shd w:val="clear" w:color="auto" w:fill="F9F9EA"/>
          </w:tcPr>
          <w:p>
            <w:pPr>
              <w:spacing w:after="0"/>
              <w:rPr>
                <w:sz w:val="11"/>
                <w:szCs w:val="11"/>
                <w:color w:val="auto"/>
              </w:rPr>
            </w:pPr>
          </w:p>
        </w:tc>
      </w:tr>
    </w:tbl>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140F21"/>
        </w:rPr>
        <w:t>PREVIOUS EXPERIENCE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–   2012 to 2019: Agent, Creative Artists Agency</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–   2010 to 2012: Executive, Creative Artists Agency Foundation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–   2006 to 2010: Deputy Director of Development, William J. Clinton Foundation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–   2005 to 2006: Deputy Director of Scheduling &amp; Advance, Office of President William J. Clinton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140F21"/>
        </w:rPr>
        <w:t>EDUCATION</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Mr. Strom graduated with a B.S. (with honors) from Florida A&amp;M University.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140F21"/>
        </w:rPr>
        <w:t>EXPERTISE</w:t>
      </w:r>
    </w:p>
    <w:p>
      <w:pPr>
        <w:spacing w:after="0" w:line="22" w:lineRule="exact"/>
        <w:rPr>
          <w:sz w:val="20"/>
          <w:szCs w:val="20"/>
          <w:color w:val="auto"/>
        </w:rPr>
      </w:pPr>
    </w:p>
    <w:p>
      <w:pPr>
        <w:ind w:right="20"/>
        <w:spacing w:after="0" w:line="249" w:lineRule="auto"/>
        <w:rPr>
          <w:sz w:val="20"/>
          <w:szCs w:val="20"/>
          <w:color w:val="auto"/>
        </w:rPr>
      </w:pPr>
      <w:r>
        <w:rPr>
          <w:rFonts w:ascii="Arial" w:cs="Arial" w:eastAsia="Arial" w:hAnsi="Arial"/>
          <w:sz w:val="14"/>
          <w:szCs w:val="14"/>
          <w:color w:val="auto"/>
        </w:rPr>
        <w:t>Mr. Strom’s decades of experience in entertainment, media, and sports, along with the relationships he has established, is a significant benefit to the Board. Mr. Strom brings to our Board significant industry expertise in media, sports, entertainment, music, fashion, the arts, branding and thought leadership.</w:t>
      </w:r>
    </w:p>
    <w:p>
      <w:pPr>
        <w:spacing w:after="0" w:line="2234" w:lineRule="exact"/>
        <w:rPr>
          <w:sz w:val="20"/>
          <w:szCs w:val="20"/>
          <w:color w:val="auto"/>
        </w:rPr>
      </w:pPr>
    </w:p>
    <w:p>
      <w:pPr>
        <w:sectPr>
          <w:pgSz w:w="11900" w:h="16838" w:orient="portrait"/>
          <w:cols w:equalWidth="0" w:num="2">
            <w:col w:w="3320" w:space="360"/>
            <w:col w:w="7400"/>
          </w:cols>
          <w:pgMar w:left="320" w:top="478" w:right="499" w:bottom="1440" w:gutter="0" w:footer="0" w:header="0"/>
          <w:type w:val="continuous"/>
        </w:sectPr>
      </w:pPr>
    </w:p>
    <w:p>
      <w:pPr>
        <w:ind w:left="160"/>
        <w:spacing w:after="0"/>
        <w:rPr>
          <w:sz w:val="20"/>
          <w:szCs w:val="20"/>
          <w:color w:val="auto"/>
        </w:rPr>
      </w:pPr>
      <w:r>
        <w:rPr>
          <w:rFonts w:ascii="Arial" w:cs="Arial" w:eastAsia="Arial" w:hAnsi="Arial"/>
          <w:sz w:val="16"/>
          <w:szCs w:val="16"/>
          <w:color w:val="140F21"/>
        </w:rPr>
        <w:t>SKILLS AND QUALIFICATIONS</w:t>
      </w:r>
    </w:p>
    <w:p>
      <w:pPr>
        <w:spacing w:after="0" w:line="138" w:lineRule="exact"/>
        <w:rPr>
          <w:sz w:val="20"/>
          <w:szCs w:val="20"/>
          <w:color w:val="auto"/>
        </w:rPr>
      </w:pPr>
    </w:p>
    <w:tbl>
      <w:tblPr>
        <w:tblLayout w:type="fixed"/>
        <w:tblInd w:w="160" w:type="dxa"/>
        <w:tblCellMar>
          <w:top w:w="0" w:type="dxa"/>
          <w:left w:w="0" w:type="dxa"/>
          <w:bottom w:w="0" w:type="dxa"/>
          <w:right w:w="0" w:type="dxa"/>
        </w:tblCellMar>
      </w:tblPr>
      <w:tr>
        <w:trPr>
          <w:trHeight w:val="285"/>
        </w:trPr>
        <w:tc>
          <w:tcPr>
            <w:tcW w:w="2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Travel, Leisure, Hospitality &amp;</w:t>
            </w: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In addition to his representation of transformative talent, over the course of his career, Mr. Strom has advised some of the world’s top</w:t>
            </w:r>
          </w:p>
        </w:tc>
      </w:tr>
      <w:tr>
        <w:trPr>
          <w:trHeight w:val="160"/>
        </w:trPr>
        <w:tc>
          <w:tcPr>
            <w:tcW w:w="2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Entertainment</w:t>
            </w: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luxury, hospitality, and lifestyle brands. Mr. Strom has extensive experience working at the cross-section of entertainment, media, sports,</w:t>
            </w:r>
          </w:p>
        </w:tc>
      </w:tr>
      <w:tr>
        <w:trPr>
          <w:trHeight w:val="160"/>
        </w:trPr>
        <w:tc>
          <w:tcPr>
            <w:tcW w:w="2220" w:type="dxa"/>
            <w:vAlign w:val="bottom"/>
            <w:shd w:val="clear" w:color="auto" w:fill="D6D1D8"/>
          </w:tcPr>
          <w:p>
            <w:pPr>
              <w:spacing w:after="0"/>
              <w:rPr>
                <w:sz w:val="13"/>
                <w:szCs w:val="13"/>
                <w:color w:val="auto"/>
              </w:rPr>
            </w:pP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music, fashion, and digital. Mr. Strom has presented at the Aspen Ideas Festival, Sundance Film Festival, Brilliant Minds, Cannes Lion</w:t>
            </w:r>
          </w:p>
        </w:tc>
      </w:tr>
      <w:tr>
        <w:trPr>
          <w:trHeight w:val="160"/>
        </w:trPr>
        <w:tc>
          <w:tcPr>
            <w:tcW w:w="2220" w:type="dxa"/>
            <w:vAlign w:val="bottom"/>
            <w:shd w:val="clear" w:color="auto" w:fill="D6D1D8"/>
          </w:tcPr>
          <w:p>
            <w:pPr>
              <w:spacing w:after="0"/>
              <w:rPr>
                <w:sz w:val="13"/>
                <w:szCs w:val="13"/>
                <w:color w:val="auto"/>
              </w:rPr>
            </w:pP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Creativity Festival, and the UN’s Nexus Global Youth Summit. He also served on President Obama’s White House Entertainment</w:t>
            </w:r>
          </w:p>
        </w:tc>
      </w:tr>
      <w:tr>
        <w:trPr>
          <w:trHeight w:val="189"/>
        </w:trPr>
        <w:tc>
          <w:tcPr>
            <w:tcW w:w="2220" w:type="dxa"/>
            <w:vAlign w:val="bottom"/>
            <w:shd w:val="clear" w:color="auto" w:fill="D6D1D8"/>
          </w:tcPr>
          <w:p>
            <w:pPr>
              <w:spacing w:after="0"/>
              <w:rPr>
                <w:sz w:val="16"/>
                <w:szCs w:val="16"/>
                <w:color w:val="auto"/>
              </w:rPr>
            </w:pP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Council.</w:t>
            </w:r>
          </w:p>
        </w:tc>
      </w:tr>
      <w:tr>
        <w:trPr>
          <w:trHeight w:val="88"/>
        </w:trPr>
        <w:tc>
          <w:tcPr>
            <w:tcW w:w="2220" w:type="dxa"/>
            <w:vAlign w:val="bottom"/>
            <w:shd w:val="clear" w:color="auto" w:fill="D6D1D8"/>
          </w:tcPr>
          <w:p>
            <w:pPr>
              <w:spacing w:after="0"/>
              <w:rPr>
                <w:sz w:val="7"/>
                <w:szCs w:val="7"/>
                <w:color w:val="auto"/>
              </w:rPr>
            </w:pPr>
          </w:p>
        </w:tc>
        <w:tc>
          <w:tcPr>
            <w:tcW w:w="8700" w:type="dxa"/>
            <w:vAlign w:val="bottom"/>
            <w:shd w:val="clear" w:color="auto" w:fill="D6D1D8"/>
          </w:tcPr>
          <w:p>
            <w:pPr>
              <w:spacing w:after="0"/>
              <w:rPr>
                <w:sz w:val="7"/>
                <w:szCs w:val="7"/>
                <w:color w:val="auto"/>
              </w:rPr>
            </w:pPr>
          </w:p>
        </w:tc>
      </w:tr>
      <w:tr>
        <w:trPr>
          <w:trHeight w:val="285"/>
        </w:trPr>
        <w:tc>
          <w:tcPr>
            <w:tcW w:w="2220" w:type="dxa"/>
            <w:vAlign w:val="bottom"/>
          </w:tcPr>
          <w:p>
            <w:pPr>
              <w:ind w:left="80"/>
              <w:spacing w:after="0"/>
              <w:rPr>
                <w:sz w:val="20"/>
                <w:szCs w:val="20"/>
                <w:color w:val="auto"/>
              </w:rPr>
            </w:pPr>
            <w:r>
              <w:rPr>
                <w:rFonts w:ascii="Arial" w:cs="Arial" w:eastAsia="Arial" w:hAnsi="Arial"/>
                <w:sz w:val="14"/>
                <w:szCs w:val="14"/>
                <w:color w:val="auto"/>
              </w:rPr>
              <w:t>Geopolitical Affairs</w:t>
            </w:r>
          </w:p>
        </w:tc>
        <w:tc>
          <w:tcPr>
            <w:tcW w:w="8700" w:type="dxa"/>
            <w:vAlign w:val="bottom"/>
          </w:tcPr>
          <w:p>
            <w:pPr>
              <w:ind w:left="120"/>
              <w:spacing w:after="0"/>
              <w:rPr>
                <w:sz w:val="20"/>
                <w:szCs w:val="20"/>
                <w:color w:val="auto"/>
              </w:rPr>
            </w:pPr>
            <w:r>
              <w:rPr>
                <w:rFonts w:ascii="Arial" w:cs="Arial" w:eastAsia="Arial" w:hAnsi="Arial"/>
                <w:sz w:val="14"/>
                <w:szCs w:val="14"/>
                <w:color w:val="auto"/>
              </w:rPr>
              <w:t>Mr. Strom’s roles in the Office of President William J. Clinton and with the William J. Clinton Foundation provided him with experience</w:t>
            </w:r>
          </w:p>
        </w:tc>
      </w:tr>
      <w:tr>
        <w:trPr>
          <w:trHeight w:val="189"/>
        </w:trPr>
        <w:tc>
          <w:tcPr>
            <w:tcW w:w="2220" w:type="dxa"/>
            <w:vAlign w:val="bottom"/>
          </w:tcPr>
          <w:p>
            <w:pPr>
              <w:spacing w:after="0"/>
              <w:rPr>
                <w:sz w:val="16"/>
                <w:szCs w:val="16"/>
                <w:color w:val="auto"/>
              </w:rPr>
            </w:pPr>
          </w:p>
        </w:tc>
        <w:tc>
          <w:tcPr>
            <w:tcW w:w="8700" w:type="dxa"/>
            <w:vAlign w:val="bottom"/>
          </w:tcPr>
          <w:p>
            <w:pPr>
              <w:ind w:left="120"/>
              <w:spacing w:after="0"/>
              <w:rPr>
                <w:sz w:val="20"/>
                <w:szCs w:val="20"/>
                <w:color w:val="auto"/>
              </w:rPr>
            </w:pPr>
            <w:r>
              <w:rPr>
                <w:rFonts w:ascii="Arial" w:cs="Arial" w:eastAsia="Arial" w:hAnsi="Arial"/>
                <w:sz w:val="14"/>
                <w:szCs w:val="14"/>
                <w:color w:val="auto"/>
              </w:rPr>
              <w:t>working with foreign governments and organizations.</w:t>
            </w:r>
          </w:p>
        </w:tc>
      </w:tr>
      <w:tr>
        <w:trPr>
          <w:trHeight w:val="88"/>
        </w:trPr>
        <w:tc>
          <w:tcPr>
            <w:tcW w:w="2220" w:type="dxa"/>
            <w:vAlign w:val="bottom"/>
          </w:tcPr>
          <w:p>
            <w:pPr>
              <w:spacing w:after="0"/>
              <w:rPr>
                <w:sz w:val="7"/>
                <w:szCs w:val="7"/>
                <w:color w:val="auto"/>
              </w:rPr>
            </w:pPr>
          </w:p>
        </w:tc>
        <w:tc>
          <w:tcPr>
            <w:tcW w:w="8700" w:type="dxa"/>
            <w:vAlign w:val="bottom"/>
          </w:tcPr>
          <w:p>
            <w:pPr>
              <w:spacing w:after="0"/>
              <w:rPr>
                <w:sz w:val="7"/>
                <w:szCs w:val="7"/>
                <w:color w:val="auto"/>
              </w:rPr>
            </w:pPr>
          </w:p>
        </w:tc>
      </w:tr>
      <w:tr>
        <w:trPr>
          <w:trHeight w:val="285"/>
        </w:trPr>
        <w:tc>
          <w:tcPr>
            <w:tcW w:w="2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Environmental &amp;</w:t>
            </w: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In his previous roles at the William J. Clinton Foundation and the Creative Artists Agency Foundation, Mr. Strom strategically advised his</w:t>
            </w:r>
          </w:p>
        </w:tc>
      </w:tr>
      <w:tr>
        <w:trPr>
          <w:trHeight w:val="189"/>
        </w:trPr>
        <w:tc>
          <w:tcPr>
            <w:tcW w:w="2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Sustainability</w:t>
            </w: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clients and non-governmental organizations on a range of issue areas regarding their philanthropy and social initiatives.</w:t>
            </w:r>
          </w:p>
        </w:tc>
      </w:tr>
      <w:tr>
        <w:trPr>
          <w:trHeight w:val="88"/>
        </w:trPr>
        <w:tc>
          <w:tcPr>
            <w:tcW w:w="2220" w:type="dxa"/>
            <w:vAlign w:val="bottom"/>
            <w:shd w:val="clear" w:color="auto" w:fill="D6D1D8"/>
          </w:tcPr>
          <w:p>
            <w:pPr>
              <w:spacing w:after="0"/>
              <w:rPr>
                <w:sz w:val="7"/>
                <w:szCs w:val="7"/>
                <w:color w:val="auto"/>
              </w:rPr>
            </w:pPr>
          </w:p>
        </w:tc>
        <w:tc>
          <w:tcPr>
            <w:tcW w:w="8700" w:type="dxa"/>
            <w:vAlign w:val="bottom"/>
            <w:shd w:val="clear" w:color="auto" w:fill="D6D1D8"/>
          </w:tcPr>
          <w:p>
            <w:pPr>
              <w:spacing w:after="0"/>
              <w:rPr>
                <w:sz w:val="7"/>
                <w:szCs w:val="7"/>
                <w:color w:val="auto"/>
              </w:rPr>
            </w:pPr>
          </w:p>
        </w:tc>
      </w:tr>
      <w:tr>
        <w:trPr>
          <w:trHeight w:val="294"/>
        </w:trPr>
        <w:tc>
          <w:tcPr>
            <w:tcW w:w="2220" w:type="dxa"/>
            <w:vAlign w:val="bottom"/>
          </w:tcPr>
          <w:p>
            <w:pPr>
              <w:spacing w:after="0"/>
              <w:rPr>
                <w:sz w:val="24"/>
                <w:szCs w:val="24"/>
                <w:color w:val="auto"/>
              </w:rPr>
            </w:pPr>
          </w:p>
        </w:tc>
        <w:tc>
          <w:tcPr>
            <w:tcW w:w="8700" w:type="dxa"/>
            <w:vAlign w:val="bottom"/>
          </w:tcPr>
          <w:p>
            <w:pPr>
              <w:ind w:left="8560"/>
              <w:spacing w:after="0"/>
              <w:rPr>
                <w:sz w:val="20"/>
                <w:szCs w:val="20"/>
                <w:color w:val="auto"/>
              </w:rPr>
            </w:pPr>
            <w:r>
              <w:rPr>
                <w:rFonts w:ascii="Arial" w:cs="Arial" w:eastAsia="Arial" w:hAnsi="Arial"/>
                <w:sz w:val="12"/>
                <w:szCs w:val="12"/>
                <w:color w:val="auto"/>
                <w:w w:val="89"/>
              </w:rPr>
              <w:t>13</w:t>
            </w:r>
          </w:p>
        </w:tc>
      </w:tr>
    </w:tbl>
    <w:p>
      <w:pPr>
        <w:sectPr>
          <w:pgSz w:w="11900" w:h="16838" w:orient="portrait"/>
          <w:cols w:equalWidth="0" w:num="1">
            <w:col w:w="11080"/>
          </w:cols>
          <w:pgMar w:left="320" w:top="478" w:right="4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32"/>
          <w:szCs w:val="32"/>
          <w:color w:val="auto"/>
        </w:rPr>
        <w:t xml:space="preserve">Winifred M. Webb </w:t>
      </w:r>
      <w:r>
        <w:rPr>
          <w:rFonts w:ascii="Times New Roman" w:cs="Times New Roman" w:eastAsia="Times New Roman" w:hAnsi="Times New Roman"/>
          <w:sz w:val="14"/>
          <w:szCs w:val="14"/>
          <w:i w:val="1"/>
          <w:iCs w:val="1"/>
          <w:color w:val="351B3D"/>
        </w:rPr>
        <w:t>Founder, Kestrel Corporate Advisors</w:t>
      </w:r>
    </w:p>
    <w:p>
      <w:pPr>
        <w:spacing w:after="0" w:line="199" w:lineRule="exact"/>
        <w:rPr>
          <w:sz w:val="20"/>
          <w:szCs w:val="20"/>
          <w:color w:val="auto"/>
        </w:rPr>
      </w:pPr>
    </w:p>
    <w:p>
      <w:pPr>
        <w:ind w:left="160" w:right="80"/>
        <w:spacing w:after="0" w:line="281" w:lineRule="auto"/>
        <w:rPr>
          <w:sz w:val="20"/>
          <w:szCs w:val="20"/>
          <w:color w:val="auto"/>
        </w:rPr>
      </w:pPr>
      <w:r>
        <w:rPr>
          <w:rFonts w:ascii="Arial" w:cs="Arial" w:eastAsia="Arial" w:hAnsi="Arial"/>
          <w:sz w:val="14"/>
          <w:szCs w:val="14"/>
          <w:color w:val="auto"/>
        </w:rPr>
        <w:t>Ms. Webb founded Kestrel Corporate Advisors, an advisory services firm in 2013. Ms. Webb currently serves as a trustee of AMH (since January 2019), and as a director of AppFolio, Inc. (since December 2019) and ABM Industries (“ABM”) (since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123190</wp:posOffset>
            </wp:positionV>
            <wp:extent cx="1986915" cy="1409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86915" cy="140970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60" w:type="dxa"/>
        <w:tblCellMar>
          <w:top w:w="0" w:type="dxa"/>
          <w:left w:w="0" w:type="dxa"/>
          <w:bottom w:w="0" w:type="dxa"/>
          <w:right w:w="0" w:type="dxa"/>
        </w:tblCellMar>
      </w:tblPr>
      <w:tr>
        <w:trPr>
          <w:trHeight w:val="478"/>
        </w:trPr>
        <w:tc>
          <w:tcPr>
            <w:tcW w:w="120" w:type="dxa"/>
            <w:vAlign w:val="bottom"/>
            <w:shd w:val="clear" w:color="auto" w:fill="F9F9EA"/>
          </w:tcPr>
          <w:p>
            <w:pPr>
              <w:spacing w:after="0"/>
              <w:rPr>
                <w:sz w:val="20"/>
                <w:szCs w:val="20"/>
                <w:color w:val="auto"/>
              </w:rPr>
            </w:pPr>
            <w:r>
              <w:rPr>
                <w:rFonts w:ascii="Arial" w:cs="Arial" w:eastAsia="Arial" w:hAnsi="Arial"/>
                <w:sz w:val="16"/>
                <w:szCs w:val="16"/>
                <w:color w:val="auto"/>
              </w:rPr>
              <w:t xml:space="preserve">   </w:t>
            </w:r>
          </w:p>
        </w:tc>
        <w:tc>
          <w:tcPr>
            <w:tcW w:w="138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Director Since</w:t>
            </w:r>
          </w:p>
        </w:tc>
        <w:tc>
          <w:tcPr>
            <w:tcW w:w="154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April 2018</w:t>
            </w:r>
          </w:p>
        </w:tc>
        <w:tc>
          <w:tcPr>
            <w:tcW w:w="120" w:type="dxa"/>
            <w:vAlign w:val="bottom"/>
            <w:shd w:val="clear" w:color="auto" w:fill="F9F9EA"/>
          </w:tcPr>
          <w:p>
            <w:pPr>
              <w:ind w:left="80"/>
              <w:spacing w:after="0"/>
              <w:rPr>
                <w:sz w:val="20"/>
                <w:szCs w:val="20"/>
                <w:color w:val="auto"/>
              </w:rPr>
            </w:pPr>
            <w:r>
              <w:rPr>
                <w:rFonts w:ascii="Arial" w:cs="Arial" w:eastAsia="Arial" w:hAnsi="Arial"/>
                <w:sz w:val="11"/>
                <w:szCs w:val="11"/>
                <w:color w:val="auto"/>
                <w:w w:val="70"/>
              </w:rPr>
              <w:t> </w:t>
            </w:r>
          </w:p>
        </w:tc>
      </w:tr>
      <w:tr>
        <w:trPr>
          <w:trHeight w:val="124"/>
        </w:trPr>
        <w:tc>
          <w:tcPr>
            <w:tcW w:w="120" w:type="dxa"/>
            <w:vAlign w:val="bottom"/>
            <w:tcBorders>
              <w:bottom w:val="single" w:sz="8" w:color="F9F9EA"/>
            </w:tcBorders>
            <w:shd w:val="clear" w:color="auto" w:fill="F9F9EA"/>
          </w:tcPr>
          <w:p>
            <w:pPr>
              <w:spacing w:after="0"/>
              <w:rPr>
                <w:sz w:val="10"/>
                <w:szCs w:val="10"/>
                <w:color w:val="auto"/>
              </w:rPr>
            </w:pPr>
          </w:p>
        </w:tc>
        <w:tc>
          <w:tcPr>
            <w:tcW w:w="1380" w:type="dxa"/>
            <w:vAlign w:val="bottom"/>
            <w:tcBorders>
              <w:bottom w:val="single" w:sz="8" w:color="auto"/>
            </w:tcBorders>
            <w:shd w:val="clear" w:color="auto" w:fill="F9F9EA"/>
          </w:tcPr>
          <w:p>
            <w:pPr>
              <w:spacing w:after="0"/>
              <w:rPr>
                <w:sz w:val="10"/>
                <w:szCs w:val="10"/>
                <w:color w:val="auto"/>
              </w:rPr>
            </w:pPr>
          </w:p>
        </w:tc>
        <w:tc>
          <w:tcPr>
            <w:tcW w:w="1540" w:type="dxa"/>
            <w:vAlign w:val="bottom"/>
            <w:tcBorders>
              <w:bottom w:val="single" w:sz="8" w:color="auto"/>
            </w:tcBorders>
            <w:shd w:val="clear" w:color="auto" w:fill="F9F9EA"/>
          </w:tcPr>
          <w:p>
            <w:pPr>
              <w:spacing w:after="0"/>
              <w:rPr>
                <w:sz w:val="10"/>
                <w:szCs w:val="10"/>
                <w:color w:val="auto"/>
              </w:rPr>
            </w:pPr>
          </w:p>
        </w:tc>
        <w:tc>
          <w:tcPr>
            <w:tcW w:w="120" w:type="dxa"/>
            <w:vAlign w:val="bottom"/>
            <w:tcBorders>
              <w:bottom w:val="single" w:sz="8" w:color="F9F9EA"/>
            </w:tcBorders>
            <w:shd w:val="clear" w:color="auto" w:fill="F9F9EA"/>
          </w:tcPr>
          <w:p>
            <w:pPr>
              <w:spacing w:after="0"/>
              <w:rPr>
                <w:sz w:val="10"/>
                <w:szCs w:val="10"/>
                <w:color w:val="auto"/>
              </w:rPr>
            </w:pPr>
          </w:p>
        </w:tc>
      </w:tr>
      <w:tr>
        <w:trPr>
          <w:trHeight w:val="368"/>
        </w:trPr>
        <w:tc>
          <w:tcPr>
            <w:tcW w:w="120" w:type="dxa"/>
            <w:vAlign w:val="bottom"/>
            <w:shd w:val="clear" w:color="auto" w:fill="F9F9EA"/>
          </w:tcPr>
          <w:p>
            <w:pPr>
              <w:spacing w:after="0"/>
              <w:rPr>
                <w:sz w:val="24"/>
                <w:szCs w:val="24"/>
                <w:color w:val="auto"/>
              </w:rPr>
            </w:pPr>
          </w:p>
        </w:tc>
        <w:tc>
          <w:tcPr>
            <w:tcW w:w="138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Term Expires</w:t>
            </w:r>
          </w:p>
        </w:tc>
        <w:tc>
          <w:tcPr>
            <w:tcW w:w="154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2025 Annual Meeting</w:t>
            </w:r>
          </w:p>
        </w:tc>
        <w:tc>
          <w:tcPr>
            <w:tcW w:w="120" w:type="dxa"/>
            <w:vAlign w:val="bottom"/>
            <w:shd w:val="clear" w:color="auto" w:fill="F9F9EA"/>
          </w:tcPr>
          <w:p>
            <w:pPr>
              <w:spacing w:after="0"/>
              <w:rPr>
                <w:sz w:val="24"/>
                <w:szCs w:val="24"/>
                <w:color w:val="auto"/>
              </w:rPr>
            </w:pPr>
          </w:p>
        </w:tc>
      </w:tr>
      <w:tr>
        <w:trPr>
          <w:trHeight w:val="227"/>
        </w:trPr>
        <w:tc>
          <w:tcPr>
            <w:tcW w:w="120" w:type="dxa"/>
            <w:vAlign w:val="bottom"/>
            <w:tcBorders>
              <w:bottom w:val="single" w:sz="8" w:color="F9F9EA"/>
            </w:tcBorders>
            <w:shd w:val="clear" w:color="auto" w:fill="F9F9EA"/>
          </w:tcPr>
          <w:p>
            <w:pPr>
              <w:spacing w:after="0"/>
              <w:rPr>
                <w:sz w:val="19"/>
                <w:szCs w:val="19"/>
                <w:color w:val="auto"/>
              </w:rPr>
            </w:pPr>
          </w:p>
        </w:tc>
        <w:tc>
          <w:tcPr>
            <w:tcW w:w="1380" w:type="dxa"/>
            <w:vAlign w:val="bottom"/>
            <w:tcBorders>
              <w:bottom w:val="single" w:sz="8" w:color="auto"/>
            </w:tcBorders>
            <w:shd w:val="clear" w:color="auto" w:fill="F9F9EA"/>
          </w:tcPr>
          <w:p>
            <w:pPr>
              <w:spacing w:after="0"/>
              <w:rPr>
                <w:sz w:val="19"/>
                <w:szCs w:val="19"/>
                <w:color w:val="auto"/>
              </w:rPr>
            </w:pPr>
          </w:p>
        </w:tc>
        <w:tc>
          <w:tcPr>
            <w:tcW w:w="1540" w:type="dxa"/>
            <w:vAlign w:val="bottom"/>
            <w:tcBorders>
              <w:bottom w:val="single" w:sz="8" w:color="auto"/>
            </w:tcBorders>
            <w:shd w:val="clear" w:color="auto" w:fill="F9F9EA"/>
          </w:tcPr>
          <w:p>
            <w:pPr>
              <w:spacing w:after="0"/>
              <w:rPr>
                <w:sz w:val="19"/>
                <w:szCs w:val="19"/>
                <w:color w:val="auto"/>
              </w:rPr>
            </w:pPr>
          </w:p>
        </w:tc>
        <w:tc>
          <w:tcPr>
            <w:tcW w:w="120" w:type="dxa"/>
            <w:vAlign w:val="bottom"/>
            <w:tcBorders>
              <w:bottom w:val="single" w:sz="8" w:color="F9F9EA"/>
            </w:tcBorders>
            <w:shd w:val="clear" w:color="auto" w:fill="F9F9EA"/>
          </w:tcPr>
          <w:p>
            <w:pPr>
              <w:spacing w:after="0"/>
              <w:rPr>
                <w:sz w:val="19"/>
                <w:szCs w:val="19"/>
                <w:color w:val="auto"/>
              </w:rPr>
            </w:pPr>
          </w:p>
        </w:tc>
      </w:tr>
      <w:tr>
        <w:trPr>
          <w:trHeight w:val="368"/>
        </w:trPr>
        <w:tc>
          <w:tcPr>
            <w:tcW w:w="120" w:type="dxa"/>
            <w:vAlign w:val="bottom"/>
            <w:shd w:val="clear" w:color="auto" w:fill="F9F9EA"/>
          </w:tcPr>
          <w:p>
            <w:pPr>
              <w:spacing w:after="0"/>
              <w:rPr>
                <w:sz w:val="24"/>
                <w:szCs w:val="24"/>
                <w:color w:val="auto"/>
              </w:rPr>
            </w:pPr>
          </w:p>
        </w:tc>
        <w:tc>
          <w:tcPr>
            <w:tcW w:w="138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Age</w:t>
            </w:r>
          </w:p>
        </w:tc>
        <w:tc>
          <w:tcPr>
            <w:tcW w:w="154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67</w:t>
            </w:r>
          </w:p>
        </w:tc>
        <w:tc>
          <w:tcPr>
            <w:tcW w:w="120" w:type="dxa"/>
            <w:vAlign w:val="bottom"/>
            <w:shd w:val="clear" w:color="auto" w:fill="F9F9EA"/>
          </w:tcPr>
          <w:p>
            <w:pPr>
              <w:spacing w:after="0"/>
              <w:rPr>
                <w:sz w:val="24"/>
                <w:szCs w:val="24"/>
                <w:color w:val="auto"/>
              </w:rPr>
            </w:pPr>
          </w:p>
        </w:tc>
      </w:tr>
      <w:tr>
        <w:trPr>
          <w:trHeight w:val="227"/>
        </w:trPr>
        <w:tc>
          <w:tcPr>
            <w:tcW w:w="120" w:type="dxa"/>
            <w:vAlign w:val="bottom"/>
            <w:tcBorders>
              <w:bottom w:val="single" w:sz="8" w:color="F9F9EA"/>
            </w:tcBorders>
            <w:shd w:val="clear" w:color="auto" w:fill="F9F9EA"/>
          </w:tcPr>
          <w:p>
            <w:pPr>
              <w:spacing w:after="0"/>
              <w:rPr>
                <w:sz w:val="19"/>
                <w:szCs w:val="19"/>
                <w:color w:val="auto"/>
              </w:rPr>
            </w:pPr>
          </w:p>
        </w:tc>
        <w:tc>
          <w:tcPr>
            <w:tcW w:w="1380" w:type="dxa"/>
            <w:vAlign w:val="bottom"/>
            <w:tcBorders>
              <w:bottom w:val="single" w:sz="8" w:color="auto"/>
            </w:tcBorders>
            <w:shd w:val="clear" w:color="auto" w:fill="F9F9EA"/>
          </w:tcPr>
          <w:p>
            <w:pPr>
              <w:spacing w:after="0"/>
              <w:rPr>
                <w:sz w:val="19"/>
                <w:szCs w:val="19"/>
                <w:color w:val="auto"/>
              </w:rPr>
            </w:pPr>
          </w:p>
        </w:tc>
        <w:tc>
          <w:tcPr>
            <w:tcW w:w="1540" w:type="dxa"/>
            <w:vAlign w:val="bottom"/>
            <w:tcBorders>
              <w:bottom w:val="single" w:sz="8" w:color="auto"/>
            </w:tcBorders>
            <w:shd w:val="clear" w:color="auto" w:fill="F9F9EA"/>
          </w:tcPr>
          <w:p>
            <w:pPr>
              <w:spacing w:after="0"/>
              <w:rPr>
                <w:sz w:val="19"/>
                <w:szCs w:val="19"/>
                <w:color w:val="auto"/>
              </w:rPr>
            </w:pPr>
          </w:p>
        </w:tc>
        <w:tc>
          <w:tcPr>
            <w:tcW w:w="120" w:type="dxa"/>
            <w:vAlign w:val="bottom"/>
            <w:tcBorders>
              <w:bottom w:val="single" w:sz="8" w:color="F9F9EA"/>
            </w:tcBorders>
            <w:shd w:val="clear" w:color="auto" w:fill="F9F9EA"/>
          </w:tcPr>
          <w:p>
            <w:pPr>
              <w:spacing w:after="0"/>
              <w:rPr>
                <w:sz w:val="19"/>
                <w:szCs w:val="19"/>
                <w:color w:val="auto"/>
              </w:rPr>
            </w:pPr>
          </w:p>
        </w:tc>
      </w:tr>
      <w:tr>
        <w:trPr>
          <w:trHeight w:val="270"/>
        </w:trPr>
        <w:tc>
          <w:tcPr>
            <w:tcW w:w="120" w:type="dxa"/>
            <w:vAlign w:val="bottom"/>
            <w:shd w:val="clear" w:color="auto" w:fill="F9F9EA"/>
          </w:tcPr>
          <w:p>
            <w:pPr>
              <w:spacing w:after="0"/>
              <w:rPr>
                <w:sz w:val="23"/>
                <w:szCs w:val="23"/>
                <w:color w:val="auto"/>
              </w:rPr>
            </w:pPr>
          </w:p>
        </w:tc>
        <w:tc>
          <w:tcPr>
            <w:tcW w:w="138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 xml:space="preserve">Board Committees:    </w:t>
            </w:r>
          </w:p>
        </w:tc>
        <w:tc>
          <w:tcPr>
            <w:tcW w:w="154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Audit, Chair (Financial</w:t>
            </w:r>
          </w:p>
        </w:tc>
        <w:tc>
          <w:tcPr>
            <w:tcW w:w="120" w:type="dxa"/>
            <w:vAlign w:val="bottom"/>
            <w:shd w:val="clear" w:color="auto" w:fill="F9F9EA"/>
          </w:tcPr>
          <w:p>
            <w:pPr>
              <w:spacing w:after="0"/>
              <w:rPr>
                <w:sz w:val="23"/>
                <w:szCs w:val="23"/>
                <w:color w:val="auto"/>
              </w:rPr>
            </w:pPr>
          </w:p>
        </w:tc>
      </w:tr>
      <w:tr>
        <w:trPr>
          <w:trHeight w:val="165"/>
        </w:trPr>
        <w:tc>
          <w:tcPr>
            <w:tcW w:w="120" w:type="dxa"/>
            <w:vAlign w:val="bottom"/>
            <w:shd w:val="clear" w:color="auto" w:fill="F9F9EA"/>
          </w:tcPr>
          <w:p>
            <w:pPr>
              <w:spacing w:after="0"/>
              <w:rPr>
                <w:sz w:val="14"/>
                <w:szCs w:val="14"/>
                <w:color w:val="auto"/>
              </w:rPr>
            </w:pPr>
          </w:p>
        </w:tc>
        <w:tc>
          <w:tcPr>
            <w:tcW w:w="1380" w:type="dxa"/>
            <w:vAlign w:val="bottom"/>
            <w:shd w:val="clear" w:color="auto" w:fill="F9F9EA"/>
          </w:tcPr>
          <w:p>
            <w:pPr>
              <w:spacing w:after="0"/>
              <w:rPr>
                <w:sz w:val="14"/>
                <w:szCs w:val="14"/>
                <w:color w:val="auto"/>
              </w:rPr>
            </w:pPr>
          </w:p>
        </w:tc>
        <w:tc>
          <w:tcPr>
            <w:tcW w:w="1540" w:type="dxa"/>
            <w:vAlign w:val="bottom"/>
            <w:shd w:val="clear" w:color="auto" w:fill="F9F9EA"/>
          </w:tcPr>
          <w:p>
            <w:pPr>
              <w:ind w:left="60"/>
              <w:spacing w:after="0"/>
              <w:rPr>
                <w:sz w:val="20"/>
                <w:szCs w:val="20"/>
                <w:color w:val="auto"/>
              </w:rPr>
            </w:pPr>
            <w:r>
              <w:rPr>
                <w:rFonts w:ascii="Arial" w:cs="Arial" w:eastAsia="Arial" w:hAnsi="Arial"/>
                <w:sz w:val="12"/>
                <w:szCs w:val="12"/>
                <w:color w:val="351B3D"/>
              </w:rPr>
              <w:t>Expert)</w:t>
            </w:r>
          </w:p>
        </w:tc>
        <w:tc>
          <w:tcPr>
            <w:tcW w:w="120" w:type="dxa"/>
            <w:vAlign w:val="bottom"/>
            <w:shd w:val="clear" w:color="auto" w:fill="F9F9EA"/>
          </w:tcPr>
          <w:p>
            <w:pPr>
              <w:spacing w:after="0"/>
              <w:rPr>
                <w:sz w:val="14"/>
                <w:szCs w:val="14"/>
                <w:color w:val="auto"/>
              </w:rPr>
            </w:pPr>
          </w:p>
        </w:tc>
      </w:tr>
      <w:tr>
        <w:trPr>
          <w:trHeight w:val="134"/>
        </w:trPr>
        <w:tc>
          <w:tcPr>
            <w:tcW w:w="120" w:type="dxa"/>
            <w:vAlign w:val="bottom"/>
            <w:shd w:val="clear" w:color="auto" w:fill="F9F9EA"/>
          </w:tcPr>
          <w:p>
            <w:pPr>
              <w:spacing w:after="0"/>
              <w:rPr>
                <w:sz w:val="11"/>
                <w:szCs w:val="11"/>
                <w:color w:val="auto"/>
              </w:rPr>
            </w:pPr>
          </w:p>
        </w:tc>
        <w:tc>
          <w:tcPr>
            <w:tcW w:w="1380" w:type="dxa"/>
            <w:vAlign w:val="bottom"/>
            <w:shd w:val="clear" w:color="auto" w:fill="F9F9EA"/>
          </w:tcPr>
          <w:p>
            <w:pPr>
              <w:spacing w:after="0"/>
              <w:rPr>
                <w:sz w:val="11"/>
                <w:szCs w:val="11"/>
                <w:color w:val="auto"/>
              </w:rPr>
            </w:pPr>
          </w:p>
        </w:tc>
        <w:tc>
          <w:tcPr>
            <w:tcW w:w="1540" w:type="dxa"/>
            <w:vAlign w:val="bottom"/>
            <w:shd w:val="clear" w:color="auto" w:fill="F9F9EA"/>
          </w:tcPr>
          <w:p>
            <w:pPr>
              <w:spacing w:after="0"/>
              <w:rPr>
                <w:sz w:val="11"/>
                <w:szCs w:val="11"/>
                <w:color w:val="auto"/>
              </w:rPr>
            </w:pPr>
          </w:p>
        </w:tc>
        <w:tc>
          <w:tcPr>
            <w:tcW w:w="120" w:type="dxa"/>
            <w:vAlign w:val="bottom"/>
            <w:shd w:val="clear" w:color="auto" w:fill="F9F9EA"/>
          </w:tcPr>
          <w:p>
            <w:pPr>
              <w:spacing w:after="0"/>
              <w:rPr>
                <w:sz w:val="11"/>
                <w:szCs w:val="11"/>
                <w:color w:val="auto"/>
              </w:rPr>
            </w:pPr>
          </w:p>
        </w:tc>
      </w:tr>
    </w:tbl>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140F21"/>
        </w:rPr>
        <w:t>PREVIOUS EXPERIENCE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–   2010 to 2013: Managing Director, Tennenbaum Capital Partners, now part of BlackRock</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–   2008 to 2010: Member of the Corporate Executive team and senior advisor, Ticketmaster, now part of LiveNation</w:t>
      </w:r>
    </w:p>
    <w:p>
      <w:pPr>
        <w:spacing w:after="0" w:line="80" w:lineRule="exact"/>
        <w:rPr>
          <w:sz w:val="20"/>
          <w:szCs w:val="20"/>
          <w:color w:val="auto"/>
        </w:rPr>
      </w:pPr>
    </w:p>
    <w:p>
      <w:pPr>
        <w:ind w:left="180" w:right="180" w:hanging="177"/>
        <w:spacing w:after="0" w:line="260" w:lineRule="auto"/>
        <w:rPr>
          <w:sz w:val="20"/>
          <w:szCs w:val="20"/>
          <w:color w:val="auto"/>
        </w:rPr>
      </w:pPr>
      <w:r>
        <w:rPr>
          <w:rFonts w:ascii="Arial" w:cs="Arial" w:eastAsia="Arial" w:hAnsi="Arial"/>
          <w:sz w:val="14"/>
          <w:szCs w:val="14"/>
          <w:color w:val="auto"/>
        </w:rPr>
        <w:t>–   1988 to 2008: Various senior corporate positions, including as Senior Vice President of Investor Relations and Shareholder Services, and governance outreach, The Walt Disney Company (“Disney”); Executive Director, The Walt Disney Company Foundation</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Previously held various investment banking positions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–   Prior service on the boards of TiVo, Jack in the Box, and nonprofit PetSmart Charities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140F21"/>
        </w:rPr>
        <w:t>EDUCATION</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Ms. Webb graduated with a B.A. (with honors) from Smith College and received her M.B.A. from Harvard University.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140F21"/>
        </w:rPr>
        <w:t>EXPERTISE</w:t>
      </w:r>
    </w:p>
    <w:p>
      <w:pPr>
        <w:spacing w:after="0" w:line="22" w:lineRule="exact"/>
        <w:rPr>
          <w:sz w:val="20"/>
          <w:szCs w:val="20"/>
          <w:color w:val="auto"/>
        </w:rPr>
      </w:pPr>
    </w:p>
    <w:p>
      <w:pPr>
        <w:ind w:right="100"/>
        <w:spacing w:after="0" w:line="246" w:lineRule="auto"/>
        <w:rPr>
          <w:sz w:val="20"/>
          <w:szCs w:val="20"/>
          <w:color w:val="auto"/>
        </w:rPr>
      </w:pPr>
      <w:r>
        <w:rPr>
          <w:rFonts w:ascii="Arial" w:cs="Arial" w:eastAsia="Arial" w:hAnsi="Arial"/>
          <w:sz w:val="14"/>
          <w:szCs w:val="14"/>
          <w:color w:val="auto"/>
        </w:rPr>
        <w:t>Ms. Webb brings to our Board significant industry expertise in travel and tourism, hospitality, food and beverage, media and entertainment, retailing, real estate, and facilities services. Ms. Webb’s experience developing award-winning investor relations, strategic communications, brand-building programs and extensive, public company board service contribute to the Board’s ability to provide creative solutions in strategic planning and board governance.</w:t>
      </w:r>
    </w:p>
    <w:p>
      <w:pPr>
        <w:spacing w:after="0" w:line="1380" w:lineRule="exact"/>
        <w:rPr>
          <w:sz w:val="20"/>
          <w:szCs w:val="20"/>
          <w:color w:val="auto"/>
        </w:rPr>
      </w:pPr>
    </w:p>
    <w:p>
      <w:pPr>
        <w:sectPr>
          <w:pgSz w:w="11900" w:h="16838" w:orient="portrait"/>
          <w:cols w:equalWidth="0" w:num="2">
            <w:col w:w="3320" w:space="360"/>
            <w:col w:w="7400"/>
          </w:cols>
          <w:pgMar w:left="320" w:top="478" w:right="499" w:bottom="1440" w:gutter="0" w:footer="0" w:header="0"/>
          <w:type w:val="continuous"/>
        </w:sectPr>
      </w:pPr>
    </w:p>
    <w:p>
      <w:pPr>
        <w:ind w:left="160"/>
        <w:spacing w:after="0"/>
        <w:rPr>
          <w:sz w:val="20"/>
          <w:szCs w:val="20"/>
          <w:color w:val="auto"/>
        </w:rPr>
      </w:pPr>
      <w:r>
        <w:rPr>
          <w:rFonts w:ascii="Arial" w:cs="Arial" w:eastAsia="Arial" w:hAnsi="Arial"/>
          <w:sz w:val="16"/>
          <w:szCs w:val="16"/>
          <w:color w:val="140F21"/>
        </w:rPr>
        <w:t>SKILLS AND QUALIFICATIONS</w:t>
      </w:r>
    </w:p>
    <w:p>
      <w:pPr>
        <w:spacing w:after="0" w:line="138" w:lineRule="exact"/>
        <w:rPr>
          <w:sz w:val="20"/>
          <w:szCs w:val="20"/>
          <w:color w:val="auto"/>
        </w:rPr>
      </w:pPr>
    </w:p>
    <w:tbl>
      <w:tblPr>
        <w:tblLayout w:type="fixed"/>
        <w:tblInd w:w="160" w:type="dxa"/>
        <w:tblCellMar>
          <w:top w:w="0" w:type="dxa"/>
          <w:left w:w="0" w:type="dxa"/>
          <w:bottom w:w="0" w:type="dxa"/>
          <w:right w:w="0" w:type="dxa"/>
        </w:tblCellMar>
      </w:tblPr>
      <w:tr>
        <w:trPr>
          <w:trHeight w:val="285"/>
        </w:trPr>
        <w:tc>
          <w:tcPr>
            <w:tcW w:w="2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Travel, Leisure, Hospitality &amp;</w:t>
            </w: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Ms. Webb has over 20 years of experience with Disney, one of the world’s leading entertainment companies in addition to several years</w:t>
            </w:r>
          </w:p>
        </w:tc>
      </w:tr>
      <w:tr>
        <w:trPr>
          <w:trHeight w:val="189"/>
        </w:trPr>
        <w:tc>
          <w:tcPr>
            <w:tcW w:w="2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Entertainment</w:t>
            </w: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at Ticketmaster Entertainment.</w:t>
            </w:r>
          </w:p>
        </w:tc>
      </w:tr>
      <w:tr>
        <w:trPr>
          <w:trHeight w:val="88"/>
        </w:trPr>
        <w:tc>
          <w:tcPr>
            <w:tcW w:w="2220" w:type="dxa"/>
            <w:vAlign w:val="bottom"/>
            <w:shd w:val="clear" w:color="auto" w:fill="D6D1D8"/>
          </w:tcPr>
          <w:p>
            <w:pPr>
              <w:spacing w:after="0"/>
              <w:rPr>
                <w:sz w:val="7"/>
                <w:szCs w:val="7"/>
                <w:color w:val="auto"/>
              </w:rPr>
            </w:pPr>
          </w:p>
        </w:tc>
        <w:tc>
          <w:tcPr>
            <w:tcW w:w="8700" w:type="dxa"/>
            <w:vAlign w:val="bottom"/>
            <w:shd w:val="clear" w:color="auto" w:fill="D6D1D8"/>
          </w:tcPr>
          <w:p>
            <w:pPr>
              <w:spacing w:after="0"/>
              <w:rPr>
                <w:sz w:val="7"/>
                <w:szCs w:val="7"/>
                <w:color w:val="auto"/>
              </w:rPr>
            </w:pPr>
          </w:p>
        </w:tc>
      </w:tr>
      <w:tr>
        <w:trPr>
          <w:trHeight w:val="313"/>
        </w:trPr>
        <w:tc>
          <w:tcPr>
            <w:tcW w:w="2220" w:type="dxa"/>
            <w:vAlign w:val="bottom"/>
          </w:tcPr>
          <w:p>
            <w:pPr>
              <w:ind w:left="80"/>
              <w:spacing w:after="0"/>
              <w:rPr>
                <w:sz w:val="20"/>
                <w:szCs w:val="20"/>
                <w:color w:val="auto"/>
              </w:rPr>
            </w:pPr>
            <w:r>
              <w:rPr>
                <w:rFonts w:ascii="Arial" w:cs="Arial" w:eastAsia="Arial" w:hAnsi="Arial"/>
                <w:sz w:val="14"/>
                <w:szCs w:val="14"/>
                <w:color w:val="auto"/>
              </w:rPr>
              <w:t>Executive Leadership</w:t>
            </w:r>
          </w:p>
        </w:tc>
        <w:tc>
          <w:tcPr>
            <w:tcW w:w="8700" w:type="dxa"/>
            <w:vAlign w:val="bottom"/>
          </w:tcPr>
          <w:p>
            <w:pPr>
              <w:ind w:left="120"/>
              <w:spacing w:after="0"/>
              <w:rPr>
                <w:sz w:val="20"/>
                <w:szCs w:val="20"/>
                <w:color w:val="auto"/>
              </w:rPr>
            </w:pPr>
            <w:r>
              <w:rPr>
                <w:rFonts w:ascii="Arial" w:cs="Arial" w:eastAsia="Arial" w:hAnsi="Arial"/>
                <w:sz w:val="14"/>
                <w:szCs w:val="14"/>
                <w:color w:val="auto"/>
              </w:rPr>
              <w:t>Ms. Webb was a member of the corporate executive teams of TPC Capital Corp, Ticketmaster, and Disney.</w:t>
            </w:r>
          </w:p>
        </w:tc>
      </w:tr>
      <w:tr>
        <w:trPr>
          <w:trHeight w:val="88"/>
        </w:trPr>
        <w:tc>
          <w:tcPr>
            <w:tcW w:w="2220" w:type="dxa"/>
            <w:vAlign w:val="bottom"/>
          </w:tcPr>
          <w:p>
            <w:pPr>
              <w:spacing w:after="0"/>
              <w:rPr>
                <w:sz w:val="7"/>
                <w:szCs w:val="7"/>
                <w:color w:val="auto"/>
              </w:rPr>
            </w:pPr>
          </w:p>
        </w:tc>
        <w:tc>
          <w:tcPr>
            <w:tcW w:w="8700" w:type="dxa"/>
            <w:vAlign w:val="bottom"/>
          </w:tcPr>
          <w:p>
            <w:pPr>
              <w:spacing w:after="0"/>
              <w:rPr>
                <w:sz w:val="7"/>
                <w:szCs w:val="7"/>
                <w:color w:val="auto"/>
              </w:rPr>
            </w:pPr>
          </w:p>
        </w:tc>
      </w:tr>
      <w:tr>
        <w:trPr>
          <w:trHeight w:val="313"/>
        </w:trPr>
        <w:tc>
          <w:tcPr>
            <w:tcW w:w="2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Outside Public Boards</w:t>
            </w: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Ms. Webb has served as a director of Tivo and Jack in the Box. She currently serves on the boards of AMH, AppFolio, and ABM.</w:t>
            </w:r>
          </w:p>
        </w:tc>
      </w:tr>
      <w:tr>
        <w:trPr>
          <w:trHeight w:val="88"/>
        </w:trPr>
        <w:tc>
          <w:tcPr>
            <w:tcW w:w="2220" w:type="dxa"/>
            <w:vAlign w:val="bottom"/>
            <w:shd w:val="clear" w:color="auto" w:fill="D6D1D8"/>
          </w:tcPr>
          <w:p>
            <w:pPr>
              <w:spacing w:after="0"/>
              <w:rPr>
                <w:sz w:val="7"/>
                <w:szCs w:val="7"/>
                <w:color w:val="auto"/>
              </w:rPr>
            </w:pPr>
          </w:p>
        </w:tc>
        <w:tc>
          <w:tcPr>
            <w:tcW w:w="8700" w:type="dxa"/>
            <w:vAlign w:val="bottom"/>
            <w:shd w:val="clear" w:color="auto" w:fill="D6D1D8"/>
          </w:tcPr>
          <w:p>
            <w:pPr>
              <w:spacing w:after="0"/>
              <w:rPr>
                <w:sz w:val="7"/>
                <w:szCs w:val="7"/>
                <w:color w:val="auto"/>
              </w:rPr>
            </w:pPr>
          </w:p>
        </w:tc>
      </w:tr>
      <w:tr>
        <w:trPr>
          <w:trHeight w:val="285"/>
        </w:trPr>
        <w:tc>
          <w:tcPr>
            <w:tcW w:w="2220" w:type="dxa"/>
            <w:vAlign w:val="bottom"/>
          </w:tcPr>
          <w:p>
            <w:pPr>
              <w:ind w:left="80"/>
              <w:spacing w:after="0"/>
              <w:rPr>
                <w:sz w:val="20"/>
                <w:szCs w:val="20"/>
                <w:color w:val="auto"/>
              </w:rPr>
            </w:pPr>
            <w:r>
              <w:rPr>
                <w:rFonts w:ascii="Arial" w:cs="Arial" w:eastAsia="Arial" w:hAnsi="Arial"/>
                <w:sz w:val="14"/>
                <w:szCs w:val="14"/>
                <w:color w:val="auto"/>
              </w:rPr>
              <w:t>Finance &amp; Accounting</w:t>
            </w:r>
          </w:p>
        </w:tc>
        <w:tc>
          <w:tcPr>
            <w:tcW w:w="8700" w:type="dxa"/>
            <w:vAlign w:val="bottom"/>
          </w:tcPr>
          <w:p>
            <w:pPr>
              <w:ind w:left="120"/>
              <w:spacing w:after="0"/>
              <w:rPr>
                <w:sz w:val="20"/>
                <w:szCs w:val="20"/>
                <w:color w:val="auto"/>
              </w:rPr>
            </w:pPr>
            <w:r>
              <w:rPr>
                <w:rFonts w:ascii="Arial" w:cs="Arial" w:eastAsia="Arial" w:hAnsi="Arial"/>
                <w:sz w:val="14"/>
                <w:szCs w:val="14"/>
                <w:color w:val="auto"/>
              </w:rPr>
              <w:t>Ms. Webb began her career in investment banking. She served as Vice President at PaineWebber in New York and as a Corporate</w:t>
            </w:r>
          </w:p>
        </w:tc>
      </w:tr>
      <w:tr>
        <w:trPr>
          <w:trHeight w:val="160"/>
        </w:trPr>
        <w:tc>
          <w:tcPr>
            <w:tcW w:w="2220" w:type="dxa"/>
            <w:vAlign w:val="bottom"/>
          </w:tcPr>
          <w:p>
            <w:pPr>
              <w:spacing w:after="0"/>
              <w:rPr>
                <w:sz w:val="13"/>
                <w:szCs w:val="13"/>
                <w:color w:val="auto"/>
              </w:rPr>
            </w:pPr>
          </w:p>
        </w:tc>
        <w:tc>
          <w:tcPr>
            <w:tcW w:w="8700" w:type="dxa"/>
            <w:vAlign w:val="bottom"/>
          </w:tcPr>
          <w:p>
            <w:pPr>
              <w:ind w:left="120"/>
              <w:spacing w:after="0"/>
              <w:rPr>
                <w:sz w:val="20"/>
                <w:szCs w:val="20"/>
                <w:color w:val="auto"/>
              </w:rPr>
            </w:pPr>
            <w:r>
              <w:rPr>
                <w:rFonts w:ascii="Arial" w:cs="Arial" w:eastAsia="Arial" w:hAnsi="Arial"/>
                <w:sz w:val="14"/>
                <w:szCs w:val="14"/>
                <w:color w:val="auto"/>
              </w:rPr>
              <w:t>Finance Analyst at Lehman Brothers. Prior to assuming her role in investor relations with Disney, she was engaged in that company’s</w:t>
            </w:r>
          </w:p>
        </w:tc>
      </w:tr>
      <w:tr>
        <w:trPr>
          <w:trHeight w:val="189"/>
        </w:trPr>
        <w:tc>
          <w:tcPr>
            <w:tcW w:w="2220" w:type="dxa"/>
            <w:vAlign w:val="bottom"/>
          </w:tcPr>
          <w:p>
            <w:pPr>
              <w:spacing w:after="0"/>
              <w:rPr>
                <w:sz w:val="16"/>
                <w:szCs w:val="16"/>
                <w:color w:val="auto"/>
              </w:rPr>
            </w:pPr>
          </w:p>
        </w:tc>
        <w:tc>
          <w:tcPr>
            <w:tcW w:w="8700" w:type="dxa"/>
            <w:vAlign w:val="bottom"/>
          </w:tcPr>
          <w:p>
            <w:pPr>
              <w:ind w:left="120"/>
              <w:spacing w:after="0"/>
              <w:rPr>
                <w:sz w:val="20"/>
                <w:szCs w:val="20"/>
                <w:color w:val="auto"/>
              </w:rPr>
            </w:pPr>
            <w:r>
              <w:rPr>
                <w:rFonts w:ascii="Arial" w:cs="Arial" w:eastAsia="Arial" w:hAnsi="Arial"/>
                <w:sz w:val="14"/>
                <w:szCs w:val="14"/>
                <w:color w:val="auto"/>
              </w:rPr>
              <w:t>capital markets, treasury and corporate finance activities. She serves on the Audit Committees of ABM and AppFolio (chair).</w:t>
            </w:r>
          </w:p>
        </w:tc>
      </w:tr>
      <w:tr>
        <w:trPr>
          <w:trHeight w:val="88"/>
        </w:trPr>
        <w:tc>
          <w:tcPr>
            <w:tcW w:w="2220" w:type="dxa"/>
            <w:vAlign w:val="bottom"/>
          </w:tcPr>
          <w:p>
            <w:pPr>
              <w:spacing w:after="0"/>
              <w:rPr>
                <w:sz w:val="7"/>
                <w:szCs w:val="7"/>
                <w:color w:val="auto"/>
              </w:rPr>
            </w:pPr>
          </w:p>
        </w:tc>
        <w:tc>
          <w:tcPr>
            <w:tcW w:w="8700" w:type="dxa"/>
            <w:vAlign w:val="bottom"/>
          </w:tcPr>
          <w:p>
            <w:pPr>
              <w:spacing w:after="0"/>
              <w:rPr>
                <w:sz w:val="7"/>
                <w:szCs w:val="7"/>
                <w:color w:val="auto"/>
              </w:rPr>
            </w:pPr>
          </w:p>
        </w:tc>
      </w:tr>
      <w:tr>
        <w:trPr>
          <w:trHeight w:val="285"/>
        </w:trPr>
        <w:tc>
          <w:tcPr>
            <w:tcW w:w="2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Cybersecurity &amp; Data Privacy</w:t>
            </w: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Ms. Webb serves as chair of ABM’s Stakeholder &amp; Enterprise Risk committee, responsible for cybersecurity review. She holds a</w:t>
            </w:r>
          </w:p>
        </w:tc>
      </w:tr>
      <w:tr>
        <w:trPr>
          <w:trHeight w:val="189"/>
        </w:trPr>
        <w:tc>
          <w:tcPr>
            <w:tcW w:w="2220" w:type="dxa"/>
            <w:vAlign w:val="bottom"/>
            <w:shd w:val="clear" w:color="auto" w:fill="D6D1D8"/>
          </w:tcPr>
          <w:p>
            <w:pPr>
              <w:spacing w:after="0"/>
              <w:rPr>
                <w:sz w:val="16"/>
                <w:szCs w:val="16"/>
                <w:color w:val="auto"/>
              </w:rPr>
            </w:pP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National Association of Corporate Directors/Carnegie Mellon Certificate in Cyber-Risk Oversight.</w:t>
            </w:r>
          </w:p>
        </w:tc>
      </w:tr>
      <w:tr>
        <w:trPr>
          <w:trHeight w:val="88"/>
        </w:trPr>
        <w:tc>
          <w:tcPr>
            <w:tcW w:w="2220" w:type="dxa"/>
            <w:vAlign w:val="bottom"/>
            <w:shd w:val="clear" w:color="auto" w:fill="D6D1D8"/>
          </w:tcPr>
          <w:p>
            <w:pPr>
              <w:spacing w:after="0"/>
              <w:rPr>
                <w:sz w:val="7"/>
                <w:szCs w:val="7"/>
                <w:color w:val="auto"/>
              </w:rPr>
            </w:pPr>
          </w:p>
        </w:tc>
        <w:tc>
          <w:tcPr>
            <w:tcW w:w="8700" w:type="dxa"/>
            <w:vAlign w:val="bottom"/>
            <w:shd w:val="clear" w:color="auto" w:fill="D6D1D8"/>
          </w:tcPr>
          <w:p>
            <w:pPr>
              <w:spacing w:after="0"/>
              <w:rPr>
                <w:sz w:val="7"/>
                <w:szCs w:val="7"/>
                <w:color w:val="auto"/>
              </w:rPr>
            </w:pPr>
          </w:p>
        </w:tc>
      </w:tr>
      <w:tr>
        <w:trPr>
          <w:trHeight w:val="285"/>
        </w:trPr>
        <w:tc>
          <w:tcPr>
            <w:tcW w:w="2220" w:type="dxa"/>
            <w:vAlign w:val="bottom"/>
          </w:tcPr>
          <w:p>
            <w:pPr>
              <w:ind w:left="80"/>
              <w:spacing w:after="0"/>
              <w:rPr>
                <w:sz w:val="20"/>
                <w:szCs w:val="20"/>
                <w:color w:val="auto"/>
              </w:rPr>
            </w:pPr>
            <w:r>
              <w:rPr>
                <w:rFonts w:ascii="Arial" w:cs="Arial" w:eastAsia="Arial" w:hAnsi="Arial"/>
                <w:sz w:val="14"/>
                <w:szCs w:val="14"/>
                <w:color w:val="auto"/>
              </w:rPr>
              <w:t>Real Estate &amp; Project</w:t>
            </w:r>
          </w:p>
        </w:tc>
        <w:tc>
          <w:tcPr>
            <w:tcW w:w="8700" w:type="dxa"/>
            <w:vAlign w:val="bottom"/>
          </w:tcPr>
          <w:p>
            <w:pPr>
              <w:ind w:left="120"/>
              <w:spacing w:after="0"/>
              <w:rPr>
                <w:sz w:val="20"/>
                <w:szCs w:val="20"/>
                <w:color w:val="auto"/>
              </w:rPr>
            </w:pPr>
            <w:r>
              <w:rPr>
                <w:rFonts w:ascii="Arial" w:cs="Arial" w:eastAsia="Arial" w:hAnsi="Arial"/>
                <w:sz w:val="14"/>
                <w:szCs w:val="14"/>
                <w:color w:val="auto"/>
              </w:rPr>
              <w:t>Ms. Webb is a trustee of AMH, a real estate investment trust. She is also a director of facilities services and engineering company, ABM,</w:t>
            </w:r>
          </w:p>
        </w:tc>
      </w:tr>
      <w:tr>
        <w:trPr>
          <w:trHeight w:val="189"/>
        </w:trPr>
        <w:tc>
          <w:tcPr>
            <w:tcW w:w="2220" w:type="dxa"/>
            <w:vAlign w:val="bottom"/>
          </w:tcPr>
          <w:p>
            <w:pPr>
              <w:ind w:left="80"/>
              <w:spacing w:after="0"/>
              <w:rPr>
                <w:sz w:val="20"/>
                <w:szCs w:val="20"/>
                <w:color w:val="auto"/>
              </w:rPr>
            </w:pPr>
            <w:r>
              <w:rPr>
                <w:rFonts w:ascii="Arial" w:cs="Arial" w:eastAsia="Arial" w:hAnsi="Arial"/>
                <w:sz w:val="14"/>
                <w:szCs w:val="14"/>
                <w:color w:val="auto"/>
              </w:rPr>
              <w:t>Construction</w:t>
            </w:r>
          </w:p>
        </w:tc>
        <w:tc>
          <w:tcPr>
            <w:tcW w:w="8700" w:type="dxa"/>
            <w:vAlign w:val="bottom"/>
          </w:tcPr>
          <w:p>
            <w:pPr>
              <w:ind w:left="120"/>
              <w:spacing w:after="0"/>
              <w:rPr>
                <w:sz w:val="20"/>
                <w:szCs w:val="20"/>
                <w:color w:val="auto"/>
              </w:rPr>
            </w:pPr>
            <w:r>
              <w:rPr>
                <w:rFonts w:ascii="Arial" w:cs="Arial" w:eastAsia="Arial" w:hAnsi="Arial"/>
                <w:sz w:val="14"/>
                <w:szCs w:val="14"/>
                <w:color w:val="auto"/>
              </w:rPr>
              <w:t>and of AppFolio which provides property management services.</w:t>
            </w:r>
          </w:p>
        </w:tc>
      </w:tr>
      <w:tr>
        <w:trPr>
          <w:trHeight w:val="88"/>
        </w:trPr>
        <w:tc>
          <w:tcPr>
            <w:tcW w:w="2220" w:type="dxa"/>
            <w:vAlign w:val="bottom"/>
          </w:tcPr>
          <w:p>
            <w:pPr>
              <w:spacing w:after="0"/>
              <w:rPr>
                <w:sz w:val="7"/>
                <w:szCs w:val="7"/>
                <w:color w:val="auto"/>
              </w:rPr>
            </w:pPr>
          </w:p>
        </w:tc>
        <w:tc>
          <w:tcPr>
            <w:tcW w:w="8700" w:type="dxa"/>
            <w:vAlign w:val="bottom"/>
          </w:tcPr>
          <w:p>
            <w:pPr>
              <w:spacing w:after="0"/>
              <w:rPr>
                <w:sz w:val="7"/>
                <w:szCs w:val="7"/>
                <w:color w:val="auto"/>
              </w:rPr>
            </w:pPr>
          </w:p>
        </w:tc>
      </w:tr>
      <w:tr>
        <w:trPr>
          <w:trHeight w:val="285"/>
        </w:trPr>
        <w:tc>
          <w:tcPr>
            <w:tcW w:w="2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Environmental &amp;</w:t>
            </w: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Ms. Webb was Disney’s c-suite executive responsible for governance outreach and was separately the Executive Director of The Walt</w:t>
            </w:r>
          </w:p>
        </w:tc>
      </w:tr>
      <w:tr>
        <w:trPr>
          <w:trHeight w:val="160"/>
        </w:trPr>
        <w:tc>
          <w:tcPr>
            <w:tcW w:w="2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Sustainability</w:t>
            </w: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Disney Company Foundation. She serves on the Nominating and Governance Committees at Appfolio and AMH. She chairs ABM’s</w:t>
            </w:r>
          </w:p>
        </w:tc>
      </w:tr>
      <w:tr>
        <w:trPr>
          <w:trHeight w:val="189"/>
        </w:trPr>
        <w:tc>
          <w:tcPr>
            <w:tcW w:w="2220" w:type="dxa"/>
            <w:vAlign w:val="bottom"/>
            <w:shd w:val="clear" w:color="auto" w:fill="D6D1D8"/>
          </w:tcPr>
          <w:p>
            <w:pPr>
              <w:spacing w:after="0"/>
              <w:rPr>
                <w:sz w:val="16"/>
                <w:szCs w:val="16"/>
                <w:color w:val="auto"/>
              </w:rPr>
            </w:pPr>
          </w:p>
        </w:tc>
        <w:tc>
          <w:tcPr>
            <w:tcW w:w="8700" w:type="dxa"/>
            <w:vAlign w:val="bottom"/>
            <w:shd w:val="clear" w:color="auto" w:fill="D6D1D8"/>
          </w:tcPr>
          <w:p>
            <w:pPr>
              <w:ind w:left="120"/>
              <w:spacing w:after="0"/>
              <w:rPr>
                <w:sz w:val="20"/>
                <w:szCs w:val="20"/>
                <w:color w:val="auto"/>
              </w:rPr>
            </w:pPr>
            <w:r>
              <w:rPr>
                <w:rFonts w:ascii="Arial" w:cs="Arial" w:eastAsia="Arial" w:hAnsi="Arial"/>
                <w:sz w:val="14"/>
                <w:szCs w:val="14"/>
                <w:color w:val="auto"/>
              </w:rPr>
              <w:t>Stakeholder &amp; Enterprise Risk committee, responsible for oversight of that company’s ESG efforts.</w:t>
            </w:r>
          </w:p>
        </w:tc>
      </w:tr>
      <w:tr>
        <w:trPr>
          <w:trHeight w:val="88"/>
        </w:trPr>
        <w:tc>
          <w:tcPr>
            <w:tcW w:w="2220" w:type="dxa"/>
            <w:vAlign w:val="bottom"/>
            <w:shd w:val="clear" w:color="auto" w:fill="D6D1D8"/>
          </w:tcPr>
          <w:p>
            <w:pPr>
              <w:spacing w:after="0"/>
              <w:rPr>
                <w:sz w:val="7"/>
                <w:szCs w:val="7"/>
                <w:color w:val="auto"/>
              </w:rPr>
            </w:pPr>
          </w:p>
        </w:tc>
        <w:tc>
          <w:tcPr>
            <w:tcW w:w="8700" w:type="dxa"/>
            <w:vAlign w:val="bottom"/>
            <w:shd w:val="clear" w:color="auto" w:fill="D6D1D8"/>
          </w:tcPr>
          <w:p>
            <w:pPr>
              <w:spacing w:after="0"/>
              <w:rPr>
                <w:sz w:val="7"/>
                <w:szCs w:val="7"/>
                <w:color w:val="auto"/>
              </w:rPr>
            </w:pPr>
          </w:p>
        </w:tc>
      </w:tr>
    </w:tbl>
    <w:p>
      <w:pPr>
        <w:spacing w:after="0" w:line="129" w:lineRule="exact"/>
        <w:rPr>
          <w:sz w:val="20"/>
          <w:szCs w:val="20"/>
          <w:color w:val="auto"/>
        </w:rPr>
      </w:pPr>
    </w:p>
    <w:p>
      <w:pPr>
        <w:sectPr>
          <w:pgSz w:w="11900" w:h="16838" w:orient="portrait"/>
          <w:cols w:equalWidth="0" w:num="1">
            <w:col w:w="11080"/>
          </w:cols>
          <w:pgMar w:left="320" w:top="478" w:right="499" w:bottom="1440" w:gutter="0" w:footer="0" w:header="0"/>
          <w:type w:val="continuous"/>
        </w:sectPr>
      </w:pPr>
    </w:p>
    <w:p>
      <w:pPr>
        <w:ind w:left="160"/>
        <w:spacing w:after="0"/>
        <w:rPr>
          <w:sz w:val="20"/>
          <w:szCs w:val="20"/>
          <w:color w:val="auto"/>
        </w:rPr>
      </w:pPr>
      <w:r>
        <w:rPr>
          <w:rFonts w:ascii="Arial" w:cs="Arial" w:eastAsia="Arial" w:hAnsi="Arial"/>
          <w:sz w:val="12"/>
          <w:szCs w:val="12"/>
          <w:color w:val="351B3D"/>
        </w:rPr>
        <w:t>14</w:t>
      </w:r>
    </w:p>
    <w:p>
      <w:pPr>
        <w:sectPr>
          <w:pgSz w:w="11900" w:h="16838" w:orient="portrait"/>
          <w:cols w:equalWidth="0" w:num="1">
            <w:col w:w="11080"/>
          </w:cols>
          <w:pgMar w:left="320" w:top="478" w:right="4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45"/>
          <w:szCs w:val="45"/>
          <w:color w:val="140F21"/>
        </w:rPr>
        <w:t>Board Independence</w:t>
      </w:r>
    </w:p>
    <w:p>
      <w:pPr>
        <w:spacing w:after="0" w:line="344" w:lineRule="exact"/>
        <w:rPr>
          <w:sz w:val="20"/>
          <w:szCs w:val="20"/>
          <w:color w:val="auto"/>
        </w:rPr>
      </w:pPr>
    </w:p>
    <w:p>
      <w:pPr>
        <w:ind w:left="160" w:right="80"/>
        <w:spacing w:after="0" w:line="251" w:lineRule="auto"/>
        <w:rPr>
          <w:sz w:val="20"/>
          <w:szCs w:val="20"/>
          <w:color w:val="auto"/>
        </w:rPr>
      </w:pPr>
      <w:r>
        <w:rPr>
          <w:rFonts w:ascii="Arial" w:cs="Arial" w:eastAsia="Arial" w:hAnsi="Arial"/>
          <w:sz w:val="16"/>
          <w:szCs w:val="16"/>
          <w:color w:val="auto"/>
        </w:rPr>
        <w:t>The Board has affirmatively determined that, except Mr. Billings, our Chief Executive Officer, each director that served during 2024 was, and Mr. Sanfilippo and each of our continuing non-employee director qualifies as, an independent director in accordance with Nasdaq’s listing standards. In addition, the Board has determined that each of Mr. Byrne, Mr. Liu, Mr. Satre, Ms. Mulroy and Ms. Webb met the heightened independence requirements for Audit Committee membership as set forth in Rule 10A-3 under the Securities and Exchange Act of 1934, as amended (the “Exchange Act”), and the applicable listing standards of Nasdaq, and that each of Ms. Atkins, Ms. Myers and Messrs. Byrne and Strom met the heightened independence requirements for Compensation Committee members set forth in Rule 10C-1 under the Exchange Act and the applicable listing standards of Nasdaq.</w:t>
      </w:r>
    </w:p>
    <w:p>
      <w:pPr>
        <w:spacing w:after="0" w:line="183" w:lineRule="exact"/>
        <w:rPr>
          <w:sz w:val="20"/>
          <w:szCs w:val="20"/>
          <w:color w:val="auto"/>
        </w:rPr>
      </w:pPr>
    </w:p>
    <w:p>
      <w:pPr>
        <w:ind w:left="160" w:right="100"/>
        <w:spacing w:after="0" w:line="256" w:lineRule="auto"/>
        <w:rPr>
          <w:sz w:val="20"/>
          <w:szCs w:val="20"/>
          <w:color w:val="auto"/>
        </w:rPr>
      </w:pPr>
      <w:r>
        <w:rPr>
          <w:rFonts w:ascii="Arial" w:cs="Arial" w:eastAsia="Arial" w:hAnsi="Arial"/>
          <w:sz w:val="16"/>
          <w:szCs w:val="16"/>
          <w:color w:val="auto"/>
        </w:rPr>
        <w:t>In addition, our Code of Conduct requires our employees and directors to avoid situations where their personal interests may, or may appear to, conflict with our interests, and to disclose a potential conflict of interest. In any situation where a director could be perceived as having a potential conflict of interest, that director is expected to recuse himself or herself from the matter, and the non-interested members of the Board review and act on the matter or transaction.</w:t>
      </w:r>
    </w:p>
    <w:p>
      <w:pPr>
        <w:spacing w:after="0" w:line="253" w:lineRule="exact"/>
        <w:rPr>
          <w:sz w:val="20"/>
          <w:szCs w:val="20"/>
          <w:color w:val="auto"/>
        </w:rPr>
      </w:pPr>
    </w:p>
    <w:p>
      <w:pPr>
        <w:ind w:left="160" w:right="600"/>
        <w:spacing w:after="0" w:line="266" w:lineRule="auto"/>
        <w:rPr>
          <w:sz w:val="20"/>
          <w:szCs w:val="20"/>
          <w:color w:val="auto"/>
        </w:rPr>
      </w:pPr>
      <w:r>
        <w:rPr>
          <w:rFonts w:ascii="Times New Roman" w:cs="Times New Roman" w:eastAsia="Times New Roman" w:hAnsi="Times New Roman"/>
          <w:sz w:val="45"/>
          <w:szCs w:val="45"/>
          <w:color w:val="140F21"/>
        </w:rPr>
        <w:t>Attendance at Board, Committee and Annual Shareholder Meetings</w:t>
      </w:r>
    </w:p>
    <w:p>
      <w:pPr>
        <w:spacing w:after="0" w:line="222" w:lineRule="exact"/>
        <w:rPr>
          <w:sz w:val="20"/>
          <w:szCs w:val="20"/>
          <w:color w:val="auto"/>
        </w:rPr>
      </w:pPr>
    </w:p>
    <w:p>
      <w:pPr>
        <w:ind w:left="160" w:right="220"/>
        <w:spacing w:after="0" w:line="253" w:lineRule="auto"/>
        <w:rPr>
          <w:sz w:val="20"/>
          <w:szCs w:val="20"/>
          <w:color w:val="auto"/>
        </w:rPr>
      </w:pPr>
      <w:r>
        <w:rPr>
          <w:rFonts w:ascii="Arial" w:cs="Arial" w:eastAsia="Arial" w:hAnsi="Arial"/>
          <w:sz w:val="16"/>
          <w:szCs w:val="16"/>
          <w:color w:val="auto"/>
        </w:rPr>
        <w:t>During 2024, the Board held eight meetings, the Audit Committee held eight meetings, the Compensation Committee held six meetings, and the Nominating and Corporate Governance Committee held four meetings. Directors are expected to attend the annual meeting of shareholders and all or substantially all of the Board meetings and meetings of committees on which they serve. All directors then in office attended the annual meeting of shareholders held on May 2, 2024, and during 2024 each director attended at least 75% of the meetings of the Board during such director’s tenure and the total number of meetings held by the committees of the Board on which the director served.</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HOW WE GOVERN AND ARE GOVERNED</w:t>
      </w:r>
    </w:p>
    <w:p>
      <w:pPr>
        <w:spacing w:after="0" w:line="19" w:lineRule="exact"/>
        <w:rPr>
          <w:sz w:val="20"/>
          <w:szCs w:val="20"/>
          <w:color w:val="auto"/>
        </w:rPr>
      </w:pPr>
    </w:p>
    <w:p>
      <w:pPr>
        <w:ind w:left="160" w:right="20"/>
        <w:spacing w:after="0" w:line="251" w:lineRule="auto"/>
        <w:rPr>
          <w:sz w:val="20"/>
          <w:szCs w:val="20"/>
          <w:color w:val="auto"/>
        </w:rPr>
      </w:pPr>
      <w:r>
        <w:rPr>
          <w:rFonts w:ascii="Arial" w:cs="Arial" w:eastAsia="Arial" w:hAnsi="Arial"/>
          <w:sz w:val="16"/>
          <w:szCs w:val="16"/>
          <w:color w:val="auto"/>
        </w:rPr>
        <w:t>Our Board considers carefully which of its functions should be delegated to its standing committees and which are better suited for the full Board. We also consider carefully which directors serve on, and chair, each committee, and how reporting between the committees, the Board, the Board Chair, and management should take place.</w:t>
      </w:r>
    </w:p>
    <w:p>
      <w:pPr>
        <w:spacing w:after="0" w:line="182" w:lineRule="exact"/>
        <w:rPr>
          <w:sz w:val="20"/>
          <w:szCs w:val="20"/>
          <w:color w:val="auto"/>
        </w:rPr>
      </w:pPr>
    </w:p>
    <w:p>
      <w:pPr>
        <w:ind w:left="160" w:right="260"/>
        <w:spacing w:after="0" w:line="262" w:lineRule="auto"/>
        <w:rPr>
          <w:sz w:val="20"/>
          <w:szCs w:val="20"/>
          <w:color w:val="auto"/>
        </w:rPr>
      </w:pPr>
      <w:r>
        <w:rPr>
          <w:rFonts w:ascii="Arial" w:cs="Arial" w:eastAsia="Arial" w:hAnsi="Arial"/>
          <w:sz w:val="16"/>
          <w:szCs w:val="16"/>
          <w:color w:val="auto"/>
        </w:rPr>
        <w:t>As the expectations placed on company boards continue to grow, the Nominating and Governance Committee periodically assesses this structure, including monitoring the function of the committees through the annual self-evaluation process, when and whether new committees or sub-committees are needed and how the committee’s reporting mechanisms to the Board are operating in practice.</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080"/>
          </w:cols>
          <w:pgMar w:left="320" w:top="478"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45"/>
          <w:szCs w:val="45"/>
          <w:color w:val="140F21"/>
        </w:rPr>
        <w:t>Committees of the Board</w:t>
      </w:r>
    </w:p>
    <w:p>
      <w:pPr>
        <w:spacing w:after="0" w:line="344" w:lineRule="exact"/>
        <w:rPr>
          <w:sz w:val="20"/>
          <w:szCs w:val="20"/>
          <w:color w:val="auto"/>
        </w:rPr>
      </w:pPr>
    </w:p>
    <w:p>
      <w:pPr>
        <w:ind w:left="160" w:right="540"/>
        <w:spacing w:after="0" w:line="256" w:lineRule="auto"/>
        <w:rPr>
          <w:sz w:val="20"/>
          <w:szCs w:val="20"/>
          <w:color w:val="auto"/>
        </w:rPr>
      </w:pPr>
      <w:r>
        <w:rPr>
          <w:rFonts w:ascii="Arial" w:cs="Arial" w:eastAsia="Arial" w:hAnsi="Arial"/>
          <w:sz w:val="16"/>
          <w:szCs w:val="16"/>
          <w:color w:val="auto"/>
        </w:rPr>
        <w:t>The Board of Directors has three standing committees, each comprised solely of independent directors: the Audit Committee, the Compensation Committee, and the Nominating and Corporate Governance Committee. The charters for these committees are available on our website at http://www.wynnresorts.com under the heading “CORPORATE GOVERNANCE” on the ”COMPANY INFO” page. The current composition and key responsibilities of the three standing committees of the Board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139065</wp:posOffset>
            </wp:positionV>
            <wp:extent cx="6929755" cy="2326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29755" cy="2326640"/>
                    </a:xfrm>
                    <a:prstGeom prst="rect">
                      <a:avLst/>
                    </a:prstGeom>
                    <a:noFill/>
                  </pic:spPr>
                </pic:pic>
              </a:graphicData>
            </a:graphic>
          </wp:anchor>
        </w:drawing>
      </w:r>
    </w:p>
    <w:p>
      <w:pPr>
        <w:spacing w:after="0" w:line="199" w:lineRule="exact"/>
        <w:rPr>
          <w:sz w:val="20"/>
          <w:szCs w:val="20"/>
          <w:color w:val="auto"/>
        </w:rPr>
      </w:pPr>
    </w:p>
    <w:tbl>
      <w:tblPr>
        <w:tblLayout w:type="fixed"/>
        <w:tblInd w:w="160" w:type="dxa"/>
        <w:tblCellMar>
          <w:top w:w="0" w:type="dxa"/>
          <w:left w:w="0" w:type="dxa"/>
          <w:bottom w:w="0" w:type="dxa"/>
          <w:right w:w="0" w:type="dxa"/>
        </w:tblCellMar>
      </w:tblPr>
      <w:tr>
        <w:trPr>
          <w:trHeight w:val="240"/>
        </w:trPr>
        <w:tc>
          <w:tcPr>
            <w:tcW w:w="4860" w:type="dxa"/>
            <w:vAlign w:val="bottom"/>
            <w:shd w:val="clear" w:color="auto" w:fill="351B3D"/>
          </w:tcPr>
          <w:p>
            <w:pPr>
              <w:spacing w:after="0"/>
              <w:rPr>
                <w:sz w:val="20"/>
                <w:szCs w:val="20"/>
                <w:color w:val="auto"/>
              </w:rPr>
            </w:pPr>
          </w:p>
        </w:tc>
        <w:tc>
          <w:tcPr>
            <w:tcW w:w="1260" w:type="dxa"/>
            <w:vAlign w:val="bottom"/>
            <w:vMerge w:val="restart"/>
            <w:shd w:val="clear" w:color="auto" w:fill="351B3D"/>
          </w:tcPr>
          <w:p>
            <w:pPr>
              <w:ind w:left="20"/>
              <w:spacing w:after="0"/>
              <w:rPr>
                <w:sz w:val="20"/>
                <w:szCs w:val="20"/>
                <w:color w:val="auto"/>
              </w:rPr>
            </w:pPr>
            <w:r>
              <w:rPr>
                <w:rFonts w:ascii="Arial" w:cs="Arial" w:eastAsia="Arial" w:hAnsi="Arial"/>
                <w:sz w:val="16"/>
                <w:szCs w:val="16"/>
                <w:color w:val="FFFFFF"/>
              </w:rPr>
              <w:t> INDEPENDENT</w:t>
            </w:r>
          </w:p>
        </w:tc>
        <w:tc>
          <w:tcPr>
            <w:tcW w:w="110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w w:val="99"/>
              </w:rPr>
              <w:t>AUDIT</w:t>
            </w:r>
          </w:p>
        </w:tc>
        <w:tc>
          <w:tcPr>
            <w:tcW w:w="1400" w:type="dxa"/>
            <w:vAlign w:val="bottom"/>
            <w:vMerge w:val="restart"/>
            <w:shd w:val="clear" w:color="auto" w:fill="351B3D"/>
          </w:tcPr>
          <w:p>
            <w:pPr>
              <w:ind w:left="20"/>
              <w:spacing w:after="0"/>
              <w:rPr>
                <w:sz w:val="20"/>
                <w:szCs w:val="20"/>
                <w:color w:val="auto"/>
              </w:rPr>
            </w:pPr>
            <w:r>
              <w:rPr>
                <w:rFonts w:ascii="Arial" w:cs="Arial" w:eastAsia="Arial" w:hAnsi="Arial"/>
                <w:sz w:val="16"/>
                <w:szCs w:val="16"/>
                <w:color w:val="FFFFFF"/>
              </w:rPr>
              <w:t> COMPENSATION</w:t>
            </w:r>
          </w:p>
        </w:tc>
        <w:tc>
          <w:tcPr>
            <w:tcW w:w="2300" w:type="dxa"/>
            <w:vAlign w:val="bottom"/>
            <w:shd w:val="clear" w:color="auto" w:fill="351B3D"/>
          </w:tcPr>
          <w:p>
            <w:pPr>
              <w:jc w:val="center"/>
              <w:spacing w:after="0"/>
              <w:rPr>
                <w:sz w:val="20"/>
                <w:szCs w:val="20"/>
                <w:color w:val="auto"/>
              </w:rPr>
            </w:pPr>
            <w:r>
              <w:rPr>
                <w:rFonts w:ascii="Arial" w:cs="Arial" w:eastAsia="Arial" w:hAnsi="Arial"/>
                <w:sz w:val="16"/>
                <w:szCs w:val="16"/>
                <w:color w:val="FFFFFF"/>
                <w:w w:val="99"/>
              </w:rPr>
              <w:t>NOMINATING</w:t>
            </w:r>
          </w:p>
        </w:tc>
        <w:tc>
          <w:tcPr>
            <w:tcW w:w="0" w:type="dxa"/>
            <w:vAlign w:val="bottom"/>
          </w:tcPr>
          <w:p>
            <w:pPr>
              <w:spacing w:after="0"/>
              <w:rPr>
                <w:sz w:val="1"/>
                <w:szCs w:val="1"/>
                <w:color w:val="auto"/>
              </w:rPr>
            </w:pPr>
          </w:p>
        </w:tc>
      </w:tr>
      <w:tr>
        <w:trPr>
          <w:trHeight w:val="94"/>
        </w:trPr>
        <w:tc>
          <w:tcPr>
            <w:tcW w:w="4860" w:type="dxa"/>
            <w:vAlign w:val="bottom"/>
            <w:vMerge w:val="restart"/>
            <w:shd w:val="clear" w:color="auto" w:fill="351B3D"/>
          </w:tcPr>
          <w:p>
            <w:pPr>
              <w:ind w:left="80"/>
              <w:spacing w:after="0"/>
              <w:rPr>
                <w:sz w:val="20"/>
                <w:szCs w:val="20"/>
                <w:color w:val="auto"/>
              </w:rPr>
            </w:pPr>
            <w:r>
              <w:rPr>
                <w:rFonts w:ascii="Arial" w:cs="Arial" w:eastAsia="Arial" w:hAnsi="Arial"/>
                <w:sz w:val="16"/>
                <w:szCs w:val="16"/>
                <w:color w:val="FFFFFF"/>
              </w:rPr>
              <w:t>DIRECTOR</w:t>
            </w:r>
          </w:p>
        </w:tc>
        <w:tc>
          <w:tcPr>
            <w:tcW w:w="1260" w:type="dxa"/>
            <w:vAlign w:val="bottom"/>
            <w:vMerge w:val="continue"/>
            <w:shd w:val="clear" w:color="auto" w:fill="351B3D"/>
          </w:tcPr>
          <w:p>
            <w:pPr>
              <w:spacing w:after="0"/>
              <w:rPr>
                <w:sz w:val="8"/>
                <w:szCs w:val="8"/>
                <w:color w:val="auto"/>
              </w:rPr>
            </w:pPr>
          </w:p>
        </w:tc>
        <w:tc>
          <w:tcPr>
            <w:tcW w:w="1100" w:type="dxa"/>
            <w:vAlign w:val="bottom"/>
            <w:vMerge w:val="continue"/>
            <w:shd w:val="clear" w:color="auto" w:fill="351B3D"/>
          </w:tcPr>
          <w:p>
            <w:pPr>
              <w:spacing w:after="0"/>
              <w:rPr>
                <w:sz w:val="8"/>
                <w:szCs w:val="8"/>
                <w:color w:val="auto"/>
              </w:rPr>
            </w:pPr>
          </w:p>
        </w:tc>
        <w:tc>
          <w:tcPr>
            <w:tcW w:w="1400" w:type="dxa"/>
            <w:vAlign w:val="bottom"/>
            <w:vMerge w:val="continue"/>
            <w:shd w:val="clear" w:color="auto" w:fill="351B3D"/>
          </w:tcPr>
          <w:p>
            <w:pPr>
              <w:spacing w:after="0"/>
              <w:rPr>
                <w:sz w:val="8"/>
                <w:szCs w:val="8"/>
                <w:color w:val="auto"/>
              </w:rPr>
            </w:pPr>
          </w:p>
        </w:tc>
        <w:tc>
          <w:tcPr>
            <w:tcW w:w="230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w w:val="98"/>
              </w:rPr>
              <w:t>AND CORPORATE</w:t>
            </w:r>
          </w:p>
        </w:tc>
        <w:tc>
          <w:tcPr>
            <w:tcW w:w="0" w:type="dxa"/>
            <w:vAlign w:val="bottom"/>
          </w:tcPr>
          <w:p>
            <w:pPr>
              <w:spacing w:after="0"/>
              <w:rPr>
                <w:sz w:val="1"/>
                <w:szCs w:val="1"/>
                <w:color w:val="auto"/>
              </w:rPr>
            </w:pPr>
          </w:p>
        </w:tc>
      </w:tr>
      <w:tr>
        <w:trPr>
          <w:trHeight w:val="94"/>
        </w:trPr>
        <w:tc>
          <w:tcPr>
            <w:tcW w:w="4860" w:type="dxa"/>
            <w:vAlign w:val="bottom"/>
            <w:vMerge w:val="continue"/>
            <w:shd w:val="clear" w:color="auto" w:fill="351B3D"/>
          </w:tcPr>
          <w:p>
            <w:pPr>
              <w:spacing w:after="0"/>
              <w:rPr>
                <w:sz w:val="8"/>
                <w:szCs w:val="8"/>
                <w:color w:val="auto"/>
              </w:rPr>
            </w:pPr>
          </w:p>
        </w:tc>
        <w:tc>
          <w:tcPr>
            <w:tcW w:w="1260" w:type="dxa"/>
            <w:vAlign w:val="bottom"/>
            <w:vMerge w:val="restart"/>
            <w:shd w:val="clear" w:color="auto" w:fill="351B3D"/>
          </w:tcPr>
          <w:p>
            <w:pPr>
              <w:ind w:left="240"/>
              <w:spacing w:after="0"/>
              <w:rPr>
                <w:sz w:val="20"/>
                <w:szCs w:val="20"/>
                <w:color w:val="auto"/>
              </w:rPr>
            </w:pPr>
            <w:r>
              <w:rPr>
                <w:rFonts w:ascii="Arial" w:cs="Arial" w:eastAsia="Arial" w:hAnsi="Arial"/>
                <w:sz w:val="16"/>
                <w:szCs w:val="16"/>
                <w:color w:val="FFFFFF"/>
              </w:rPr>
              <w:t>DIRECTOR</w:t>
            </w:r>
          </w:p>
        </w:tc>
        <w:tc>
          <w:tcPr>
            <w:tcW w:w="110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rPr>
              <w:t> COMMITTEE</w:t>
            </w:r>
          </w:p>
        </w:tc>
        <w:tc>
          <w:tcPr>
            <w:tcW w:w="1400" w:type="dxa"/>
            <w:vAlign w:val="bottom"/>
            <w:vMerge w:val="restart"/>
            <w:shd w:val="clear" w:color="auto" w:fill="351B3D"/>
          </w:tcPr>
          <w:p>
            <w:pPr>
              <w:ind w:left="240"/>
              <w:spacing w:after="0"/>
              <w:rPr>
                <w:sz w:val="20"/>
                <w:szCs w:val="20"/>
                <w:color w:val="auto"/>
              </w:rPr>
            </w:pPr>
            <w:r>
              <w:rPr>
                <w:rFonts w:ascii="Arial" w:cs="Arial" w:eastAsia="Arial" w:hAnsi="Arial"/>
                <w:sz w:val="16"/>
                <w:szCs w:val="16"/>
                <w:color w:val="FFFFFF"/>
              </w:rPr>
              <w:t>COMMITTEE</w:t>
            </w:r>
          </w:p>
        </w:tc>
        <w:tc>
          <w:tcPr>
            <w:tcW w:w="2300" w:type="dxa"/>
            <w:vAlign w:val="bottom"/>
            <w:vMerge w:val="continue"/>
            <w:shd w:val="clear" w:color="auto" w:fill="351B3D"/>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4860" w:type="dxa"/>
            <w:vAlign w:val="bottom"/>
            <w:shd w:val="clear" w:color="auto" w:fill="351B3D"/>
          </w:tcPr>
          <w:p>
            <w:pPr>
              <w:spacing w:after="0"/>
              <w:rPr>
                <w:sz w:val="10"/>
                <w:szCs w:val="10"/>
                <w:color w:val="auto"/>
              </w:rPr>
            </w:pPr>
          </w:p>
        </w:tc>
        <w:tc>
          <w:tcPr>
            <w:tcW w:w="1260" w:type="dxa"/>
            <w:vAlign w:val="bottom"/>
            <w:vMerge w:val="continue"/>
            <w:shd w:val="clear" w:color="auto" w:fill="351B3D"/>
          </w:tcPr>
          <w:p>
            <w:pPr>
              <w:spacing w:after="0"/>
              <w:rPr>
                <w:sz w:val="10"/>
                <w:szCs w:val="10"/>
                <w:color w:val="auto"/>
              </w:rPr>
            </w:pPr>
          </w:p>
        </w:tc>
        <w:tc>
          <w:tcPr>
            <w:tcW w:w="1100" w:type="dxa"/>
            <w:vAlign w:val="bottom"/>
            <w:vMerge w:val="continue"/>
            <w:shd w:val="clear" w:color="auto" w:fill="351B3D"/>
          </w:tcPr>
          <w:p>
            <w:pPr>
              <w:spacing w:after="0"/>
              <w:rPr>
                <w:sz w:val="10"/>
                <w:szCs w:val="10"/>
                <w:color w:val="auto"/>
              </w:rPr>
            </w:pPr>
          </w:p>
        </w:tc>
        <w:tc>
          <w:tcPr>
            <w:tcW w:w="1400" w:type="dxa"/>
            <w:vAlign w:val="bottom"/>
            <w:vMerge w:val="continue"/>
            <w:shd w:val="clear" w:color="auto" w:fill="351B3D"/>
          </w:tcPr>
          <w:p>
            <w:pPr>
              <w:spacing w:after="0"/>
              <w:rPr>
                <w:sz w:val="10"/>
                <w:szCs w:val="10"/>
                <w:color w:val="auto"/>
              </w:rPr>
            </w:pPr>
          </w:p>
        </w:tc>
        <w:tc>
          <w:tcPr>
            <w:tcW w:w="230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rPr>
              <w:t> GOVERNANCE COMMITTEE</w:t>
            </w:r>
          </w:p>
        </w:tc>
        <w:tc>
          <w:tcPr>
            <w:tcW w:w="0" w:type="dxa"/>
            <w:vAlign w:val="bottom"/>
          </w:tcPr>
          <w:p>
            <w:pPr>
              <w:spacing w:after="0"/>
              <w:rPr>
                <w:sz w:val="1"/>
                <w:szCs w:val="1"/>
                <w:color w:val="auto"/>
              </w:rPr>
            </w:pPr>
          </w:p>
        </w:tc>
      </w:tr>
      <w:tr>
        <w:trPr>
          <w:trHeight w:val="104"/>
        </w:trPr>
        <w:tc>
          <w:tcPr>
            <w:tcW w:w="4860" w:type="dxa"/>
            <w:vAlign w:val="bottom"/>
            <w:tcBorders>
              <w:bottom w:val="single" w:sz="8" w:color="351B3D"/>
            </w:tcBorders>
            <w:shd w:val="clear" w:color="auto" w:fill="351B3D"/>
          </w:tcPr>
          <w:p>
            <w:pPr>
              <w:spacing w:after="0"/>
              <w:rPr>
                <w:sz w:val="9"/>
                <w:szCs w:val="9"/>
                <w:color w:val="auto"/>
              </w:rPr>
            </w:pPr>
          </w:p>
        </w:tc>
        <w:tc>
          <w:tcPr>
            <w:tcW w:w="1260" w:type="dxa"/>
            <w:vAlign w:val="bottom"/>
            <w:tcBorders>
              <w:bottom w:val="single" w:sz="8" w:color="351B3D"/>
            </w:tcBorders>
            <w:shd w:val="clear" w:color="auto" w:fill="351B3D"/>
          </w:tcPr>
          <w:p>
            <w:pPr>
              <w:spacing w:after="0"/>
              <w:rPr>
                <w:sz w:val="9"/>
                <w:szCs w:val="9"/>
                <w:color w:val="auto"/>
              </w:rPr>
            </w:pPr>
          </w:p>
        </w:tc>
        <w:tc>
          <w:tcPr>
            <w:tcW w:w="1100" w:type="dxa"/>
            <w:vAlign w:val="bottom"/>
            <w:tcBorders>
              <w:bottom w:val="single" w:sz="8" w:color="351B3D"/>
            </w:tcBorders>
            <w:shd w:val="clear" w:color="auto" w:fill="351B3D"/>
          </w:tcPr>
          <w:p>
            <w:pPr>
              <w:spacing w:after="0"/>
              <w:rPr>
                <w:sz w:val="9"/>
                <w:szCs w:val="9"/>
                <w:color w:val="auto"/>
              </w:rPr>
            </w:pPr>
          </w:p>
        </w:tc>
        <w:tc>
          <w:tcPr>
            <w:tcW w:w="1400" w:type="dxa"/>
            <w:vAlign w:val="bottom"/>
            <w:tcBorders>
              <w:bottom w:val="single" w:sz="8" w:color="351B3D"/>
            </w:tcBorders>
            <w:shd w:val="clear" w:color="auto" w:fill="351B3D"/>
          </w:tcPr>
          <w:p>
            <w:pPr>
              <w:spacing w:after="0"/>
              <w:rPr>
                <w:sz w:val="9"/>
                <w:szCs w:val="9"/>
                <w:color w:val="auto"/>
              </w:rPr>
            </w:pPr>
          </w:p>
        </w:tc>
        <w:tc>
          <w:tcPr>
            <w:tcW w:w="2300" w:type="dxa"/>
            <w:vAlign w:val="bottom"/>
            <w:tcBorders>
              <w:bottom w:val="single" w:sz="8" w:color="351B3D"/>
            </w:tcBorders>
            <w:vMerge w:val="continue"/>
            <w:shd w:val="clear" w:color="auto" w:fill="351B3D"/>
          </w:tcPr>
          <w:p>
            <w:pPr>
              <w:spacing w:after="0"/>
              <w:rPr>
                <w:sz w:val="9"/>
                <w:szCs w:val="9"/>
                <w:color w:val="auto"/>
              </w:rPr>
            </w:pPr>
          </w:p>
        </w:tc>
        <w:tc>
          <w:tcPr>
            <w:tcW w:w="0" w:type="dxa"/>
            <w:vAlign w:val="bottom"/>
          </w:tcPr>
          <w:p>
            <w:pPr>
              <w:spacing w:after="0"/>
              <w:rPr>
                <w:sz w:val="1"/>
                <w:szCs w:val="1"/>
                <w:color w:val="auto"/>
              </w:rPr>
            </w:pPr>
          </w:p>
        </w:tc>
      </w:tr>
      <w:tr>
        <w:trPr>
          <w:trHeight w:val="314"/>
        </w:trPr>
        <w:tc>
          <w:tcPr>
            <w:tcW w:w="4860" w:type="dxa"/>
            <w:vAlign w:val="bottom"/>
            <w:tcBorders>
              <w:bottom w:val="single" w:sz="8" w:color="D6D1D8"/>
            </w:tcBorders>
            <w:shd w:val="clear" w:color="auto" w:fill="D6D1D8"/>
          </w:tcPr>
          <w:p>
            <w:pPr>
              <w:ind w:left="80"/>
              <w:spacing w:after="0"/>
              <w:rPr>
                <w:sz w:val="20"/>
                <w:szCs w:val="20"/>
                <w:color w:val="auto"/>
              </w:rPr>
            </w:pPr>
            <w:r>
              <w:rPr>
                <w:rFonts w:ascii="Arial" w:cs="Arial" w:eastAsia="Arial" w:hAnsi="Arial"/>
                <w:sz w:val="16"/>
                <w:szCs w:val="16"/>
                <w:color w:val="auto"/>
              </w:rPr>
              <w:t>Betsy S. Atkins</w:t>
            </w:r>
          </w:p>
        </w:tc>
        <w:tc>
          <w:tcPr>
            <w:tcW w:w="1260" w:type="dxa"/>
            <w:vAlign w:val="bottom"/>
            <w:tcBorders>
              <w:bottom w:val="single" w:sz="8" w:color="D6D1D8"/>
            </w:tcBorders>
            <w:shd w:val="clear" w:color="auto" w:fill="D6D1D8"/>
          </w:tcPr>
          <w:p>
            <w:pPr>
              <w:ind w:left="6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1100" w:type="dxa"/>
            <w:vAlign w:val="bottom"/>
            <w:tcBorders>
              <w:bottom w:val="single" w:sz="8" w:color="D6D1D8"/>
            </w:tcBorders>
            <w:shd w:val="clear" w:color="auto" w:fill="D6D1D8"/>
          </w:tcPr>
          <w:p>
            <w:pPr>
              <w:spacing w:after="0"/>
              <w:rPr>
                <w:sz w:val="24"/>
                <w:szCs w:val="24"/>
                <w:color w:val="auto"/>
              </w:rPr>
            </w:pPr>
          </w:p>
        </w:tc>
        <w:tc>
          <w:tcPr>
            <w:tcW w:w="1400" w:type="dxa"/>
            <w:vAlign w:val="bottom"/>
            <w:tcBorders>
              <w:bottom w:val="single" w:sz="8" w:color="D6D1D8"/>
            </w:tcBorders>
            <w:shd w:val="clear" w:color="auto" w:fill="D6D1D8"/>
          </w:tcPr>
          <w:p>
            <w:pPr>
              <w:ind w:left="720"/>
              <w:spacing w:after="0"/>
              <w:rPr>
                <w:sz w:val="20"/>
                <w:szCs w:val="20"/>
                <w:color w:val="auto"/>
              </w:rPr>
            </w:pPr>
            <w:r>
              <w:rPr>
                <w:rFonts w:ascii="Arial" w:cs="Arial" w:eastAsia="Arial" w:hAnsi="Arial"/>
                <w:sz w:val="16"/>
                <w:szCs w:val="16"/>
                <w:color w:val="auto"/>
              </w:rPr>
              <w:t>C </w:t>
            </w:r>
          </w:p>
        </w:tc>
        <w:tc>
          <w:tcPr>
            <w:tcW w:w="2300" w:type="dxa"/>
            <w:vAlign w:val="bottom"/>
            <w:tcBorders>
              <w:bottom w:val="single" w:sz="8" w:color="D6D1D8"/>
            </w:tcBorders>
            <w:shd w:val="clear" w:color="auto" w:fill="D6D1D8"/>
          </w:tcPr>
          <w:p>
            <w:pPr>
              <w:jc w:val="cente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8"/>
        </w:trPr>
        <w:tc>
          <w:tcPr>
            <w:tcW w:w="4860" w:type="dxa"/>
            <w:vAlign w:val="bottom"/>
          </w:tcPr>
          <w:p>
            <w:pPr>
              <w:ind w:left="80"/>
              <w:spacing w:after="0"/>
              <w:rPr>
                <w:sz w:val="20"/>
                <w:szCs w:val="20"/>
                <w:color w:val="auto"/>
              </w:rPr>
            </w:pPr>
            <w:r>
              <w:rPr>
                <w:rFonts w:ascii="Arial" w:cs="Arial" w:eastAsia="Arial" w:hAnsi="Arial"/>
                <w:sz w:val="16"/>
                <w:szCs w:val="16"/>
                <w:color w:val="auto"/>
              </w:rPr>
              <w:t>Richard J. Byrne</w:t>
            </w:r>
          </w:p>
        </w:tc>
        <w:tc>
          <w:tcPr>
            <w:tcW w:w="1260" w:type="dxa"/>
            <w:vAlign w:val="bottom"/>
          </w:tcPr>
          <w:p>
            <w:pPr>
              <w:ind w:left="6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1100" w:type="dxa"/>
            <w:vAlign w:val="bottom"/>
          </w:tcPr>
          <w:p>
            <w:pPr>
              <w:jc w:val="center"/>
              <w:spacing w:after="0"/>
              <w:rPr>
                <w:sz w:val="20"/>
                <w:szCs w:val="20"/>
                <w:color w:val="auto"/>
              </w:rPr>
            </w:pPr>
            <w:r>
              <w:rPr>
                <w:rFonts w:ascii="Arial" w:cs="Arial" w:eastAsia="Arial" w:hAnsi="Arial"/>
                <w:sz w:val="16"/>
                <w:szCs w:val="16"/>
                <w:color w:val="auto"/>
                <w:w w:val="78"/>
              </w:rPr>
              <w:t>F </w:t>
            </w:r>
          </w:p>
        </w:tc>
        <w:tc>
          <w:tcPr>
            <w:tcW w:w="1400" w:type="dxa"/>
            <w:vAlign w:val="bottom"/>
          </w:tcPr>
          <w:p>
            <w:pPr>
              <w:ind w:left="740"/>
              <w:spacing w:after="0"/>
              <w:rPr>
                <w:sz w:val="20"/>
                <w:szCs w:val="20"/>
                <w:color w:val="auto"/>
              </w:rPr>
            </w:pPr>
            <w:r>
              <w:rPr>
                <w:rFonts w:ascii="Arial" w:cs="Arial" w:eastAsia="Arial" w:hAnsi="Arial"/>
                <w:sz w:val="16"/>
                <w:szCs w:val="16"/>
                <w:color w:val="auto"/>
              </w:rPr>
              <w:t>•</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8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4860" w:type="dxa"/>
            <w:vAlign w:val="bottom"/>
            <w:tcBorders>
              <w:bottom w:val="single" w:sz="8" w:color="D6D1D8"/>
            </w:tcBorders>
            <w:shd w:val="clear" w:color="auto" w:fill="D6D1D8"/>
          </w:tcPr>
          <w:p>
            <w:pPr>
              <w:ind w:left="80"/>
              <w:spacing w:after="0"/>
              <w:rPr>
                <w:sz w:val="20"/>
                <w:szCs w:val="20"/>
                <w:color w:val="auto"/>
              </w:rPr>
            </w:pPr>
            <w:r>
              <w:rPr>
                <w:rFonts w:ascii="Arial" w:cs="Arial" w:eastAsia="Arial" w:hAnsi="Arial"/>
                <w:sz w:val="16"/>
                <w:szCs w:val="16"/>
                <w:color w:val="auto"/>
              </w:rPr>
              <w:t>Paul Liu</w:t>
            </w:r>
          </w:p>
        </w:tc>
        <w:tc>
          <w:tcPr>
            <w:tcW w:w="1260" w:type="dxa"/>
            <w:vAlign w:val="bottom"/>
            <w:tcBorders>
              <w:bottom w:val="single" w:sz="8" w:color="D6D1D8"/>
            </w:tcBorders>
            <w:shd w:val="clear" w:color="auto" w:fill="D6D1D8"/>
          </w:tcPr>
          <w:p>
            <w:pPr>
              <w:ind w:left="6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1100" w:type="dxa"/>
            <w:vAlign w:val="bottom"/>
            <w:tcBorders>
              <w:bottom w:val="single" w:sz="8" w:color="D6D1D8"/>
            </w:tcBorders>
            <w:shd w:val="clear" w:color="auto" w:fill="D6D1D8"/>
          </w:tcPr>
          <w:p>
            <w:pPr>
              <w:jc w:val="center"/>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D6D1D8"/>
            </w:tcBorders>
            <w:shd w:val="clear" w:color="auto" w:fill="D6D1D8"/>
          </w:tcPr>
          <w:p>
            <w:pPr>
              <w:spacing w:after="0"/>
              <w:rPr>
                <w:sz w:val="24"/>
                <w:szCs w:val="24"/>
                <w:color w:val="auto"/>
              </w:rPr>
            </w:pPr>
          </w:p>
        </w:tc>
        <w:tc>
          <w:tcPr>
            <w:tcW w:w="2300" w:type="dxa"/>
            <w:vAlign w:val="bottom"/>
            <w:tcBorders>
              <w:bottom w:val="single" w:sz="8" w:color="D6D1D8"/>
            </w:tcBorders>
            <w:shd w:val="clear" w:color="auto" w:fill="D6D1D8"/>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860" w:type="dxa"/>
            <w:vAlign w:val="bottom"/>
          </w:tcPr>
          <w:p>
            <w:pPr>
              <w:ind w:left="80"/>
              <w:spacing w:after="0"/>
              <w:rPr>
                <w:sz w:val="20"/>
                <w:szCs w:val="20"/>
                <w:color w:val="auto"/>
              </w:rPr>
            </w:pPr>
            <w:r>
              <w:rPr>
                <w:rFonts w:ascii="Arial" w:cs="Arial" w:eastAsia="Arial" w:hAnsi="Arial"/>
                <w:sz w:val="16"/>
                <w:szCs w:val="16"/>
                <w:color w:val="auto"/>
              </w:rPr>
              <w:t>Patricia Mulroy</w:t>
            </w:r>
          </w:p>
        </w:tc>
        <w:tc>
          <w:tcPr>
            <w:tcW w:w="1260" w:type="dxa"/>
            <w:vAlign w:val="bottom"/>
          </w:tcPr>
          <w:p>
            <w:pPr>
              <w:ind w:left="6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1100" w:type="dxa"/>
            <w:vAlign w:val="bottom"/>
          </w:tcPr>
          <w:p>
            <w:pPr>
              <w:jc w:val="center"/>
              <w:spacing w:after="0"/>
              <w:rPr>
                <w:sz w:val="20"/>
                <w:szCs w:val="20"/>
                <w:color w:val="auto"/>
              </w:rPr>
            </w:pPr>
            <w:r>
              <w:rPr>
                <w:rFonts w:ascii="Arial" w:cs="Arial" w:eastAsia="Arial" w:hAnsi="Arial"/>
                <w:sz w:val="16"/>
                <w:szCs w:val="16"/>
                <w:color w:val="auto"/>
              </w:rPr>
              <w:t>•</w:t>
            </w:r>
          </w:p>
        </w:tc>
        <w:tc>
          <w:tcPr>
            <w:tcW w:w="1400" w:type="dxa"/>
            <w:vAlign w:val="bottom"/>
          </w:tcPr>
          <w:p>
            <w:pPr>
              <w:spacing w:after="0"/>
              <w:rPr>
                <w:sz w:val="24"/>
                <w:szCs w:val="24"/>
                <w:color w:val="auto"/>
              </w:rPr>
            </w:pPr>
          </w:p>
        </w:tc>
        <w:tc>
          <w:tcPr>
            <w:tcW w:w="2300" w:type="dxa"/>
            <w:vAlign w:val="bottom"/>
          </w:tcPr>
          <w:p>
            <w:pPr>
              <w:ind w:left="1260"/>
              <w:spacing w:after="0"/>
              <w:rPr>
                <w:sz w:val="20"/>
                <w:szCs w:val="20"/>
                <w:color w:val="auto"/>
              </w:rPr>
            </w:pPr>
            <w:r>
              <w:rPr>
                <w:rFonts w:ascii="Arial" w:cs="Arial" w:eastAsia="Arial" w:hAnsi="Arial"/>
                <w:sz w:val="16"/>
                <w:szCs w:val="16"/>
                <w:color w:val="auto"/>
              </w:rPr>
              <w:t>C</w:t>
            </w:r>
          </w:p>
        </w:tc>
        <w:tc>
          <w:tcPr>
            <w:tcW w:w="0" w:type="dxa"/>
            <w:vAlign w:val="bottom"/>
          </w:tcPr>
          <w:p>
            <w:pPr>
              <w:spacing w:after="0"/>
              <w:rPr>
                <w:sz w:val="1"/>
                <w:szCs w:val="1"/>
                <w:color w:val="auto"/>
              </w:rPr>
            </w:pPr>
          </w:p>
        </w:tc>
      </w:tr>
      <w:tr>
        <w:trPr>
          <w:trHeight w:val="46"/>
        </w:trPr>
        <w:tc>
          <w:tcPr>
            <w:tcW w:w="48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4860" w:type="dxa"/>
            <w:vAlign w:val="bottom"/>
            <w:tcBorders>
              <w:bottom w:val="single" w:sz="8" w:color="D6D1D8"/>
            </w:tcBorders>
            <w:shd w:val="clear" w:color="auto" w:fill="D6D1D8"/>
          </w:tcPr>
          <w:p>
            <w:pPr>
              <w:ind w:left="80"/>
              <w:spacing w:after="0"/>
              <w:rPr>
                <w:sz w:val="20"/>
                <w:szCs w:val="20"/>
                <w:color w:val="auto"/>
              </w:rPr>
            </w:pPr>
            <w:r>
              <w:rPr>
                <w:rFonts w:ascii="Arial" w:cs="Arial" w:eastAsia="Arial" w:hAnsi="Arial"/>
                <w:sz w:val="16"/>
                <w:szCs w:val="16"/>
                <w:color w:val="auto"/>
              </w:rPr>
              <w:t>Margaret J. Myers</w:t>
            </w:r>
          </w:p>
        </w:tc>
        <w:tc>
          <w:tcPr>
            <w:tcW w:w="1260" w:type="dxa"/>
            <w:vAlign w:val="bottom"/>
            <w:tcBorders>
              <w:bottom w:val="single" w:sz="8" w:color="D6D1D8"/>
            </w:tcBorders>
            <w:shd w:val="clear" w:color="auto" w:fill="D6D1D8"/>
          </w:tcPr>
          <w:p>
            <w:pPr>
              <w:ind w:left="6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1100" w:type="dxa"/>
            <w:vAlign w:val="bottom"/>
            <w:tcBorders>
              <w:bottom w:val="single" w:sz="8" w:color="D6D1D8"/>
            </w:tcBorders>
            <w:shd w:val="clear" w:color="auto" w:fill="D6D1D8"/>
          </w:tcPr>
          <w:p>
            <w:pPr>
              <w:spacing w:after="0"/>
              <w:rPr>
                <w:sz w:val="24"/>
                <w:szCs w:val="24"/>
                <w:color w:val="auto"/>
              </w:rPr>
            </w:pPr>
          </w:p>
        </w:tc>
        <w:tc>
          <w:tcPr>
            <w:tcW w:w="1400" w:type="dxa"/>
            <w:vAlign w:val="bottom"/>
            <w:tcBorders>
              <w:bottom w:val="single" w:sz="8" w:color="D6D1D8"/>
            </w:tcBorders>
            <w:shd w:val="clear" w:color="auto" w:fill="D6D1D8"/>
          </w:tcPr>
          <w:p>
            <w:pPr>
              <w:ind w:left="740"/>
              <w:spacing w:after="0"/>
              <w:rPr>
                <w:sz w:val="20"/>
                <w:szCs w:val="20"/>
                <w:color w:val="auto"/>
              </w:rPr>
            </w:pPr>
            <w:r>
              <w:rPr>
                <w:rFonts w:ascii="Arial" w:cs="Arial" w:eastAsia="Arial" w:hAnsi="Arial"/>
                <w:sz w:val="16"/>
                <w:szCs w:val="16"/>
                <w:color w:val="auto"/>
              </w:rPr>
              <w:t>• </w:t>
            </w:r>
          </w:p>
        </w:tc>
        <w:tc>
          <w:tcPr>
            <w:tcW w:w="2300" w:type="dxa"/>
            <w:vAlign w:val="bottom"/>
            <w:tcBorders>
              <w:bottom w:val="single" w:sz="8" w:color="D6D1D8"/>
            </w:tcBorders>
            <w:shd w:val="clear" w:color="auto" w:fill="D6D1D8"/>
          </w:tcPr>
          <w:p>
            <w:pPr>
              <w:jc w:val="cente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8"/>
        </w:trPr>
        <w:tc>
          <w:tcPr>
            <w:tcW w:w="4860" w:type="dxa"/>
            <w:vAlign w:val="bottom"/>
          </w:tcPr>
          <w:p>
            <w:pPr>
              <w:ind w:left="80"/>
              <w:spacing w:after="0"/>
              <w:rPr>
                <w:sz w:val="20"/>
                <w:szCs w:val="20"/>
                <w:color w:val="auto"/>
              </w:rPr>
            </w:pPr>
            <w:r>
              <w:rPr>
                <w:rFonts w:ascii="Arial" w:cs="Arial" w:eastAsia="Arial" w:hAnsi="Arial"/>
                <w:sz w:val="16"/>
                <w:szCs w:val="16"/>
                <w:color w:val="auto"/>
              </w:rPr>
              <w:t>Philip G. Satre</w:t>
            </w:r>
          </w:p>
        </w:tc>
        <w:tc>
          <w:tcPr>
            <w:tcW w:w="1260" w:type="dxa"/>
            <w:vAlign w:val="bottom"/>
          </w:tcPr>
          <w:p>
            <w:pPr>
              <w:ind w:left="6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1100" w:type="dxa"/>
            <w:vAlign w:val="bottom"/>
          </w:tcPr>
          <w:p>
            <w:pPr>
              <w:jc w:val="center"/>
              <w:spacing w:after="0"/>
              <w:rPr>
                <w:sz w:val="20"/>
                <w:szCs w:val="20"/>
                <w:color w:val="auto"/>
              </w:rPr>
            </w:pPr>
            <w:r>
              <w:rPr>
                <w:rFonts w:ascii="Arial" w:cs="Arial" w:eastAsia="Arial" w:hAnsi="Arial"/>
                <w:sz w:val="16"/>
                <w:szCs w:val="16"/>
                <w:color w:val="auto"/>
              </w:rPr>
              <w:t>•</w:t>
            </w:r>
          </w:p>
        </w:tc>
        <w:tc>
          <w:tcPr>
            <w:tcW w:w="1400" w:type="dxa"/>
            <w:vAlign w:val="bottom"/>
          </w:tcPr>
          <w:p>
            <w:pPr>
              <w:spacing w:after="0"/>
              <w:rPr>
                <w:sz w:val="24"/>
                <w:szCs w:val="24"/>
                <w:color w:val="auto"/>
              </w:rPr>
            </w:pPr>
          </w:p>
        </w:tc>
        <w:tc>
          <w:tcPr>
            <w:tcW w:w="2300" w:type="dxa"/>
            <w:vAlign w:val="bottom"/>
          </w:tcPr>
          <w:p>
            <w:pPr>
              <w:jc w:val="cente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48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4860" w:type="dxa"/>
            <w:vAlign w:val="bottom"/>
            <w:tcBorders>
              <w:bottom w:val="single" w:sz="8" w:color="D6D1D8"/>
            </w:tcBorders>
            <w:shd w:val="clear" w:color="auto" w:fill="D6D1D8"/>
          </w:tcPr>
          <w:p>
            <w:pPr>
              <w:ind w:left="80"/>
              <w:spacing w:after="0"/>
              <w:rPr>
                <w:sz w:val="20"/>
                <w:szCs w:val="20"/>
                <w:color w:val="auto"/>
              </w:rPr>
            </w:pPr>
            <w:r>
              <w:rPr>
                <w:rFonts w:ascii="Arial" w:cs="Arial" w:eastAsia="Arial" w:hAnsi="Arial"/>
                <w:sz w:val="16"/>
                <w:szCs w:val="16"/>
                <w:color w:val="auto"/>
              </w:rPr>
              <w:t>Darnell O. Strom</w:t>
            </w:r>
          </w:p>
        </w:tc>
        <w:tc>
          <w:tcPr>
            <w:tcW w:w="1260" w:type="dxa"/>
            <w:vAlign w:val="bottom"/>
            <w:tcBorders>
              <w:bottom w:val="single" w:sz="8" w:color="D6D1D8"/>
            </w:tcBorders>
            <w:shd w:val="clear" w:color="auto" w:fill="D6D1D8"/>
          </w:tcPr>
          <w:p>
            <w:pPr>
              <w:ind w:left="6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1100" w:type="dxa"/>
            <w:vAlign w:val="bottom"/>
            <w:tcBorders>
              <w:bottom w:val="single" w:sz="8" w:color="D6D1D8"/>
            </w:tcBorders>
            <w:shd w:val="clear" w:color="auto" w:fill="D6D1D8"/>
          </w:tcPr>
          <w:p>
            <w:pPr>
              <w:spacing w:after="0"/>
              <w:rPr>
                <w:sz w:val="24"/>
                <w:szCs w:val="24"/>
                <w:color w:val="auto"/>
              </w:rPr>
            </w:pPr>
          </w:p>
        </w:tc>
        <w:tc>
          <w:tcPr>
            <w:tcW w:w="1400" w:type="dxa"/>
            <w:vAlign w:val="bottom"/>
            <w:tcBorders>
              <w:bottom w:val="single" w:sz="8" w:color="D6D1D8"/>
            </w:tcBorders>
            <w:shd w:val="clear" w:color="auto" w:fill="D6D1D8"/>
          </w:tcPr>
          <w:p>
            <w:pPr>
              <w:ind w:left="740"/>
              <w:spacing w:after="0"/>
              <w:rPr>
                <w:sz w:val="20"/>
                <w:szCs w:val="20"/>
                <w:color w:val="auto"/>
              </w:rPr>
            </w:pPr>
            <w:r>
              <w:rPr>
                <w:rFonts w:ascii="Arial" w:cs="Arial" w:eastAsia="Arial" w:hAnsi="Arial"/>
                <w:sz w:val="16"/>
                <w:szCs w:val="16"/>
                <w:color w:val="auto"/>
              </w:rPr>
              <w:t>• </w:t>
            </w:r>
          </w:p>
        </w:tc>
        <w:tc>
          <w:tcPr>
            <w:tcW w:w="2300" w:type="dxa"/>
            <w:vAlign w:val="bottom"/>
            <w:tcBorders>
              <w:bottom w:val="single" w:sz="8" w:color="D6D1D8"/>
            </w:tcBorders>
            <w:shd w:val="clear" w:color="auto" w:fill="D6D1D8"/>
          </w:tcPr>
          <w:p>
            <w:pPr>
              <w:jc w:val="cente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8"/>
        </w:trPr>
        <w:tc>
          <w:tcPr>
            <w:tcW w:w="4860" w:type="dxa"/>
            <w:vAlign w:val="bottom"/>
          </w:tcPr>
          <w:p>
            <w:pPr>
              <w:ind w:left="80"/>
              <w:spacing w:after="0"/>
              <w:rPr>
                <w:sz w:val="20"/>
                <w:szCs w:val="20"/>
                <w:color w:val="auto"/>
              </w:rPr>
            </w:pPr>
            <w:r>
              <w:rPr>
                <w:rFonts w:ascii="Arial" w:cs="Arial" w:eastAsia="Arial" w:hAnsi="Arial"/>
                <w:sz w:val="16"/>
                <w:szCs w:val="16"/>
                <w:color w:val="auto"/>
              </w:rPr>
              <w:t>Winifred M. Webb</w:t>
            </w:r>
          </w:p>
        </w:tc>
        <w:tc>
          <w:tcPr>
            <w:tcW w:w="1260" w:type="dxa"/>
            <w:vAlign w:val="bottom"/>
          </w:tcPr>
          <w:p>
            <w:pPr>
              <w:ind w:left="6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1100" w:type="dxa"/>
            <w:vAlign w:val="bottom"/>
          </w:tcPr>
          <w:p>
            <w:pPr>
              <w:jc w:val="center"/>
              <w:spacing w:after="0"/>
              <w:rPr>
                <w:sz w:val="20"/>
                <w:szCs w:val="20"/>
                <w:color w:val="auto"/>
              </w:rPr>
            </w:pPr>
            <w:r>
              <w:rPr>
                <w:rFonts w:ascii="Arial" w:cs="Arial" w:eastAsia="Arial" w:hAnsi="Arial"/>
                <w:sz w:val="16"/>
                <w:szCs w:val="16"/>
                <w:color w:val="auto"/>
              </w:rPr>
              <w:t>C,F</w:t>
            </w:r>
          </w:p>
        </w:tc>
        <w:tc>
          <w:tcPr>
            <w:tcW w:w="1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8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860" w:type="dxa"/>
            <w:vAlign w:val="bottom"/>
            <w:shd w:val="clear" w:color="auto" w:fill="D6D1D8"/>
          </w:tcPr>
          <w:p>
            <w:pPr>
              <w:ind w:left="80"/>
              <w:spacing w:after="0"/>
              <w:rPr>
                <w:sz w:val="20"/>
                <w:szCs w:val="20"/>
                <w:color w:val="auto"/>
              </w:rPr>
            </w:pPr>
            <w:r>
              <w:rPr>
                <w:rFonts w:ascii="Arial" w:cs="Arial" w:eastAsia="Arial" w:hAnsi="Arial"/>
                <w:sz w:val="16"/>
                <w:szCs w:val="16"/>
                <w:color w:val="auto"/>
              </w:rPr>
              <w:t>Committee Meetings in 2024</w:t>
            </w:r>
          </w:p>
        </w:tc>
        <w:tc>
          <w:tcPr>
            <w:tcW w:w="1260" w:type="dxa"/>
            <w:vAlign w:val="bottom"/>
            <w:shd w:val="clear" w:color="auto" w:fill="D6D1D8"/>
          </w:tcPr>
          <w:p>
            <w:pPr>
              <w:spacing w:after="0"/>
              <w:rPr>
                <w:sz w:val="22"/>
                <w:szCs w:val="22"/>
                <w:color w:val="auto"/>
              </w:rPr>
            </w:pPr>
          </w:p>
        </w:tc>
        <w:tc>
          <w:tcPr>
            <w:tcW w:w="1100" w:type="dxa"/>
            <w:vAlign w:val="bottom"/>
            <w:shd w:val="clear" w:color="auto" w:fill="D6D1D8"/>
          </w:tcPr>
          <w:p>
            <w:pPr>
              <w:jc w:val="center"/>
              <w:spacing w:after="0"/>
              <w:rPr>
                <w:sz w:val="20"/>
                <w:szCs w:val="20"/>
                <w:color w:val="auto"/>
              </w:rPr>
            </w:pPr>
            <w:r>
              <w:rPr>
                <w:rFonts w:ascii="Arial" w:cs="Arial" w:eastAsia="Arial" w:hAnsi="Arial"/>
                <w:sz w:val="16"/>
                <w:szCs w:val="16"/>
                <w:color w:val="auto"/>
                <w:w w:val="82"/>
              </w:rPr>
              <w:t>8 </w:t>
            </w:r>
          </w:p>
        </w:tc>
        <w:tc>
          <w:tcPr>
            <w:tcW w:w="1400" w:type="dxa"/>
            <w:vAlign w:val="bottom"/>
            <w:shd w:val="clear" w:color="auto" w:fill="D6D1D8"/>
          </w:tcPr>
          <w:p>
            <w:pPr>
              <w:ind w:left="720"/>
              <w:spacing w:after="0"/>
              <w:rPr>
                <w:sz w:val="20"/>
                <w:szCs w:val="20"/>
                <w:color w:val="auto"/>
              </w:rPr>
            </w:pPr>
            <w:r>
              <w:rPr>
                <w:rFonts w:ascii="Arial" w:cs="Arial" w:eastAsia="Arial" w:hAnsi="Arial"/>
                <w:sz w:val="16"/>
                <w:szCs w:val="16"/>
                <w:color w:val="auto"/>
              </w:rPr>
              <w:t>6 </w:t>
            </w:r>
          </w:p>
        </w:tc>
        <w:tc>
          <w:tcPr>
            <w:tcW w:w="2300" w:type="dxa"/>
            <w:vAlign w:val="bottom"/>
            <w:shd w:val="clear" w:color="auto" w:fill="D6D1D8"/>
          </w:tcPr>
          <w:p>
            <w:pPr>
              <w:jc w:val="center"/>
              <w:ind w:left="2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57"/>
        </w:trPr>
        <w:tc>
          <w:tcPr>
            <w:tcW w:w="4860" w:type="dxa"/>
            <w:vAlign w:val="bottom"/>
            <w:shd w:val="clear" w:color="auto" w:fill="D6D1D8"/>
          </w:tcPr>
          <w:p>
            <w:pPr>
              <w:spacing w:after="0"/>
              <w:rPr>
                <w:sz w:val="4"/>
                <w:szCs w:val="4"/>
                <w:color w:val="auto"/>
              </w:rPr>
            </w:pPr>
          </w:p>
        </w:tc>
        <w:tc>
          <w:tcPr>
            <w:tcW w:w="1260" w:type="dxa"/>
            <w:vAlign w:val="bottom"/>
            <w:shd w:val="clear" w:color="auto" w:fill="D6D1D8"/>
          </w:tcPr>
          <w:p>
            <w:pPr>
              <w:spacing w:after="0"/>
              <w:rPr>
                <w:sz w:val="4"/>
                <w:szCs w:val="4"/>
                <w:color w:val="auto"/>
              </w:rPr>
            </w:pPr>
          </w:p>
        </w:tc>
        <w:tc>
          <w:tcPr>
            <w:tcW w:w="1100" w:type="dxa"/>
            <w:vAlign w:val="bottom"/>
            <w:shd w:val="clear" w:color="auto" w:fill="D6D1D8"/>
          </w:tcPr>
          <w:p>
            <w:pPr>
              <w:spacing w:after="0"/>
              <w:rPr>
                <w:sz w:val="4"/>
                <w:szCs w:val="4"/>
                <w:color w:val="auto"/>
              </w:rPr>
            </w:pPr>
          </w:p>
        </w:tc>
        <w:tc>
          <w:tcPr>
            <w:tcW w:w="1400" w:type="dxa"/>
            <w:vAlign w:val="bottom"/>
            <w:shd w:val="clear" w:color="auto" w:fill="D6D1D8"/>
          </w:tcPr>
          <w:p>
            <w:pPr>
              <w:spacing w:after="0"/>
              <w:rPr>
                <w:sz w:val="4"/>
                <w:szCs w:val="4"/>
                <w:color w:val="auto"/>
              </w:rPr>
            </w:pPr>
          </w:p>
        </w:tc>
        <w:tc>
          <w:tcPr>
            <w:tcW w:w="2300" w:type="dxa"/>
            <w:vAlign w:val="bottom"/>
            <w:shd w:val="clear" w:color="auto" w:fill="D6D1D8"/>
          </w:tcPr>
          <w:p>
            <w:pPr>
              <w:spacing w:after="0"/>
              <w:rPr>
                <w:sz w:val="4"/>
                <w:szCs w:val="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C Chair; and F Audit Committee Financial Expert within the meaning of Item 407(d)(5) of Regulation S-K.</w:t>
      </w:r>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AUDIT COMMITTEE</w:t>
      </w:r>
    </w:p>
    <w:p>
      <w:pPr>
        <w:spacing w:after="0" w:line="19" w:lineRule="exact"/>
        <w:rPr>
          <w:sz w:val="20"/>
          <w:szCs w:val="20"/>
          <w:color w:val="auto"/>
        </w:rPr>
      </w:pPr>
    </w:p>
    <w:p>
      <w:pPr>
        <w:ind w:left="160" w:right="20"/>
        <w:spacing w:after="0" w:line="247" w:lineRule="auto"/>
        <w:rPr>
          <w:sz w:val="20"/>
          <w:szCs w:val="20"/>
          <w:color w:val="auto"/>
        </w:rPr>
      </w:pPr>
      <w:r>
        <w:rPr>
          <w:rFonts w:ascii="Arial" w:cs="Arial" w:eastAsia="Arial" w:hAnsi="Arial"/>
          <w:sz w:val="16"/>
          <w:szCs w:val="16"/>
          <w:color w:val="auto"/>
        </w:rPr>
        <w:t>The Audit Committee meets in executive session with the Company’s independent auditors, General Counsel, Chief Audit Executive, Chief Financial Officer, and with the Chief Global Compliance Officer to discuss accounting principles, financial and accounting controls, the scope of the annual audit, internal controls, regulatory compliance, and other matters. The independent auditors have complete access to the Audit Committee without management present to discuss the results of their audits and their opinions on the adequacy of internal controls, quality of financial reporting, and other accounting and auditing matters.</w:t>
      </w:r>
    </w:p>
    <w:p>
      <w:pPr>
        <w:spacing w:after="0" w:line="294"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KEY RESPONSIBILITIES</w:t>
      </w:r>
    </w:p>
    <w:p>
      <w:pPr>
        <w:spacing w:after="0" w:line="244" w:lineRule="exact"/>
        <w:rPr>
          <w:sz w:val="20"/>
          <w:szCs w:val="20"/>
          <w:color w:val="auto"/>
        </w:rPr>
      </w:pPr>
    </w:p>
    <w:p>
      <w:pPr>
        <w:ind w:left="380" w:hanging="213"/>
        <w:spacing w:after="0"/>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Appointing, retaining, overseeing, and approving the compensation of the independent auditors</w:t>
      </w:r>
    </w:p>
    <w:p>
      <w:pPr>
        <w:spacing w:after="0" w:line="243" w:lineRule="exact"/>
        <w:rPr>
          <w:rFonts w:ascii="Arial" w:cs="Arial" w:eastAsia="Arial" w:hAnsi="Arial"/>
          <w:sz w:val="16"/>
          <w:szCs w:val="16"/>
          <w:color w:val="auto"/>
        </w:rPr>
      </w:pPr>
    </w:p>
    <w:p>
      <w:pPr>
        <w:ind w:left="380" w:right="220" w:hanging="213"/>
        <w:spacing w:after="0" w:line="279" w:lineRule="auto"/>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Reviewing and discussing with the independent auditors and management the Company’s earnings releases and quarterly and annual reports to be filed with the Securities and Exchange Commission (“SEC”)</w:t>
      </w:r>
    </w:p>
    <w:p>
      <w:pPr>
        <w:spacing w:after="0" w:line="187" w:lineRule="exact"/>
        <w:rPr>
          <w:rFonts w:ascii="Arial" w:cs="Arial" w:eastAsia="Arial" w:hAnsi="Arial"/>
          <w:sz w:val="16"/>
          <w:szCs w:val="16"/>
          <w:color w:val="auto"/>
        </w:rPr>
      </w:pPr>
    </w:p>
    <w:p>
      <w:pPr>
        <w:ind w:left="380" w:hanging="213"/>
        <w:spacing w:after="0"/>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Reviewing the adequacy, effectiveness, scope, and results of the Company’s internal auditing procedures and practices</w:t>
      </w:r>
    </w:p>
    <w:p>
      <w:pPr>
        <w:spacing w:after="0" w:line="243" w:lineRule="exact"/>
        <w:rPr>
          <w:rFonts w:ascii="Arial" w:cs="Arial" w:eastAsia="Arial" w:hAnsi="Arial"/>
          <w:sz w:val="16"/>
          <w:szCs w:val="16"/>
          <w:color w:val="auto"/>
        </w:rPr>
      </w:pPr>
    </w:p>
    <w:p>
      <w:pPr>
        <w:ind w:left="380" w:right="260" w:hanging="213"/>
        <w:spacing w:after="0" w:line="279" w:lineRule="auto"/>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Overseeing the Company’s legal and regulatory compliance programs (in conjunction with the independent Compliance Committee) and its policies and procedures for monitoring compliance as they relate to the Company’s financial statements</w:t>
      </w:r>
    </w:p>
    <w:p>
      <w:pPr>
        <w:spacing w:after="0" w:line="187" w:lineRule="exact"/>
        <w:rPr>
          <w:rFonts w:ascii="Arial" w:cs="Arial" w:eastAsia="Arial" w:hAnsi="Arial"/>
          <w:sz w:val="16"/>
          <w:szCs w:val="16"/>
          <w:color w:val="auto"/>
        </w:rPr>
      </w:pPr>
    </w:p>
    <w:p>
      <w:pPr>
        <w:ind w:left="380" w:right="320" w:hanging="213"/>
        <w:spacing w:after="0" w:line="279" w:lineRule="auto"/>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Meeting periodically with management to review the Company’s major risk exposures and the steps management has taken to monitor and control such exposures</w:t>
      </w:r>
    </w:p>
    <w:p>
      <w:pPr>
        <w:spacing w:after="0" w:line="187" w:lineRule="exact"/>
        <w:rPr>
          <w:rFonts w:ascii="Arial" w:cs="Arial" w:eastAsia="Arial" w:hAnsi="Arial"/>
          <w:sz w:val="16"/>
          <w:szCs w:val="16"/>
          <w:color w:val="auto"/>
        </w:rPr>
      </w:pPr>
    </w:p>
    <w:p>
      <w:pPr>
        <w:ind w:left="380" w:hanging="213"/>
        <w:spacing w:after="0"/>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Reviewing and approving the Company’s decision to enter into certain swaps and other derivative transactions</w:t>
      </w:r>
    </w:p>
    <w:p>
      <w:pPr>
        <w:sectPr>
          <w:pgSz w:w="11900" w:h="16838" w:orient="portrait"/>
          <w:cols w:equalWidth="0" w:num="1">
            <w:col w:w="11080"/>
          </w:cols>
          <w:pgMar w:left="320" w:top="478" w:right="499" w:bottom="1440" w:gutter="0" w:footer="0" w:header="0"/>
        </w:sectPr>
      </w:pPr>
    </w:p>
    <w:p>
      <w:pPr>
        <w:spacing w:after="0" w:line="147" w:lineRule="exact"/>
        <w:rPr>
          <w:sz w:val="20"/>
          <w:szCs w:val="20"/>
          <w:color w:val="auto"/>
        </w:rPr>
      </w:pPr>
    </w:p>
    <w:p>
      <w:pPr>
        <w:ind w:left="160"/>
        <w:spacing w:after="0"/>
        <w:rPr>
          <w:sz w:val="20"/>
          <w:szCs w:val="20"/>
          <w:color w:val="auto"/>
        </w:rPr>
      </w:pPr>
      <w:r>
        <w:rPr>
          <w:rFonts w:ascii="Arial" w:cs="Arial" w:eastAsia="Arial" w:hAnsi="Arial"/>
          <w:sz w:val="12"/>
          <w:szCs w:val="12"/>
          <w:color w:val="351B3D"/>
        </w:rPr>
        <w:t>16</w:t>
      </w:r>
    </w:p>
    <w:p>
      <w:pPr>
        <w:sectPr>
          <w:pgSz w:w="11900" w:h="16838" w:orient="portrait"/>
          <w:cols w:equalWidth="0" w:num="1">
            <w:col w:w="11080"/>
          </w:cols>
          <w:pgMar w:left="320" w:top="478" w:right="4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COMPENSATION COMMITTEE</w:t>
      </w:r>
    </w:p>
    <w:p>
      <w:pPr>
        <w:spacing w:after="0" w:line="19" w:lineRule="exact"/>
        <w:rPr>
          <w:sz w:val="20"/>
          <w:szCs w:val="20"/>
          <w:color w:val="auto"/>
        </w:rPr>
      </w:pPr>
    </w:p>
    <w:p>
      <w:pPr>
        <w:ind w:left="160" w:right="120"/>
        <w:spacing w:after="0" w:line="251" w:lineRule="auto"/>
        <w:rPr>
          <w:sz w:val="20"/>
          <w:szCs w:val="20"/>
          <w:color w:val="auto"/>
        </w:rPr>
      </w:pPr>
      <w:r>
        <w:rPr>
          <w:rFonts w:ascii="Arial" w:cs="Arial" w:eastAsia="Arial" w:hAnsi="Arial"/>
          <w:sz w:val="16"/>
          <w:szCs w:val="16"/>
          <w:color w:val="auto"/>
        </w:rPr>
        <w:t>The Compensation Committee sets all elements of compensation for our named executive officers (“NEOs”) based upon consideration of our NEO’s contributions to the development and operating performance of the Company, and is primarily responsible for monitoring risks relating to the Company’s compensation policies and practices to determine whether they create risks that are reasonably likely to have a material adverse effect on the Company.</w:t>
      </w:r>
    </w:p>
    <w:p>
      <w:pPr>
        <w:spacing w:after="0" w:line="182" w:lineRule="exact"/>
        <w:rPr>
          <w:sz w:val="20"/>
          <w:szCs w:val="20"/>
          <w:color w:val="auto"/>
        </w:rPr>
      </w:pPr>
    </w:p>
    <w:p>
      <w:pPr>
        <w:jc w:val="both"/>
        <w:ind w:left="160" w:right="220"/>
        <w:spacing w:after="0" w:line="262" w:lineRule="auto"/>
        <w:rPr>
          <w:sz w:val="20"/>
          <w:szCs w:val="20"/>
          <w:color w:val="auto"/>
        </w:rPr>
      </w:pPr>
      <w:r>
        <w:rPr>
          <w:rFonts w:ascii="Arial" w:cs="Arial" w:eastAsia="Arial" w:hAnsi="Arial"/>
          <w:sz w:val="16"/>
          <w:szCs w:val="16"/>
          <w:color w:val="auto"/>
        </w:rPr>
        <w:t>The Compensation Committee considers the recommendations of the CEO in establishing compensation for all NEOs, other than the CEO. In addition, the Compensation Committee oversees the CEO’s annual evaluation of our senior management and considers such evaluations when determining the compensation for members of our senior management.</w:t>
      </w:r>
    </w:p>
    <w:p>
      <w:pPr>
        <w:spacing w:after="0" w:line="173" w:lineRule="exact"/>
        <w:rPr>
          <w:sz w:val="20"/>
          <w:szCs w:val="20"/>
          <w:color w:val="auto"/>
        </w:rPr>
      </w:pPr>
    </w:p>
    <w:p>
      <w:pPr>
        <w:ind w:left="160"/>
        <w:spacing w:after="0" w:line="249" w:lineRule="auto"/>
        <w:rPr>
          <w:sz w:val="20"/>
          <w:szCs w:val="20"/>
          <w:color w:val="auto"/>
        </w:rPr>
      </w:pPr>
      <w:r>
        <w:rPr>
          <w:rFonts w:ascii="Arial" w:cs="Arial" w:eastAsia="Arial" w:hAnsi="Arial"/>
          <w:sz w:val="16"/>
          <w:szCs w:val="16"/>
          <w:color w:val="auto"/>
        </w:rPr>
        <w:t>The Compensation Committee has the sole authority to retain advisors exclusively to assist it in the evaluation of executive officer and employee compensation and benefit programs. In 2024, the Compensation Committee retained Radford, a unit of Aon plc’s Human Capital Solutions (“Radford”), a nationally recognized independent compensation consulting firm, to assist in performing its duties. Radford does not provide services to the Company other than the advice on director and executive compensation that it provides the Compensation Committee when requested. In 2024, Radford provided the Compensation Committee with a peer group review and competitive compensation analysis, in connection with the Compensation Committee’s review of compensation levels of our NEOs. Each of the members of the Compensation Committee brings a wealth of experience from their public and private board experience and their respective executive roles, which helps the Compensation Committee oversee the design and practice of linking executive compensation to company performance.</w:t>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KEY RESPONSIBILITIES</w:t>
      </w:r>
    </w:p>
    <w:p>
      <w:pPr>
        <w:spacing w:after="0" w:line="244" w:lineRule="exact"/>
        <w:rPr>
          <w:sz w:val="20"/>
          <w:szCs w:val="20"/>
          <w:color w:val="auto"/>
        </w:rPr>
      </w:pPr>
    </w:p>
    <w:p>
      <w:pPr>
        <w:ind w:left="380" w:right="460" w:hanging="213"/>
        <w:spacing w:after="0" w:line="279" w:lineRule="auto"/>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Reviewing the goals and objectives of the Company’s executive compensation plans, and amending, or recommending that the Board amend an existing plan or adopt a new plan, as appropriate</w:t>
      </w:r>
    </w:p>
    <w:p>
      <w:pPr>
        <w:spacing w:after="0" w:line="187" w:lineRule="exact"/>
        <w:rPr>
          <w:rFonts w:ascii="Arial" w:cs="Arial" w:eastAsia="Arial" w:hAnsi="Arial"/>
          <w:sz w:val="16"/>
          <w:szCs w:val="16"/>
          <w:color w:val="auto"/>
        </w:rPr>
      </w:pPr>
    </w:p>
    <w:p>
      <w:pPr>
        <w:ind w:left="380" w:hanging="213"/>
        <w:spacing w:after="0"/>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Assessing the Company’s most recent advisory vote on executive compensation</w:t>
      </w:r>
    </w:p>
    <w:p>
      <w:pPr>
        <w:spacing w:after="0" w:line="243" w:lineRule="exact"/>
        <w:rPr>
          <w:rFonts w:ascii="Arial" w:cs="Arial" w:eastAsia="Arial" w:hAnsi="Arial"/>
          <w:sz w:val="16"/>
          <w:szCs w:val="16"/>
          <w:color w:val="auto"/>
        </w:rPr>
      </w:pPr>
    </w:p>
    <w:p>
      <w:pPr>
        <w:ind w:left="380" w:right="220" w:hanging="213"/>
        <w:spacing w:after="0" w:line="279" w:lineRule="auto"/>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Appointing advisors to be retained by the Compensation Committee, assessing any potential conflicts of interest with such advisors, and overseeing and approving the compensation of any advisors the Compensation Committee retains</w:t>
      </w:r>
    </w:p>
    <w:p>
      <w:pPr>
        <w:spacing w:after="0" w:line="187" w:lineRule="exact"/>
        <w:rPr>
          <w:rFonts w:ascii="Arial" w:cs="Arial" w:eastAsia="Arial" w:hAnsi="Arial"/>
          <w:sz w:val="16"/>
          <w:szCs w:val="16"/>
          <w:color w:val="auto"/>
        </w:rPr>
      </w:pPr>
    </w:p>
    <w:p>
      <w:pPr>
        <w:ind w:left="380" w:right="580" w:hanging="213"/>
        <w:spacing w:after="0" w:line="279" w:lineRule="auto"/>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Annually evaluating the performance of the CEO, overseeing the evaluation of performance of senior management and the other officers of the Company, and setting compensation for the CEO, other NEOs, and other members of senior management</w:t>
      </w:r>
    </w:p>
    <w:p>
      <w:pPr>
        <w:spacing w:after="0" w:line="187" w:lineRule="exact"/>
        <w:rPr>
          <w:rFonts w:ascii="Arial" w:cs="Arial" w:eastAsia="Arial" w:hAnsi="Arial"/>
          <w:sz w:val="16"/>
          <w:szCs w:val="16"/>
          <w:color w:val="auto"/>
        </w:rPr>
      </w:pPr>
    </w:p>
    <w:p>
      <w:pPr>
        <w:ind w:left="380" w:hanging="213"/>
        <w:spacing w:after="0"/>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Reviewing and approving equity awards and supervising administrative functions pursuant to the Company’s equity plans</w:t>
      </w:r>
    </w:p>
    <w:p>
      <w:pPr>
        <w:spacing w:after="0" w:line="243" w:lineRule="exact"/>
        <w:rPr>
          <w:rFonts w:ascii="Arial" w:cs="Arial" w:eastAsia="Arial" w:hAnsi="Arial"/>
          <w:sz w:val="16"/>
          <w:szCs w:val="16"/>
          <w:color w:val="auto"/>
        </w:rPr>
      </w:pPr>
    </w:p>
    <w:p>
      <w:pPr>
        <w:ind w:left="380" w:right="60" w:hanging="213"/>
        <w:spacing w:after="0" w:line="279" w:lineRule="auto"/>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Reviewing and approving compensation arrangements for officers and other key employees in accordance with policies adopted by the Compensation Committee from time to time</w:t>
      </w:r>
    </w:p>
    <w:p>
      <w:pPr>
        <w:spacing w:after="0" w:line="187" w:lineRule="exact"/>
        <w:rPr>
          <w:rFonts w:ascii="Arial" w:cs="Arial" w:eastAsia="Arial" w:hAnsi="Arial"/>
          <w:sz w:val="16"/>
          <w:szCs w:val="16"/>
          <w:color w:val="auto"/>
        </w:rPr>
      </w:pPr>
    </w:p>
    <w:p>
      <w:pPr>
        <w:ind w:left="380" w:hanging="213"/>
        <w:spacing w:after="0"/>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Reviewing and recommending to the full Board the type and amount of compensation for Board and committee service by non-management directors</w:t>
      </w:r>
    </w:p>
    <w:p>
      <w:pPr>
        <w:spacing w:after="0" w:line="243" w:lineRule="exact"/>
        <w:rPr>
          <w:rFonts w:ascii="Arial" w:cs="Arial" w:eastAsia="Arial" w:hAnsi="Arial"/>
          <w:sz w:val="16"/>
          <w:szCs w:val="16"/>
          <w:color w:val="auto"/>
        </w:rPr>
      </w:pPr>
    </w:p>
    <w:p>
      <w:pPr>
        <w:ind w:left="380" w:hanging="213"/>
        <w:spacing w:after="0"/>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Reviewing and discussing with management the Compensation Discussion and Analysis and related disclosures in the Company’s Proxy Statement</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080"/>
          </w:cols>
          <w:pgMar w:left="320" w:top="478"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COMPENSATION COMMITTEE INTERLOCKS AND INSIDER PARTICIPATION</w:t>
      </w:r>
    </w:p>
    <w:p>
      <w:pPr>
        <w:spacing w:after="0" w:line="19" w:lineRule="exact"/>
        <w:rPr>
          <w:sz w:val="20"/>
          <w:szCs w:val="20"/>
          <w:color w:val="auto"/>
        </w:rPr>
      </w:pPr>
    </w:p>
    <w:p>
      <w:pPr>
        <w:ind w:left="160" w:right="400"/>
        <w:spacing w:after="0" w:line="249" w:lineRule="auto"/>
        <w:rPr>
          <w:sz w:val="20"/>
          <w:szCs w:val="20"/>
          <w:color w:val="auto"/>
        </w:rPr>
      </w:pPr>
      <w:r>
        <w:rPr>
          <w:rFonts w:ascii="Arial" w:cs="Arial" w:eastAsia="Arial" w:hAnsi="Arial"/>
          <w:sz w:val="16"/>
          <w:szCs w:val="16"/>
          <w:color w:val="auto"/>
        </w:rPr>
        <w:t>The members of the Compensation Committee are appointed by the Board each year. The members of the Compensation Committee who served in 2024 were Ms. Atkins, Mr. Byrne, Ms. Myers, and Mr. Strom. No member of the Compensation Committee is, or was, an officer or employee of the Company. No interlocking relationship exists between the Board or Compensation Committee and the board of directors or compensation committee of any other company, nor has any interlocking relationship existed in the past.</w:t>
      </w:r>
    </w:p>
    <w:p>
      <w:pPr>
        <w:spacing w:after="0" w:line="290"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NOMINATING AND CORPORATE GOVERNANCE COMMITTEE</w:t>
      </w:r>
    </w:p>
    <w:p>
      <w:pPr>
        <w:spacing w:after="0" w:line="19" w:lineRule="exact"/>
        <w:rPr>
          <w:sz w:val="20"/>
          <w:szCs w:val="20"/>
          <w:color w:val="auto"/>
        </w:rPr>
      </w:pPr>
    </w:p>
    <w:p>
      <w:pPr>
        <w:ind w:left="160" w:right="40"/>
        <w:spacing w:after="0" w:line="247" w:lineRule="auto"/>
        <w:rPr>
          <w:sz w:val="20"/>
          <w:szCs w:val="20"/>
          <w:color w:val="auto"/>
        </w:rPr>
      </w:pPr>
      <w:r>
        <w:rPr>
          <w:rFonts w:ascii="Arial" w:cs="Arial" w:eastAsia="Arial" w:hAnsi="Arial"/>
          <w:sz w:val="16"/>
          <w:szCs w:val="16"/>
          <w:color w:val="auto"/>
        </w:rPr>
        <w:t>The Nominating and Corporate Governance Committee regularly assesses the Board’s composition, committee structure and allocation of responsibilities to build a governance structure and processes that enable the Company to grow and thrive. The Committee conducts a thorough review of the current structure and future needs of the Board to ensure that the Board has the appropriate composition of backgrounds and experiences to best serve the Company and its strategic goals, as they evolve and change over time. It is also responsible for identifying and recruiting a highly qualified group of people with the right mix of skills to serve on the Board and evaluating potential nominees in light of the Board’s current size and composition.</w:t>
      </w:r>
    </w:p>
    <w:p>
      <w:pPr>
        <w:spacing w:after="0" w:line="187" w:lineRule="exact"/>
        <w:rPr>
          <w:sz w:val="20"/>
          <w:szCs w:val="20"/>
          <w:color w:val="auto"/>
        </w:rPr>
      </w:pPr>
    </w:p>
    <w:p>
      <w:pPr>
        <w:ind w:left="160" w:right="20"/>
        <w:spacing w:after="0" w:line="246" w:lineRule="auto"/>
        <w:rPr>
          <w:sz w:val="20"/>
          <w:szCs w:val="20"/>
          <w:color w:val="auto"/>
        </w:rPr>
      </w:pPr>
      <w:r>
        <w:rPr>
          <w:rFonts w:ascii="Arial" w:cs="Arial" w:eastAsia="Arial" w:hAnsi="Arial"/>
          <w:sz w:val="16"/>
          <w:szCs w:val="16"/>
          <w:color w:val="auto"/>
        </w:rPr>
        <w:t>The Nominating and Corporate Governance Committee believes that the minimum qualifications for serving as a director of the Company are that a nominee demonstrate, by significant accomplishment in his or her field, an ability to make a meaningful contribution to the Board’s oversight of the business and affairs of the Company and have a reputation for honesty and ethical conduct in both personal and professional activities. The Nominating and Corporate Governance Committee seeks to align the skills and qualifications of the members of the Board with the Company’s overall long-term strategic goals. The Nominating and Corporate Governance Committee may, from time to time, develop and recommend additional criteria for identifying and evaluating director candidates, including those recommended for consideration by Company shareholders. In addition, the Nominating and Corporate Governance Committee examines a candidate’s other commitments, potential conflicts of interest, and independence from management and the Company. The Nominating and Corporate Governance Committee and Board believe that differences of viewpoint, professional experience, individual characteristics, personal background, qualities, skills, qualifications, gender, ethnicity, and race help generate varying perspectives and that those varying perspectives are important to the effectiveness of the Board’s oversight of the Company. The Nominating and Corporate Governance Committee proactively considers this diversity when it annually reviews with the Board the Board’s composition as a whole, and recommends, if appropriate, measures to be taken to reflect the appropriate balance of knowledge, depth, diversity of backgrounds and experience, and the skills and expertise required for the Board as a whole. The Nominating and Corporate Governance Committee assesses the effectiveness of this policy by periodically reviewing the Board membership criteria with the Board. This assessment enables the Board to update the skills and experience it seeks in the Board as a whole and in individual directors, as the Company’s needs evolve and change over time.</w:t>
      </w:r>
    </w:p>
    <w:p>
      <w:pPr>
        <w:spacing w:after="0" w:line="194" w:lineRule="exact"/>
        <w:rPr>
          <w:sz w:val="20"/>
          <w:szCs w:val="20"/>
          <w:color w:val="auto"/>
        </w:rPr>
      </w:pPr>
    </w:p>
    <w:p>
      <w:pPr>
        <w:ind w:left="160"/>
        <w:spacing w:after="0" w:line="249" w:lineRule="auto"/>
        <w:rPr>
          <w:sz w:val="20"/>
          <w:szCs w:val="20"/>
          <w:color w:val="auto"/>
        </w:rPr>
      </w:pPr>
      <w:r>
        <w:rPr>
          <w:rFonts w:ascii="Arial" w:cs="Arial" w:eastAsia="Arial" w:hAnsi="Arial"/>
          <w:sz w:val="16"/>
          <w:szCs w:val="16"/>
          <w:color w:val="auto"/>
        </w:rPr>
        <w:t>The Nominating and Corporate Governance Committee also annually assesses each director’s time commitment and whether service on other boards will unreasonably detract from the nominee’s ability to fulfill his or her responsibilities and duties to the Company. The evaluation includes an assessment of their primary occupation and other public company and private boards they serve on. Only directors who are assessed to have sufficient availability are considered for nomination or renomination each year. The Company also has a policy, included in its Corporate Governance Guidelines, that limit Board members from serving on more than four other boards of public companies in addition to the Board of the Company. The Corporate Governance Guidelines also requires that each director advise the Company when their principal occupation or business association changes substantially during the director’s tenure on the Board. The Nominating and Corporate Governance Committee recommends to the Board and the Chair the action, if any, to be taken in such situation regarding that director’s continued service on the Board.</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2"/>
          <w:szCs w:val="12"/>
          <w:color w:val="351B3D"/>
        </w:rPr>
        <w:t>18</w:t>
      </w:r>
    </w:p>
    <w:p>
      <w:pPr>
        <w:sectPr>
          <w:pgSz w:w="11900" w:h="16838" w:orient="portrait"/>
          <w:cols w:equalWidth="0" w:num="1">
            <w:col w:w="11080"/>
          </w:cols>
          <w:pgMar w:left="320" w:top="478"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0" w:right="200"/>
        <w:spacing w:after="0" w:line="256" w:lineRule="auto"/>
        <w:rPr>
          <w:sz w:val="20"/>
          <w:szCs w:val="20"/>
          <w:color w:val="auto"/>
        </w:rPr>
      </w:pPr>
      <w:r>
        <w:rPr>
          <w:rFonts w:ascii="Arial" w:cs="Arial" w:eastAsia="Arial" w:hAnsi="Arial"/>
          <w:sz w:val="16"/>
          <w:szCs w:val="16"/>
          <w:color w:val="auto"/>
        </w:rPr>
        <w:t>The Nominating and Corporate Governance Committee is responsible for conducting the annual Board self-evaluation process. The Board conducts a three-part evaluation process coordinated by the General Counsel. Each Board director participates in an evaluation of the full Board, each of the committees on which he or she serves, and individual Board director performance. A summary report of the results is prepared by the General Counsel and presented to the full Board and to each committee. The Board uses the results in preparing action items as necessary.</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KEY RESPONSIBILITIES</w:t>
      </w:r>
    </w:p>
    <w:p>
      <w:pPr>
        <w:spacing w:after="0" w:line="244" w:lineRule="exact"/>
        <w:rPr>
          <w:sz w:val="20"/>
          <w:szCs w:val="20"/>
          <w:color w:val="auto"/>
        </w:rPr>
      </w:pPr>
    </w:p>
    <w:p>
      <w:pPr>
        <w:ind w:left="380" w:right="940" w:hanging="213"/>
        <w:spacing w:after="0" w:line="279" w:lineRule="auto"/>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Identifying, evaluating and recommending qualified director candidates, including candidates recommended by shareholders, directors, or management</w:t>
      </w:r>
    </w:p>
    <w:p>
      <w:pPr>
        <w:spacing w:after="0" w:line="187" w:lineRule="exact"/>
        <w:rPr>
          <w:rFonts w:ascii="Arial" w:cs="Arial" w:eastAsia="Arial" w:hAnsi="Arial"/>
          <w:sz w:val="16"/>
          <w:szCs w:val="16"/>
          <w:color w:val="auto"/>
        </w:rPr>
      </w:pPr>
    </w:p>
    <w:p>
      <w:pPr>
        <w:ind w:left="380" w:right="220" w:hanging="213"/>
        <w:spacing w:after="0" w:line="262" w:lineRule="auto"/>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Assessing the qualifications, attributes, skills, experience, diversity and independence of Board members, taking into account appropriate considerations such as the Company’s current and planned business, current and potential composition considerations, any planned refreshment of directors, and the qualifications required of directors under the gaming laws of jurisdictions where the Company operates</w:t>
      </w:r>
    </w:p>
    <w:p>
      <w:pPr>
        <w:spacing w:after="0" w:line="199" w:lineRule="exact"/>
        <w:rPr>
          <w:rFonts w:ascii="Arial" w:cs="Arial" w:eastAsia="Arial" w:hAnsi="Arial"/>
          <w:sz w:val="16"/>
          <w:szCs w:val="16"/>
          <w:color w:val="auto"/>
        </w:rPr>
      </w:pPr>
    </w:p>
    <w:p>
      <w:pPr>
        <w:ind w:left="380" w:right="400" w:hanging="213"/>
        <w:spacing w:after="0" w:line="279" w:lineRule="auto"/>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Reviewing the composition of the Board and its committees and recommending, as appropriate, measures to be taken for Board refreshment and Board succession planning</w:t>
      </w:r>
    </w:p>
    <w:p>
      <w:pPr>
        <w:spacing w:after="0" w:line="187" w:lineRule="exact"/>
        <w:rPr>
          <w:rFonts w:ascii="Arial" w:cs="Arial" w:eastAsia="Arial" w:hAnsi="Arial"/>
          <w:sz w:val="16"/>
          <w:szCs w:val="16"/>
          <w:color w:val="auto"/>
        </w:rPr>
      </w:pPr>
    </w:p>
    <w:p>
      <w:pPr>
        <w:ind w:left="380" w:hanging="213"/>
        <w:spacing w:after="0"/>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Reviewing and making recommendations regarding the Board’s leadership structure</w:t>
      </w:r>
    </w:p>
    <w:p>
      <w:pPr>
        <w:spacing w:after="0" w:line="243" w:lineRule="exact"/>
        <w:rPr>
          <w:rFonts w:ascii="Arial" w:cs="Arial" w:eastAsia="Arial" w:hAnsi="Arial"/>
          <w:sz w:val="16"/>
          <w:szCs w:val="16"/>
          <w:color w:val="auto"/>
        </w:rPr>
      </w:pPr>
    </w:p>
    <w:p>
      <w:pPr>
        <w:ind w:left="380" w:right="200" w:hanging="213"/>
        <w:spacing w:after="0" w:line="279" w:lineRule="auto"/>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Overseeing corporate governance matters generally, including the corporate governance guidelines, and annually reviewing and recommending any changes to the Board, as appropriate</w:t>
      </w:r>
    </w:p>
    <w:p>
      <w:pPr>
        <w:spacing w:after="0" w:line="187" w:lineRule="exact"/>
        <w:rPr>
          <w:rFonts w:ascii="Arial" w:cs="Arial" w:eastAsia="Arial" w:hAnsi="Arial"/>
          <w:sz w:val="16"/>
          <w:szCs w:val="16"/>
          <w:color w:val="auto"/>
        </w:rPr>
      </w:pPr>
    </w:p>
    <w:p>
      <w:pPr>
        <w:ind w:left="380" w:hanging="213"/>
        <w:spacing w:after="0"/>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Overseeing and, as it determines appropriate, designating directors to participate in the Company’s engagement with shareholders</w:t>
      </w:r>
    </w:p>
    <w:p>
      <w:pPr>
        <w:spacing w:after="0" w:line="243" w:lineRule="exact"/>
        <w:rPr>
          <w:rFonts w:ascii="Arial" w:cs="Arial" w:eastAsia="Arial" w:hAnsi="Arial"/>
          <w:sz w:val="16"/>
          <w:szCs w:val="16"/>
          <w:color w:val="auto"/>
        </w:rPr>
      </w:pPr>
    </w:p>
    <w:p>
      <w:pPr>
        <w:ind w:left="380" w:hanging="213"/>
        <w:spacing w:after="0"/>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Overseeing the annual evaluation of the Board and its standing committees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CONSIDERATION OF CANDIDATES RECOMMENDED BY SHAREHOLDERS</w:t>
      </w:r>
    </w:p>
    <w:p>
      <w:pPr>
        <w:spacing w:after="0" w:line="19" w:lineRule="exact"/>
        <w:rPr>
          <w:sz w:val="20"/>
          <w:szCs w:val="20"/>
          <w:color w:val="auto"/>
        </w:rPr>
      </w:pPr>
    </w:p>
    <w:p>
      <w:pPr>
        <w:ind w:left="160" w:right="60"/>
        <w:spacing w:after="0" w:line="247" w:lineRule="auto"/>
        <w:rPr>
          <w:sz w:val="20"/>
          <w:szCs w:val="20"/>
          <w:color w:val="auto"/>
        </w:rPr>
      </w:pPr>
      <w:r>
        <w:rPr>
          <w:rFonts w:ascii="Arial" w:cs="Arial" w:eastAsia="Arial" w:hAnsi="Arial"/>
          <w:sz w:val="16"/>
          <w:szCs w:val="16"/>
          <w:color w:val="auto"/>
        </w:rPr>
        <w:t>Our Nominating and Corporate Governance Committee is pleased to consider director candidates recommended by shareholders. The Nominating and Governance Committee also considers self-submitted candidates to the Board. In considering such candidates, the Nominating and Corporate Governance Committee will take into consideration the Board’s current size and composition; the needs of the Board, including the skills and experience of existing directors; and the qualifications of the candidate. To have a candidate considered by the Nominating and Corporate Governance Committee, a shareholder must comply with the provisions of the Company’s Ninth Amended and Restated Bylaws (the “Bylaws”) and send written notice of the nomination to the Company’s Secretary at Wynn Resorts, Limited, c/o Secretary at 3131 Las Vegas Boulevard South, Las Vegas, Nevada 89109.</w:t>
      </w:r>
    </w:p>
    <w:p>
      <w:pPr>
        <w:spacing w:after="0" w:line="185" w:lineRule="exact"/>
        <w:rPr>
          <w:sz w:val="20"/>
          <w:szCs w:val="20"/>
          <w:color w:val="auto"/>
        </w:rPr>
      </w:pPr>
    </w:p>
    <w:p>
      <w:pPr>
        <w:ind w:left="160" w:right="40"/>
        <w:spacing w:after="0" w:line="253" w:lineRule="auto"/>
        <w:rPr>
          <w:sz w:val="20"/>
          <w:szCs w:val="20"/>
          <w:color w:val="auto"/>
        </w:rPr>
      </w:pPr>
      <w:r>
        <w:rPr>
          <w:rFonts w:ascii="Arial" w:cs="Arial" w:eastAsia="Arial" w:hAnsi="Arial"/>
          <w:sz w:val="16"/>
          <w:szCs w:val="16"/>
          <w:color w:val="auto"/>
        </w:rPr>
        <w:t>If the Nominating and Corporate Governance Committee pursues consideration of a person identified as a potential candidate, the Nominating and Corporate Governance Committee may take any or all of the following steps: collect and review publicly available information regarding the candidate, contact and request information from the candidate, verify the candidate’s credentials, conduct one or more interviews with the candidate and contact one or more references provided by the candidate or other persons who may have greater first-hand knowledge of the candidate’s accomplishments. The Nominating and Corporate Governance Committee’s evaluation</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080"/>
          </w:cols>
          <w:pgMar w:left="320" w:top="478"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0" w:right="60"/>
        <w:spacing w:after="0" w:line="279" w:lineRule="auto"/>
        <w:rPr>
          <w:sz w:val="20"/>
          <w:szCs w:val="20"/>
          <w:color w:val="auto"/>
        </w:rPr>
      </w:pPr>
      <w:r>
        <w:rPr>
          <w:rFonts w:ascii="Arial" w:cs="Arial" w:eastAsia="Arial" w:hAnsi="Arial"/>
          <w:sz w:val="16"/>
          <w:szCs w:val="16"/>
          <w:color w:val="auto"/>
        </w:rPr>
        <w:t>process takes into account the candidate’s accomplishments and qualifications, including in comparison to any other candidates that the Nominating and Corporate Governance Committee might be considering, and does not vary based on whether a candidate has been recommended by a shareholder.</w:t>
      </w:r>
    </w:p>
    <w:p>
      <w:pPr>
        <w:spacing w:after="0" w:line="2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45"/>
          <w:szCs w:val="45"/>
          <w:color w:val="140F21"/>
        </w:rPr>
        <w:t>Board Leadership</w:t>
      </w:r>
    </w:p>
    <w:p>
      <w:pPr>
        <w:spacing w:after="0" w:line="344" w:lineRule="exact"/>
        <w:rPr>
          <w:sz w:val="20"/>
          <w:szCs w:val="20"/>
          <w:color w:val="auto"/>
        </w:rPr>
      </w:pPr>
    </w:p>
    <w:p>
      <w:pPr>
        <w:ind w:left="160"/>
        <w:spacing w:after="0" w:line="249" w:lineRule="auto"/>
        <w:rPr>
          <w:sz w:val="20"/>
          <w:szCs w:val="20"/>
          <w:color w:val="auto"/>
        </w:rPr>
      </w:pPr>
      <w:r>
        <w:rPr>
          <w:rFonts w:ascii="Arial" w:cs="Arial" w:eastAsia="Arial" w:hAnsi="Arial"/>
          <w:sz w:val="16"/>
          <w:szCs w:val="16"/>
          <w:color w:val="auto"/>
        </w:rPr>
        <w:t>On at least an annual basis, our Board assesses its leadership structure, including the appointment of an independent, non-executive Chair of the Board. Currently, our Corporate Governance Guidelines require that an independent, non-executive director be annually elected as Chair of the Board by a majority of directors. We believe the separation of the Chair and the Chief Executive Officer clarifies individual roles and responsibilities, streamlines decision-making, and enhances accountability. Mr. Billings currently serves as our Chief Executive Officer and director, and Mr. Satre has served as our independent, non-executive Chair of the Board since 2018. This separation in roles allows Mr. Billings to focus on the management of the Company, day-to-day operations and engagement with external stakeholders. Mr. Satre focuses his attention on the broad strategic issues considered by the Board, leveraging his strong public company and gaming background to provide strategic guidance and effective oversight of management and engaging with the Chief Executive Officer between Board meetings.</w:t>
      </w:r>
    </w:p>
    <w:p>
      <w:pPr>
        <w:spacing w:after="0" w:line="2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45"/>
          <w:szCs w:val="45"/>
          <w:color w:val="140F21"/>
        </w:rPr>
        <w:t>Board Role in Risk Oversight</w:t>
      </w:r>
    </w:p>
    <w:p>
      <w:pPr>
        <w:spacing w:after="0" w:line="344" w:lineRule="exact"/>
        <w:rPr>
          <w:sz w:val="20"/>
          <w:szCs w:val="20"/>
          <w:color w:val="auto"/>
        </w:rPr>
      </w:pPr>
    </w:p>
    <w:p>
      <w:pPr>
        <w:ind w:left="160" w:right="180"/>
        <w:spacing w:after="0" w:line="279" w:lineRule="auto"/>
        <w:rPr>
          <w:sz w:val="20"/>
          <w:szCs w:val="20"/>
          <w:color w:val="auto"/>
        </w:rPr>
      </w:pPr>
      <w:r>
        <w:rPr>
          <w:rFonts w:ascii="Arial" w:cs="Arial" w:eastAsia="Arial" w:hAnsi="Arial"/>
          <w:sz w:val="16"/>
          <w:szCs w:val="16"/>
          <w:color w:val="auto"/>
        </w:rPr>
        <w:t>The Board is focused on building value for the Company’s shareholders and to promote the vitality and sustainability of the Company for its customers, employees, communities in which it does business, our planet, and the other individuals and organizations that share interests with us.</w:t>
      </w:r>
    </w:p>
    <w:p>
      <w:pPr>
        <w:spacing w:after="0" w:line="161" w:lineRule="exact"/>
        <w:rPr>
          <w:sz w:val="20"/>
          <w:szCs w:val="20"/>
          <w:color w:val="auto"/>
        </w:rPr>
      </w:pPr>
    </w:p>
    <w:p>
      <w:pPr>
        <w:ind w:left="160" w:right="340"/>
        <w:spacing w:after="0" w:line="262" w:lineRule="auto"/>
        <w:rPr>
          <w:sz w:val="20"/>
          <w:szCs w:val="20"/>
          <w:color w:val="auto"/>
        </w:rPr>
      </w:pPr>
      <w:r>
        <w:rPr>
          <w:rFonts w:ascii="Arial" w:cs="Arial" w:eastAsia="Arial" w:hAnsi="Arial"/>
          <w:sz w:val="16"/>
          <w:szCs w:val="16"/>
          <w:color w:val="auto"/>
        </w:rPr>
        <w:t>To achieve these goals, the Board monitors the performance of the Company (in relation to its goals, strategy, risks and competitors); reviews the Company’s compliance efforts; and, through the Compensation Committee, evaluates and addresses the performance of management, including the Chief Executive Officer.</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Board has an active role in overseeing the Company’s areas of risk.</w:t>
      </w:r>
    </w:p>
    <w:p>
      <w:pPr>
        <w:spacing w:after="0" w:line="244" w:lineRule="exact"/>
        <w:rPr>
          <w:sz w:val="20"/>
          <w:szCs w:val="20"/>
          <w:color w:val="auto"/>
        </w:rPr>
      </w:pPr>
    </w:p>
    <w:p>
      <w:pPr>
        <w:ind w:left="380" w:right="40" w:hanging="213"/>
        <w:spacing w:after="0" w:line="256" w:lineRule="auto"/>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Board and its committees, in consultation with management and the Company’s independent auditors, regularly review the Company’s risk profile and have identified specific areas of risk including: regulatory compliance; legal and human resource matters; legislative and political conditions; capital availability and liquidity; gaming credit extension and collection; cybersecurity, including protection of customer and employee data; construction; catastrophic events; and succession planning.</w:t>
      </w:r>
    </w:p>
    <w:p>
      <w:pPr>
        <w:spacing w:after="0" w:line="204" w:lineRule="exact"/>
        <w:rPr>
          <w:rFonts w:ascii="Arial" w:cs="Arial" w:eastAsia="Arial" w:hAnsi="Arial"/>
          <w:sz w:val="16"/>
          <w:szCs w:val="16"/>
          <w:color w:val="auto"/>
        </w:rPr>
      </w:pPr>
    </w:p>
    <w:p>
      <w:pPr>
        <w:ind w:left="380" w:right="340" w:hanging="213"/>
        <w:spacing w:after="0" w:line="262" w:lineRule="auto"/>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Board is responsible for overseeing cybersecurity risk and information security. The Board receives regular reports from the Company’s Chief Information Security Officer on the Company’s cybersecurity risk profile and enterprise cybersecurity programs and from the Chief Privacy and Technology Counsel on data privacy programs.</w:t>
      </w:r>
    </w:p>
    <w:p>
      <w:pPr>
        <w:spacing w:after="0" w:line="199" w:lineRule="exact"/>
        <w:rPr>
          <w:rFonts w:ascii="Arial" w:cs="Arial" w:eastAsia="Arial" w:hAnsi="Arial"/>
          <w:sz w:val="16"/>
          <w:szCs w:val="16"/>
          <w:color w:val="auto"/>
        </w:rPr>
      </w:pPr>
    </w:p>
    <w:p>
      <w:pPr>
        <w:ind w:left="380" w:right="280" w:hanging="213"/>
        <w:spacing w:after="0" w:line="279" w:lineRule="auto"/>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Board assesses risks to the Company’s long-term strategic objectives, including threats related to our people, our communities and our planet (including climate change). The Company addresses these risks through our environmental, social and governance (“ESG”) initiatives.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2"/>
          <w:szCs w:val="12"/>
          <w:color w:val="351B3D"/>
        </w:rPr>
        <w:t>20</w:t>
      </w:r>
    </w:p>
    <w:p>
      <w:pPr>
        <w:sectPr>
          <w:pgSz w:w="11900" w:h="16838" w:orient="portrait"/>
          <w:cols w:equalWidth="0" w:num="1">
            <w:col w:w="11040"/>
          </w:cols>
          <w:pgMar w:left="320" w:top="478" w:right="5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80" w:right="60" w:hanging="213"/>
        <w:spacing w:after="0" w:line="253"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The Board (as a whole and through its committees) has reviewed and approved management’s process for identifying, managing and mitigating these risks. While the full Board has overall responsibility for risk oversight, the Board has assigned certain areas of risk oversight to its committees. Additionally, certain directors attend meetings or serve as </w:t>
      </w:r>
      <w:r>
        <w:rPr>
          <w:rFonts w:ascii="Arial" w:cs="Arial" w:eastAsia="Arial" w:hAnsi="Arial"/>
          <w:sz w:val="16"/>
          <w:szCs w:val="16"/>
          <w:i w:val="1"/>
          <w:iCs w:val="1"/>
          <w:color w:val="auto"/>
        </w:rPr>
        <w:t>ex officio</w:t>
      </w:r>
      <w:r>
        <w:rPr>
          <w:rFonts w:ascii="Arial" w:cs="Arial" w:eastAsia="Arial" w:hAnsi="Arial"/>
          <w:sz w:val="16"/>
          <w:szCs w:val="16"/>
          <w:color w:val="auto"/>
        </w:rPr>
        <w:t xml:space="preserve"> members of the Company’s Compliance Committee, an independent committee which has responsibility for the Company’s Compliance Program, including managing risks relating to regulatory, workplace conduct and security, and political compliance (as described below).</w:t>
      </w:r>
    </w:p>
    <w:p>
      <w:pPr>
        <w:spacing w:after="0" w:line="207" w:lineRule="exact"/>
        <w:rPr>
          <w:rFonts w:ascii="Arial" w:cs="Arial" w:eastAsia="Arial" w:hAnsi="Arial"/>
          <w:sz w:val="16"/>
          <w:szCs w:val="16"/>
          <w:color w:val="auto"/>
        </w:rPr>
      </w:pPr>
    </w:p>
    <w:p>
      <w:pPr>
        <w:jc w:val="both"/>
        <w:ind w:left="380" w:right="60" w:hanging="213"/>
        <w:spacing w:after="0" w:line="262"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Throughout the year, the Board, its committees and the Company’s Compliance Committee receive reports from management that include information regarding major risks and exposures facing the Company and the steps management has taken to monitor and control such risks and exposures. The Board maintains a process to allow for direct communication of risks and issues from employees to the Board.</w:t>
      </w:r>
    </w:p>
    <w:p>
      <w:pPr>
        <w:spacing w:after="0" w:line="199" w:lineRule="exact"/>
        <w:rPr>
          <w:rFonts w:ascii="Arial" w:cs="Arial" w:eastAsia="Arial" w:hAnsi="Arial"/>
          <w:sz w:val="16"/>
          <w:szCs w:val="16"/>
          <w:color w:val="auto"/>
        </w:rPr>
      </w:pPr>
    </w:p>
    <w:p>
      <w:pPr>
        <w:ind w:left="380" w:right="220" w:hanging="213"/>
        <w:spacing w:after="0" w:line="279"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addition, throughout the year, the Board, its committees and the Company’s Compliance Committee dedicate a portion of their meetings to review and discuss specific risk topics in greater detail.</w:t>
      </w:r>
    </w:p>
    <w:p>
      <w:pPr>
        <w:spacing w:after="0" w:line="187" w:lineRule="exact"/>
        <w:rPr>
          <w:rFonts w:ascii="Arial" w:cs="Arial" w:eastAsia="Arial" w:hAnsi="Arial"/>
          <w:sz w:val="16"/>
          <w:szCs w:val="16"/>
          <w:color w:val="auto"/>
        </w:rPr>
      </w:pPr>
    </w:p>
    <w:p>
      <w:pPr>
        <w:ind w:left="380" w:right="20" w:hanging="213"/>
        <w:spacing w:after="0" w:line="262"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Audit Committee is primarily responsible for the oversight of credit, related party, construction and general financial risks, as well as monitoring the independence of our independent registered public accounting firm, the adequacy of our risk-related internal controls including our internal controls over financial reporting, and legal and compliance matters that may have a material impact on the Company’s financial statements.</w:t>
      </w:r>
    </w:p>
    <w:p>
      <w:pPr>
        <w:spacing w:after="0" w:line="199" w:lineRule="exact"/>
        <w:rPr>
          <w:rFonts w:ascii="Arial" w:cs="Arial" w:eastAsia="Arial" w:hAnsi="Arial"/>
          <w:sz w:val="16"/>
          <w:szCs w:val="16"/>
          <w:color w:val="auto"/>
        </w:rPr>
      </w:pPr>
    </w:p>
    <w:p>
      <w:pPr>
        <w:ind w:left="380" w:right="240" w:hanging="213"/>
        <w:spacing w:after="0" w:line="262"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the 2024 fiscal year, management completed a review of the Company’s compensation policies and practices and presented its analysis to the Compensation Committee. The Compensation Committee concurred with management’s conclusion that such policies and practices do not present risks that are reasonably likely to have a material adverse effect on the Company.</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16"/>
          <w:szCs w:val="16"/>
          <w:color w:val="110F1C"/>
        </w:rPr>
        <w:t>COMPLIANCE COMMITTEE</w:t>
      </w:r>
    </w:p>
    <w:p>
      <w:pPr>
        <w:spacing w:after="0" w:line="19" w:lineRule="exact"/>
        <w:rPr>
          <w:sz w:val="20"/>
          <w:szCs w:val="20"/>
          <w:color w:val="auto"/>
        </w:rPr>
      </w:pPr>
    </w:p>
    <w:p>
      <w:pPr>
        <w:ind w:left="160" w:right="40"/>
        <w:spacing w:after="0" w:line="246" w:lineRule="auto"/>
        <w:rPr>
          <w:sz w:val="20"/>
          <w:szCs w:val="20"/>
          <w:color w:val="auto"/>
        </w:rPr>
      </w:pPr>
      <w:r>
        <w:rPr>
          <w:rFonts w:ascii="Arial" w:cs="Arial" w:eastAsia="Arial" w:hAnsi="Arial"/>
          <w:sz w:val="16"/>
          <w:szCs w:val="16"/>
          <w:color w:val="auto"/>
        </w:rPr>
        <w:t xml:space="preserve">The Company maintains a Compliance Program that features a completely independent Compliance Committee comprised of individuals who are not otherwise affiliated with the Company and have extensive familiarity with law enforcement, regulated businesses, ethics, and/or gaming compliance, to oversee and promote the Company’s compliance and to ensure that the Company meets its commitments to conduct business at the highest levels of honesty and integrity. The current members of the Compliance Committee are: Edward Davis, former Commissioner of the Boston Police Department (Chair); Thomas Peterman, former Senior Vice President and Chief Compliance Officer for MGM Resorts International; and Cynthia Kiser Murphy, former General Manager of the Palms Resort Casino. Mr. Satre and Ms. Mulroy serve as </w:t>
      </w:r>
      <w:r>
        <w:rPr>
          <w:rFonts w:ascii="Arial" w:cs="Arial" w:eastAsia="Arial" w:hAnsi="Arial"/>
          <w:sz w:val="16"/>
          <w:szCs w:val="16"/>
          <w:i w:val="1"/>
          <w:iCs w:val="1"/>
          <w:color w:val="auto"/>
        </w:rPr>
        <w:t>ex officio</w:t>
      </w:r>
      <w:r>
        <w:rPr>
          <w:rFonts w:ascii="Arial" w:cs="Arial" w:eastAsia="Arial" w:hAnsi="Arial"/>
          <w:sz w:val="16"/>
          <w:szCs w:val="16"/>
          <w:color w:val="auto"/>
        </w:rPr>
        <w:t xml:space="preserve"> members of the Compliance Committee as representatives of the Board. Ms. Webb also attends the meetings of the Compliance Committee in her capacity as the Chair of the Audit Committee. The Compliance Program is subject to review and approval of the Nevada Gaming Control Board and the Massachusetts Gaming Commission.</w:t>
      </w:r>
    </w:p>
    <w:p>
      <w:pPr>
        <w:spacing w:after="0" w:line="2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45"/>
          <w:szCs w:val="45"/>
          <w:color w:val="110F1C"/>
        </w:rPr>
        <w:t>Prohibition on Hedging and Pledging Transactions</w:t>
      </w:r>
    </w:p>
    <w:p>
      <w:pPr>
        <w:spacing w:after="0" w:line="344" w:lineRule="exact"/>
        <w:rPr>
          <w:sz w:val="20"/>
          <w:szCs w:val="20"/>
          <w:color w:val="auto"/>
        </w:rPr>
      </w:pPr>
    </w:p>
    <w:p>
      <w:pPr>
        <w:jc w:val="both"/>
        <w:ind w:left="160" w:right="20"/>
        <w:spacing w:after="0" w:line="256" w:lineRule="auto"/>
        <w:rPr>
          <w:sz w:val="20"/>
          <w:szCs w:val="20"/>
          <w:color w:val="auto"/>
        </w:rPr>
      </w:pPr>
      <w:r>
        <w:rPr>
          <w:rFonts w:ascii="Arial" w:cs="Arial" w:eastAsia="Arial" w:hAnsi="Arial"/>
          <w:sz w:val="16"/>
          <w:szCs w:val="16"/>
          <w:color w:val="auto"/>
        </w:rPr>
        <w:t>Pursuant to the Company’s Trading Policy, our directors and executive officers are prohibited from engaging in speculative transactions in the Company’s securities, such as trading in puts and calls, or selling securities short, and from all hedging and prospective pledging of Company securities as collateral for any loan, including holding securities in a margin account and obtaining a loan or other margin credit under such account, unless approved in advance by the Board.</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080"/>
          </w:cols>
          <w:pgMar w:left="320" w:top="478"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 w:right="1060"/>
        <w:spacing w:after="0" w:line="266" w:lineRule="auto"/>
        <w:rPr>
          <w:sz w:val="20"/>
          <w:szCs w:val="20"/>
          <w:color w:val="auto"/>
        </w:rPr>
      </w:pPr>
      <w:r>
        <w:rPr>
          <w:rFonts w:ascii="Times New Roman" w:cs="Times New Roman" w:eastAsia="Times New Roman" w:hAnsi="Times New Roman"/>
          <w:sz w:val="45"/>
          <w:szCs w:val="45"/>
          <w:color w:val="140F21"/>
        </w:rPr>
        <w:t>Our Commitment to Shareholder Engagement and Our Track Record of Responsiveness</w:t>
      </w:r>
    </w:p>
    <w:p>
      <w:pPr>
        <w:spacing w:after="0" w:line="222" w:lineRule="exact"/>
        <w:rPr>
          <w:sz w:val="20"/>
          <w:szCs w:val="20"/>
          <w:color w:val="auto"/>
        </w:rPr>
      </w:pPr>
    </w:p>
    <w:p>
      <w:pPr>
        <w:ind w:left="160" w:right="120"/>
        <w:spacing w:after="0" w:line="253" w:lineRule="auto"/>
        <w:rPr>
          <w:sz w:val="20"/>
          <w:szCs w:val="20"/>
          <w:color w:val="auto"/>
        </w:rPr>
      </w:pPr>
      <w:r>
        <w:rPr>
          <w:rFonts w:ascii="Arial" w:cs="Arial" w:eastAsia="Arial" w:hAnsi="Arial"/>
          <w:sz w:val="16"/>
          <w:szCs w:val="16"/>
          <w:color w:val="auto"/>
        </w:rPr>
        <w:t>We value the perspective of our shareholders and are committed to regular shareholder engagement. The feedback received from shareholders serves as a key input to Board and committee discussions, and informs decisions made by the Board. Each year, our independent directors and executive management reach out to our largest shareholders to understand their perspectives and gather valuable feedback on matters of interest to our shareholders. These conversations include a variety of corporate governance topics including, but not limited to, Board composition, corporate governance, and the continued alignment of executive compensation with Company performance.</w:t>
      </w:r>
    </w:p>
    <w:p>
      <w:pPr>
        <w:spacing w:after="0" w:line="180" w:lineRule="exact"/>
        <w:rPr>
          <w:sz w:val="20"/>
          <w:szCs w:val="20"/>
          <w:color w:val="auto"/>
        </w:rPr>
      </w:pPr>
    </w:p>
    <w:p>
      <w:pPr>
        <w:ind w:left="160"/>
        <w:spacing w:after="0" w:line="279" w:lineRule="auto"/>
        <w:rPr>
          <w:sz w:val="20"/>
          <w:szCs w:val="20"/>
          <w:color w:val="auto"/>
        </w:rPr>
      </w:pPr>
      <w:r>
        <w:rPr>
          <w:rFonts w:ascii="Arial" w:cs="Arial" w:eastAsia="Arial" w:hAnsi="Arial"/>
          <w:sz w:val="16"/>
          <w:szCs w:val="16"/>
          <w:color w:val="auto"/>
        </w:rPr>
        <w:t>During 2024, the Company reached out to shareholders that held approximately 59% of outstanding shares (“O/S”) and had substantive discussions with shareholders representing approximately 40% of O/S.</w:t>
      </w:r>
    </w:p>
    <w:p>
      <w:pPr>
        <w:spacing w:after="0" w:line="161" w:lineRule="exact"/>
        <w:rPr>
          <w:sz w:val="20"/>
          <w:szCs w:val="20"/>
          <w:color w:val="auto"/>
        </w:rPr>
      </w:pPr>
    </w:p>
    <w:p>
      <w:pPr>
        <w:ind w:left="160" w:right="380"/>
        <w:spacing w:after="0" w:line="262" w:lineRule="auto"/>
        <w:rPr>
          <w:sz w:val="20"/>
          <w:szCs w:val="20"/>
          <w:color w:val="auto"/>
        </w:rPr>
      </w:pPr>
      <w:r>
        <w:rPr>
          <w:rFonts w:ascii="Arial" w:cs="Arial" w:eastAsia="Arial" w:hAnsi="Arial"/>
          <w:sz w:val="16"/>
          <w:szCs w:val="16"/>
          <w:color w:val="auto"/>
        </w:rPr>
        <w:t>The Board remains committed to continued regular shareholder engagement and is proud of its track record of responsiveness. In line with this commitment, in December 2024, we expanded of the responsibilities of our SVP, Corporate Finance &amp; Treasurer to include oversight of the Investor Relations team and hired a seasoned Investor Relations professional as VP of Investor Relations.</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HOW YOU CAN COMMUNICATE WITH US AND HOW WE COMMUNICATE WITH YOU</w:t>
      </w:r>
    </w:p>
    <w:p>
      <w:pPr>
        <w:spacing w:after="0" w:line="19" w:lineRule="exact"/>
        <w:rPr>
          <w:sz w:val="20"/>
          <w:szCs w:val="20"/>
          <w:color w:val="auto"/>
        </w:rPr>
      </w:pPr>
    </w:p>
    <w:p>
      <w:pPr>
        <w:ind w:left="160" w:right="120"/>
        <w:spacing w:after="0" w:line="251" w:lineRule="auto"/>
        <w:rPr>
          <w:sz w:val="20"/>
          <w:szCs w:val="20"/>
          <w:color w:val="auto"/>
        </w:rPr>
      </w:pPr>
      <w:r>
        <w:rPr>
          <w:rFonts w:ascii="Arial" w:cs="Arial" w:eastAsia="Arial" w:hAnsi="Arial"/>
          <w:sz w:val="16"/>
          <w:szCs w:val="16"/>
          <w:color w:val="auto"/>
        </w:rPr>
        <w:t>The Board values shareholder and stakeholder feedback as it informs our deliberations and our decision making. We therefore cast a wide net for input from management, employees, customers, potential disrupters, thought leaders, regulators, lenders and insurers and, perhaps most critically, from investors: those of you who have a financial stake in us have every reason to share insights essential to our operations and resilience.</w:t>
      </w:r>
    </w:p>
    <w:p>
      <w:pPr>
        <w:spacing w:after="0" w:line="182" w:lineRule="exact"/>
        <w:rPr>
          <w:sz w:val="20"/>
          <w:szCs w:val="20"/>
          <w:color w:val="auto"/>
        </w:rPr>
      </w:pPr>
    </w:p>
    <w:p>
      <w:pPr>
        <w:ind w:left="160"/>
        <w:spacing w:after="0" w:line="253" w:lineRule="auto"/>
        <w:rPr>
          <w:sz w:val="20"/>
          <w:szCs w:val="20"/>
          <w:color w:val="auto"/>
        </w:rPr>
      </w:pPr>
      <w:r>
        <w:rPr>
          <w:rFonts w:ascii="Arial" w:cs="Arial" w:eastAsia="Arial" w:hAnsi="Arial"/>
          <w:sz w:val="16"/>
          <w:szCs w:val="16"/>
          <w:color w:val="auto"/>
        </w:rPr>
        <w:t>Because investor input is important to our functioning and accountability, you can write to us, as a Board, a board committee or an individual director by sending a letter to: Wynn Resorts, Limited, c/o Secretary, 3131 Las Vegas Boulevard South, Las Vegas, Nevada 89109. All communications received will be opened by the office of our General Counsel for the purpose of assessing the nature of the communications. With the exception of advertising, promotions of a product or service, and patently offensive material, communications will be forwarded promptly to the addressee. In the case of communications addressed to more than one director, the General Counsel’s office will make sure each addressee receives the communication.</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2"/>
          <w:szCs w:val="12"/>
          <w:color w:val="351B3D"/>
        </w:rPr>
        <w:t>22</w:t>
      </w:r>
    </w:p>
    <w:p>
      <w:pPr>
        <w:sectPr>
          <w:pgSz w:w="11900" w:h="16838" w:orient="portrait"/>
          <w:cols w:equalWidth="0" w:num="1">
            <w:col w:w="11000"/>
          </w:cols>
          <w:pgMar w:left="320" w:top="478" w:right="5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45"/>
          <w:szCs w:val="45"/>
          <w:color w:val="140F21"/>
        </w:rPr>
        <w:t>How We are Paid</w:t>
      </w:r>
    </w:p>
    <w:p>
      <w:pPr>
        <w:spacing w:after="0" w:line="34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For 2024, non-employee directors of the Company received fees for service on the Board and its committees, as follows:</w:t>
      </w:r>
    </w:p>
    <w:p>
      <w:pPr>
        <w:spacing w:after="0" w:line="258" w:lineRule="exact"/>
        <w:rPr>
          <w:sz w:val="20"/>
          <w:szCs w:val="20"/>
          <w:color w:val="auto"/>
        </w:rPr>
      </w:pPr>
    </w:p>
    <w:tbl>
      <w:tblPr>
        <w:tblLayout w:type="fixed"/>
        <w:tblInd w:w="160" w:type="dxa"/>
        <w:tblCellMar>
          <w:top w:w="0" w:type="dxa"/>
          <w:left w:w="0" w:type="dxa"/>
          <w:bottom w:w="0" w:type="dxa"/>
          <w:right w:w="0" w:type="dxa"/>
        </w:tblCellMar>
      </w:tblPr>
      <w:tr>
        <w:trPr>
          <w:trHeight w:val="321"/>
        </w:trPr>
        <w:tc>
          <w:tcPr>
            <w:tcW w:w="5580" w:type="dxa"/>
            <w:vAlign w:val="bottom"/>
            <w:shd w:val="clear" w:color="auto" w:fill="D6D1D8"/>
          </w:tcPr>
          <w:p>
            <w:pPr>
              <w:ind w:left="80"/>
              <w:spacing w:after="0"/>
              <w:rPr>
                <w:sz w:val="20"/>
                <w:szCs w:val="20"/>
                <w:color w:val="auto"/>
              </w:rPr>
            </w:pPr>
            <w:r>
              <w:rPr>
                <w:rFonts w:ascii="Arial" w:cs="Arial" w:eastAsia="Arial" w:hAnsi="Arial"/>
                <w:sz w:val="16"/>
                <w:szCs w:val="16"/>
                <w:color w:val="auto"/>
              </w:rPr>
              <w:t>Board Service</w:t>
            </w:r>
          </w:p>
        </w:tc>
        <w:tc>
          <w:tcPr>
            <w:tcW w:w="5340" w:type="dxa"/>
            <w:vAlign w:val="bottom"/>
            <w:shd w:val="clear" w:color="auto" w:fill="D6D1D8"/>
          </w:tcPr>
          <w:p>
            <w:pPr>
              <w:ind w:left="280"/>
              <w:spacing w:after="0"/>
              <w:rPr>
                <w:sz w:val="20"/>
                <w:szCs w:val="20"/>
                <w:color w:val="auto"/>
              </w:rPr>
            </w:pPr>
            <w:r>
              <w:rPr>
                <w:rFonts w:ascii="Arial" w:cs="Arial" w:eastAsia="Arial" w:hAnsi="Arial"/>
                <w:sz w:val="16"/>
                <w:szCs w:val="16"/>
                <w:color w:val="auto"/>
              </w:rPr>
              <w:t>-   Member annual fee retainer of $100,000</w:t>
            </w:r>
          </w:p>
        </w:tc>
      </w:tr>
      <w:tr>
        <w:trPr>
          <w:trHeight w:val="173"/>
        </w:trPr>
        <w:tc>
          <w:tcPr>
            <w:tcW w:w="5580" w:type="dxa"/>
            <w:vAlign w:val="bottom"/>
            <w:shd w:val="clear" w:color="auto" w:fill="D6D1D8"/>
          </w:tcPr>
          <w:p>
            <w:pPr>
              <w:spacing w:after="0"/>
              <w:rPr>
                <w:sz w:val="15"/>
                <w:szCs w:val="15"/>
                <w:color w:val="auto"/>
              </w:rPr>
            </w:pPr>
          </w:p>
        </w:tc>
        <w:tc>
          <w:tcPr>
            <w:tcW w:w="5340" w:type="dxa"/>
            <w:vAlign w:val="bottom"/>
            <w:shd w:val="clear" w:color="auto" w:fill="D6D1D8"/>
          </w:tcPr>
          <w:p>
            <w:pPr>
              <w:ind w:left="280"/>
              <w:spacing w:after="0" w:line="173" w:lineRule="exact"/>
              <w:rPr>
                <w:sz w:val="20"/>
                <w:szCs w:val="20"/>
                <w:color w:val="auto"/>
              </w:rPr>
            </w:pPr>
            <w:r>
              <w:rPr>
                <w:rFonts w:ascii="Arial" w:cs="Arial" w:eastAsia="Arial" w:hAnsi="Arial"/>
                <w:sz w:val="16"/>
                <w:szCs w:val="16"/>
                <w:color w:val="auto"/>
              </w:rPr>
              <w:t>-   Chair annual retainer fee of $200,000</w:t>
            </w:r>
          </w:p>
        </w:tc>
      </w:tr>
      <w:tr>
        <w:trPr>
          <w:trHeight w:val="187"/>
        </w:trPr>
        <w:tc>
          <w:tcPr>
            <w:tcW w:w="5580" w:type="dxa"/>
            <w:vAlign w:val="bottom"/>
            <w:shd w:val="clear" w:color="auto" w:fill="D6D1D8"/>
          </w:tcPr>
          <w:p>
            <w:pPr>
              <w:spacing w:after="0"/>
              <w:rPr>
                <w:sz w:val="16"/>
                <w:szCs w:val="16"/>
                <w:color w:val="auto"/>
              </w:rPr>
            </w:pPr>
          </w:p>
        </w:tc>
        <w:tc>
          <w:tcPr>
            <w:tcW w:w="5340" w:type="dxa"/>
            <w:vAlign w:val="bottom"/>
            <w:shd w:val="clear" w:color="auto" w:fill="D6D1D8"/>
          </w:tcPr>
          <w:p>
            <w:pPr>
              <w:ind w:left="280"/>
              <w:spacing w:after="0"/>
              <w:rPr>
                <w:sz w:val="20"/>
                <w:szCs w:val="20"/>
                <w:color w:val="auto"/>
              </w:rPr>
            </w:pPr>
            <w:r>
              <w:rPr>
                <w:rFonts w:ascii="Arial" w:cs="Arial" w:eastAsia="Arial" w:hAnsi="Arial"/>
                <w:sz w:val="16"/>
                <w:szCs w:val="16"/>
                <w:color w:val="auto"/>
              </w:rPr>
              <w:t>-   Grant of restricted stock equal in value to $250,000 that vests</w:t>
            </w:r>
          </w:p>
        </w:tc>
      </w:tr>
      <w:tr>
        <w:trPr>
          <w:trHeight w:val="211"/>
        </w:trPr>
        <w:tc>
          <w:tcPr>
            <w:tcW w:w="5580" w:type="dxa"/>
            <w:vAlign w:val="bottom"/>
            <w:shd w:val="clear" w:color="auto" w:fill="D6D1D8"/>
          </w:tcPr>
          <w:p>
            <w:pPr>
              <w:spacing w:after="0"/>
              <w:rPr>
                <w:sz w:val="18"/>
                <w:szCs w:val="18"/>
                <w:color w:val="auto"/>
              </w:rPr>
            </w:pPr>
          </w:p>
        </w:tc>
        <w:tc>
          <w:tcPr>
            <w:tcW w:w="5340" w:type="dxa"/>
            <w:vAlign w:val="bottom"/>
            <w:shd w:val="clear" w:color="auto" w:fill="D6D1D8"/>
          </w:tcPr>
          <w:p>
            <w:pPr>
              <w:ind w:left="440"/>
              <w:spacing w:after="0"/>
              <w:rPr>
                <w:sz w:val="20"/>
                <w:szCs w:val="20"/>
                <w:color w:val="auto"/>
              </w:rPr>
            </w:pPr>
            <w:r>
              <w:rPr>
                <w:rFonts w:ascii="Arial" w:cs="Arial" w:eastAsia="Arial" w:hAnsi="Arial"/>
                <w:sz w:val="16"/>
                <w:szCs w:val="16"/>
                <w:color w:val="auto"/>
              </w:rPr>
              <w:t>100% on the first anniversary of the grant date (1)</w:t>
            </w:r>
          </w:p>
        </w:tc>
      </w:tr>
      <w:tr>
        <w:trPr>
          <w:trHeight w:val="110"/>
        </w:trPr>
        <w:tc>
          <w:tcPr>
            <w:tcW w:w="5580" w:type="dxa"/>
            <w:vAlign w:val="bottom"/>
            <w:shd w:val="clear" w:color="auto" w:fill="D6D1D8"/>
          </w:tcPr>
          <w:p>
            <w:pPr>
              <w:spacing w:after="0"/>
              <w:rPr>
                <w:sz w:val="9"/>
                <w:szCs w:val="9"/>
                <w:color w:val="auto"/>
              </w:rPr>
            </w:pPr>
          </w:p>
        </w:tc>
        <w:tc>
          <w:tcPr>
            <w:tcW w:w="5340" w:type="dxa"/>
            <w:vAlign w:val="bottom"/>
            <w:shd w:val="clear" w:color="auto" w:fill="D6D1D8"/>
          </w:tcPr>
          <w:p>
            <w:pPr>
              <w:spacing w:after="0"/>
              <w:rPr>
                <w:sz w:val="9"/>
                <w:szCs w:val="9"/>
                <w:color w:val="auto"/>
              </w:rPr>
            </w:pPr>
          </w:p>
        </w:tc>
      </w:tr>
    </w:tbl>
    <w:p>
      <w:pPr>
        <w:spacing w:after="0" w:line="79" w:lineRule="exact"/>
        <w:rPr>
          <w:sz w:val="20"/>
          <w:szCs w:val="20"/>
          <w:color w:val="auto"/>
        </w:rPr>
      </w:pPr>
    </w:p>
    <w:p>
      <w:pPr>
        <w:sectPr>
          <w:pgSz w:w="11900" w:h="16838" w:orient="portrait"/>
          <w:cols w:equalWidth="0" w:num="1">
            <w:col w:w="11080"/>
          </w:cols>
          <w:pgMar w:left="320" w:top="478" w:right="499" w:bottom="1440" w:gutter="0" w:footer="0" w:header="0"/>
        </w:sectPr>
      </w:pPr>
    </w:p>
    <w:p>
      <w:pPr>
        <w:spacing w:after="0" w:line="9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Audit Committee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3541395" cy="3568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541395" cy="356870"/>
                    </a:xfrm>
                    <a:prstGeom prst="rect">
                      <a:avLst/>
                    </a:prstGeom>
                    <a:noFill/>
                  </pic:spPr>
                </pic:pic>
              </a:graphicData>
            </a:graphic>
          </wp:anchor>
        </w:drawing>
      </w:r>
    </w:p>
    <w:p>
      <w:pPr>
        <w:spacing w:after="0" w:line="35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Compensation Committee Service</w:t>
      </w:r>
    </w:p>
    <w:p>
      <w:pPr>
        <w:spacing w:after="0" w:line="37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Nominating and Corporate Governance Committee Service</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2"/>
          <w:szCs w:val="12"/>
          <w:color w:val="auto"/>
        </w:rPr>
        <w:t>(1) Amount and vesting period determined annually by the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 Member monthly fee of $1,250</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   Chair monthly fee of $3,000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60325</wp:posOffset>
            </wp:positionV>
            <wp:extent cx="3388360" cy="3568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88360" cy="35687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   Member monthly fee of $1,000</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   Chair monthly fee of $2,000</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   Member monthly fee of $1,000</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   Chair monthly fee of $2,000</w:t>
      </w:r>
    </w:p>
    <w:p>
      <w:pPr>
        <w:spacing w:after="0" w:line="455" w:lineRule="exact"/>
        <w:rPr>
          <w:sz w:val="20"/>
          <w:szCs w:val="20"/>
          <w:color w:val="auto"/>
        </w:rPr>
      </w:pPr>
    </w:p>
    <w:p>
      <w:pPr>
        <w:sectPr>
          <w:pgSz w:w="11900" w:h="16838" w:orient="portrait"/>
          <w:cols w:equalWidth="0" w:num="2">
            <w:col w:w="5300" w:space="720"/>
            <w:col w:w="5060"/>
          </w:cols>
          <w:pgMar w:left="320" w:top="478" w:right="499" w:bottom="1440" w:gutter="0" w:footer="0" w:header="0"/>
          <w:type w:val="continuous"/>
        </w:sectPr>
      </w:pPr>
    </w:p>
    <w:p>
      <w:pPr>
        <w:spacing w:after="0" w:line="14" w:lineRule="exact"/>
        <w:rPr>
          <w:sz w:val="20"/>
          <w:szCs w:val="20"/>
          <w:color w:val="auto"/>
        </w:rPr>
      </w:pPr>
    </w:p>
    <w:p>
      <w:pPr>
        <w:ind w:left="160" w:right="80"/>
        <w:spacing w:after="0" w:line="251" w:lineRule="auto"/>
        <w:rPr>
          <w:sz w:val="20"/>
          <w:szCs w:val="20"/>
          <w:color w:val="auto"/>
        </w:rPr>
      </w:pPr>
      <w:r>
        <w:rPr>
          <w:rFonts w:ascii="Arial" w:cs="Arial" w:eastAsia="Arial" w:hAnsi="Arial"/>
          <w:sz w:val="16"/>
          <w:szCs w:val="16"/>
          <w:color w:val="auto"/>
        </w:rPr>
        <w:t xml:space="preserve">In addition to the fees set forth in the table above, non-employee directors who serve as </w:t>
      </w:r>
      <w:r>
        <w:rPr>
          <w:rFonts w:ascii="Arial" w:cs="Arial" w:eastAsia="Arial" w:hAnsi="Arial"/>
          <w:sz w:val="16"/>
          <w:szCs w:val="16"/>
          <w:i w:val="1"/>
          <w:iCs w:val="1"/>
          <w:color w:val="auto"/>
        </w:rPr>
        <w:t>ex officio</w:t>
      </w:r>
      <w:r>
        <w:rPr>
          <w:rFonts w:ascii="Arial" w:cs="Arial" w:eastAsia="Arial" w:hAnsi="Arial"/>
          <w:sz w:val="16"/>
          <w:szCs w:val="16"/>
          <w:color w:val="auto"/>
        </w:rPr>
        <w:t xml:space="preserve"> members of the Compliance Committee receive an annual retainer fee of $75,000, and the Chair of the Audit Committee receives an attendance fee of $1,500 or $2,500 for telephonic and in-person meetings of the Compliance Committee, respectively. All of our non-employee directors are provided complimentary room, food and beverage privileges at our properties and are reimbursed for any other out-of-pocket expenses related to their attendance at Board or committee meetings or other corporate events. From time to time our non-employee directors may receive other benefits as is discussed in the table below under “All Other Compensation.” The Company does not provide non-equity incentive plan awards or deferred compensation or retirement plans for its non-employee directors.</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080"/>
          </w:cols>
          <w:pgMar w:left="320" w:top="478" w:right="4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NON-EMPLOYEE DIRECTOR COMPENSATION TABLE</w:t>
      </w:r>
    </w:p>
    <w:p>
      <w:pPr>
        <w:spacing w:after="0" w:line="19" w:lineRule="exact"/>
        <w:rPr>
          <w:sz w:val="20"/>
          <w:szCs w:val="20"/>
          <w:color w:val="auto"/>
        </w:rPr>
      </w:pPr>
    </w:p>
    <w:p>
      <w:pPr>
        <w:ind w:left="160" w:right="400"/>
        <w:spacing w:after="0" w:line="249" w:lineRule="auto"/>
        <w:rPr>
          <w:sz w:val="20"/>
          <w:szCs w:val="20"/>
          <w:color w:val="auto"/>
        </w:rPr>
      </w:pPr>
      <w:r>
        <w:rPr>
          <w:rFonts w:ascii="Arial" w:cs="Arial" w:eastAsia="Arial" w:hAnsi="Arial"/>
          <w:sz w:val="16"/>
          <w:szCs w:val="16"/>
          <w:color w:val="auto"/>
        </w:rPr>
        <w:t>The table below summarizes the total compensation awarded to, earned by or paid to each of our non-employee directors for the fiscal year ended December 31, 2024. As an employee of the Company, Mr. Billings is not entitled to receive additional compensation for his service as a director and, therefore, is not included in this table. The compensation received by Mr. Billings as an employee of the Company is presented in the Summary Compensation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142240</wp:posOffset>
            </wp:positionV>
            <wp:extent cx="6929755" cy="20548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29755" cy="2054860"/>
                    </a:xfrm>
                    <a:prstGeom prst="rect">
                      <a:avLst/>
                    </a:prstGeom>
                    <a:noFill/>
                  </pic:spPr>
                </pic:pic>
              </a:graphicData>
            </a:graphic>
          </wp:anchor>
        </w:drawing>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40"/>
        </w:trPr>
        <w:tc>
          <w:tcPr>
            <w:tcW w:w="1680" w:type="dxa"/>
            <w:vAlign w:val="bottom"/>
            <w:shd w:val="clear" w:color="auto" w:fill="351B3D"/>
          </w:tcPr>
          <w:p>
            <w:pPr>
              <w:spacing w:after="0"/>
              <w:rPr>
                <w:sz w:val="20"/>
                <w:szCs w:val="20"/>
                <w:color w:val="auto"/>
              </w:rPr>
            </w:pPr>
          </w:p>
        </w:tc>
        <w:tc>
          <w:tcPr>
            <w:tcW w:w="400" w:type="dxa"/>
            <w:vAlign w:val="bottom"/>
            <w:shd w:val="clear" w:color="auto" w:fill="351B3D"/>
          </w:tcPr>
          <w:p>
            <w:pPr>
              <w:spacing w:after="0"/>
              <w:rPr>
                <w:sz w:val="20"/>
                <w:szCs w:val="20"/>
                <w:color w:val="auto"/>
              </w:rPr>
            </w:pPr>
          </w:p>
        </w:tc>
        <w:tc>
          <w:tcPr>
            <w:tcW w:w="2040" w:type="dxa"/>
            <w:vAlign w:val="bottom"/>
            <w:vMerge w:val="restart"/>
            <w:shd w:val="clear" w:color="auto" w:fill="351B3D"/>
          </w:tcPr>
          <w:p>
            <w:pPr>
              <w:jc w:val="center"/>
              <w:ind w:right="300"/>
              <w:spacing w:after="0"/>
              <w:rPr>
                <w:sz w:val="20"/>
                <w:szCs w:val="20"/>
                <w:color w:val="auto"/>
              </w:rPr>
            </w:pPr>
            <w:r>
              <w:rPr>
                <w:rFonts w:ascii="Arial" w:cs="Arial" w:eastAsia="Arial" w:hAnsi="Arial"/>
                <w:sz w:val="16"/>
                <w:szCs w:val="16"/>
                <w:color w:val="FFFFFF"/>
              </w:rPr>
              <w:t>FEES EARNED OR</w:t>
            </w:r>
          </w:p>
        </w:tc>
        <w:tc>
          <w:tcPr>
            <w:tcW w:w="1680" w:type="dxa"/>
            <w:vAlign w:val="bottom"/>
            <w:vMerge w:val="restart"/>
            <w:shd w:val="clear" w:color="auto" w:fill="351B3D"/>
          </w:tcPr>
          <w:p>
            <w:pPr>
              <w:jc w:val="center"/>
              <w:ind w:left="280"/>
              <w:spacing w:after="0"/>
              <w:rPr>
                <w:sz w:val="20"/>
                <w:szCs w:val="20"/>
                <w:color w:val="auto"/>
              </w:rPr>
            </w:pPr>
            <w:r>
              <w:rPr>
                <w:rFonts w:ascii="Arial" w:cs="Arial" w:eastAsia="Arial" w:hAnsi="Arial"/>
                <w:sz w:val="16"/>
                <w:szCs w:val="16"/>
                <w:color w:val="FFFFFF"/>
              </w:rPr>
              <w:t>STOCK</w:t>
            </w:r>
          </w:p>
        </w:tc>
        <w:tc>
          <w:tcPr>
            <w:tcW w:w="300" w:type="dxa"/>
            <w:vAlign w:val="bottom"/>
            <w:shd w:val="clear" w:color="auto" w:fill="351B3D"/>
          </w:tcPr>
          <w:p>
            <w:pPr>
              <w:spacing w:after="0"/>
              <w:rPr>
                <w:sz w:val="20"/>
                <w:szCs w:val="20"/>
                <w:color w:val="auto"/>
              </w:rPr>
            </w:pPr>
          </w:p>
        </w:tc>
        <w:tc>
          <w:tcPr>
            <w:tcW w:w="1340" w:type="dxa"/>
            <w:vAlign w:val="bottom"/>
            <w:shd w:val="clear" w:color="auto" w:fill="351B3D"/>
          </w:tcPr>
          <w:p>
            <w:pPr>
              <w:jc w:val="center"/>
              <w:spacing w:after="0"/>
              <w:rPr>
                <w:sz w:val="20"/>
                <w:szCs w:val="20"/>
                <w:color w:val="auto"/>
              </w:rPr>
            </w:pPr>
            <w:r>
              <w:rPr>
                <w:rFonts w:ascii="Arial" w:cs="Arial" w:eastAsia="Arial" w:hAnsi="Arial"/>
                <w:sz w:val="16"/>
                <w:szCs w:val="16"/>
                <w:color w:val="FFFFFF"/>
              </w:rPr>
              <w:t>OPTION</w:t>
            </w:r>
          </w:p>
        </w:tc>
        <w:tc>
          <w:tcPr>
            <w:tcW w:w="1920" w:type="dxa"/>
            <w:vAlign w:val="bottom"/>
            <w:shd w:val="clear" w:color="auto" w:fill="351B3D"/>
          </w:tcPr>
          <w:p>
            <w:pPr>
              <w:jc w:val="center"/>
              <w:ind w:right="80"/>
              <w:spacing w:after="0"/>
              <w:rPr>
                <w:sz w:val="20"/>
                <w:szCs w:val="20"/>
                <w:color w:val="auto"/>
              </w:rPr>
            </w:pPr>
            <w:r>
              <w:rPr>
                <w:rFonts w:ascii="Arial" w:cs="Arial" w:eastAsia="Arial" w:hAnsi="Arial"/>
                <w:sz w:val="16"/>
                <w:szCs w:val="16"/>
                <w:color w:val="FFFFFF"/>
                <w:w w:val="98"/>
              </w:rPr>
              <w:t>ALL OTHER</w:t>
            </w:r>
          </w:p>
        </w:tc>
        <w:tc>
          <w:tcPr>
            <w:tcW w:w="1560" w:type="dxa"/>
            <w:vAlign w:val="bottom"/>
            <w:shd w:val="clear" w:color="auto" w:fill="351B3D"/>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680" w:type="dxa"/>
            <w:vAlign w:val="bottom"/>
            <w:vMerge w:val="restart"/>
            <w:shd w:val="clear" w:color="auto" w:fill="351B3D"/>
          </w:tcPr>
          <w:p>
            <w:pPr>
              <w:ind w:left="80"/>
              <w:spacing w:after="0"/>
              <w:rPr>
                <w:sz w:val="20"/>
                <w:szCs w:val="20"/>
                <w:color w:val="auto"/>
              </w:rPr>
            </w:pPr>
            <w:r>
              <w:rPr>
                <w:rFonts w:ascii="Arial" w:cs="Arial" w:eastAsia="Arial" w:hAnsi="Arial"/>
                <w:sz w:val="16"/>
                <w:szCs w:val="16"/>
                <w:color w:val="FFFFFF"/>
              </w:rPr>
              <w:t>NAME</w:t>
            </w:r>
          </w:p>
        </w:tc>
        <w:tc>
          <w:tcPr>
            <w:tcW w:w="400" w:type="dxa"/>
            <w:vAlign w:val="bottom"/>
            <w:shd w:val="clear" w:color="auto" w:fill="351B3D"/>
          </w:tcPr>
          <w:p>
            <w:pPr>
              <w:spacing w:after="0"/>
              <w:rPr>
                <w:sz w:val="8"/>
                <w:szCs w:val="8"/>
                <w:color w:val="auto"/>
              </w:rPr>
            </w:pPr>
          </w:p>
        </w:tc>
        <w:tc>
          <w:tcPr>
            <w:tcW w:w="2040" w:type="dxa"/>
            <w:vAlign w:val="bottom"/>
            <w:vMerge w:val="continue"/>
            <w:shd w:val="clear" w:color="auto" w:fill="351B3D"/>
          </w:tcPr>
          <w:p>
            <w:pPr>
              <w:spacing w:after="0"/>
              <w:rPr>
                <w:sz w:val="8"/>
                <w:szCs w:val="8"/>
                <w:color w:val="auto"/>
              </w:rPr>
            </w:pPr>
          </w:p>
        </w:tc>
        <w:tc>
          <w:tcPr>
            <w:tcW w:w="1680" w:type="dxa"/>
            <w:vAlign w:val="bottom"/>
            <w:vMerge w:val="continue"/>
            <w:shd w:val="clear" w:color="auto" w:fill="351B3D"/>
          </w:tcPr>
          <w:p>
            <w:pPr>
              <w:spacing w:after="0"/>
              <w:rPr>
                <w:sz w:val="8"/>
                <w:szCs w:val="8"/>
                <w:color w:val="auto"/>
              </w:rPr>
            </w:pPr>
          </w:p>
        </w:tc>
        <w:tc>
          <w:tcPr>
            <w:tcW w:w="300" w:type="dxa"/>
            <w:vAlign w:val="bottom"/>
            <w:shd w:val="clear" w:color="auto" w:fill="351B3D"/>
          </w:tcPr>
          <w:p>
            <w:pPr>
              <w:spacing w:after="0"/>
              <w:rPr>
                <w:sz w:val="8"/>
                <w:szCs w:val="8"/>
                <w:color w:val="auto"/>
              </w:rPr>
            </w:pPr>
          </w:p>
        </w:tc>
        <w:tc>
          <w:tcPr>
            <w:tcW w:w="1340" w:type="dxa"/>
            <w:vAlign w:val="bottom"/>
            <w:vMerge w:val="restart"/>
            <w:shd w:val="clear" w:color="auto" w:fill="351B3D"/>
          </w:tcPr>
          <w:p>
            <w:pPr>
              <w:jc w:val="center"/>
              <w:ind w:left="40"/>
              <w:spacing w:after="0"/>
              <w:rPr>
                <w:sz w:val="20"/>
                <w:szCs w:val="20"/>
                <w:color w:val="auto"/>
              </w:rPr>
            </w:pPr>
            <w:r>
              <w:rPr>
                <w:rFonts w:ascii="Arial" w:cs="Arial" w:eastAsia="Arial" w:hAnsi="Arial"/>
                <w:sz w:val="16"/>
                <w:szCs w:val="16"/>
                <w:color w:val="FFFFFF"/>
                <w:w w:val="94"/>
              </w:rPr>
              <w:t xml:space="preserve">    AWARDS    </w:t>
            </w:r>
          </w:p>
        </w:tc>
        <w:tc>
          <w:tcPr>
            <w:tcW w:w="1920" w:type="dxa"/>
            <w:vAlign w:val="bottom"/>
            <w:vMerge w:val="restart"/>
            <w:shd w:val="clear" w:color="auto" w:fill="351B3D"/>
          </w:tcPr>
          <w:p>
            <w:pPr>
              <w:jc w:val="center"/>
              <w:ind w:right="60"/>
              <w:spacing w:after="0"/>
              <w:rPr>
                <w:sz w:val="20"/>
                <w:szCs w:val="20"/>
                <w:color w:val="auto"/>
              </w:rPr>
            </w:pPr>
            <w:r>
              <w:rPr>
                <w:rFonts w:ascii="Arial" w:cs="Arial" w:eastAsia="Arial" w:hAnsi="Arial"/>
                <w:sz w:val="16"/>
                <w:szCs w:val="16"/>
                <w:color w:val="FFFFFF"/>
                <w:w w:val="96"/>
              </w:rPr>
              <w:t xml:space="preserve">    COMPENSATION    </w:t>
            </w:r>
          </w:p>
        </w:tc>
        <w:tc>
          <w:tcPr>
            <w:tcW w:w="156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rPr>
              <w:t xml:space="preserve">    TOTAL($)    </w:t>
            </w:r>
          </w:p>
        </w:tc>
        <w:tc>
          <w:tcPr>
            <w:tcW w:w="0" w:type="dxa"/>
            <w:vAlign w:val="bottom"/>
          </w:tcPr>
          <w:p>
            <w:pPr>
              <w:spacing w:after="0"/>
              <w:rPr>
                <w:sz w:val="1"/>
                <w:szCs w:val="1"/>
                <w:color w:val="auto"/>
              </w:rPr>
            </w:pPr>
          </w:p>
        </w:tc>
      </w:tr>
      <w:tr>
        <w:trPr>
          <w:trHeight w:val="94"/>
        </w:trPr>
        <w:tc>
          <w:tcPr>
            <w:tcW w:w="1680" w:type="dxa"/>
            <w:vAlign w:val="bottom"/>
            <w:vMerge w:val="continue"/>
            <w:shd w:val="clear" w:color="auto" w:fill="351B3D"/>
          </w:tcPr>
          <w:p>
            <w:pPr>
              <w:spacing w:after="0"/>
              <w:rPr>
                <w:sz w:val="8"/>
                <w:szCs w:val="8"/>
                <w:color w:val="auto"/>
              </w:rPr>
            </w:pPr>
          </w:p>
        </w:tc>
        <w:tc>
          <w:tcPr>
            <w:tcW w:w="400" w:type="dxa"/>
            <w:vAlign w:val="bottom"/>
            <w:vMerge w:val="restart"/>
            <w:shd w:val="clear" w:color="auto" w:fill="351B3D"/>
          </w:tcPr>
          <w:p>
            <w:pPr>
              <w:ind w:left="300"/>
              <w:spacing w:after="0"/>
              <w:rPr>
                <w:sz w:val="20"/>
                <w:szCs w:val="20"/>
                <w:color w:val="auto"/>
              </w:rPr>
            </w:pPr>
            <w:r>
              <w:rPr>
                <w:rFonts w:ascii="Arial" w:cs="Arial" w:eastAsia="Arial" w:hAnsi="Arial"/>
                <w:sz w:val="11"/>
                <w:szCs w:val="11"/>
                <w:color w:val="FFFFFF"/>
                <w:w w:val="72"/>
              </w:rPr>
              <w:t> </w:t>
            </w:r>
          </w:p>
        </w:tc>
        <w:tc>
          <w:tcPr>
            <w:tcW w:w="2040" w:type="dxa"/>
            <w:vAlign w:val="bottom"/>
            <w:vMerge w:val="restart"/>
            <w:shd w:val="clear" w:color="auto" w:fill="351B3D"/>
          </w:tcPr>
          <w:p>
            <w:pPr>
              <w:ind w:left="60"/>
              <w:spacing w:after="0"/>
              <w:rPr>
                <w:sz w:val="20"/>
                <w:szCs w:val="20"/>
                <w:color w:val="auto"/>
              </w:rPr>
            </w:pPr>
            <w:r>
              <w:rPr>
                <w:rFonts w:ascii="Arial" w:cs="Arial" w:eastAsia="Arial" w:hAnsi="Arial"/>
                <w:sz w:val="16"/>
                <w:szCs w:val="16"/>
                <w:color w:val="FFFFFF"/>
              </w:rPr>
              <w:t xml:space="preserve"> PAID IN CASH($) (1)    </w:t>
            </w:r>
          </w:p>
        </w:tc>
        <w:tc>
          <w:tcPr>
            <w:tcW w:w="1680" w:type="dxa"/>
            <w:vAlign w:val="bottom"/>
            <w:vMerge w:val="restart"/>
            <w:shd w:val="clear" w:color="auto" w:fill="351B3D"/>
          </w:tcPr>
          <w:p>
            <w:pPr>
              <w:ind w:left="280"/>
              <w:spacing w:after="0"/>
              <w:rPr>
                <w:sz w:val="20"/>
                <w:szCs w:val="20"/>
                <w:color w:val="auto"/>
              </w:rPr>
            </w:pPr>
            <w:r>
              <w:rPr>
                <w:rFonts w:ascii="Arial" w:cs="Arial" w:eastAsia="Arial" w:hAnsi="Arial"/>
                <w:sz w:val="16"/>
                <w:szCs w:val="16"/>
                <w:color w:val="FFFFFF"/>
                <w:w w:val="98"/>
              </w:rPr>
              <w:t xml:space="preserve">    AWARDS($) (2) </w:t>
            </w:r>
          </w:p>
        </w:tc>
        <w:tc>
          <w:tcPr>
            <w:tcW w:w="300" w:type="dxa"/>
            <w:vAlign w:val="bottom"/>
            <w:vMerge w:val="restart"/>
            <w:shd w:val="clear" w:color="auto" w:fill="351B3D"/>
          </w:tcPr>
          <w:p>
            <w:pPr>
              <w:ind w:left="60"/>
              <w:spacing w:after="0"/>
              <w:rPr>
                <w:sz w:val="20"/>
                <w:szCs w:val="20"/>
                <w:color w:val="auto"/>
              </w:rPr>
            </w:pPr>
            <w:r>
              <w:rPr>
                <w:rFonts w:ascii="Arial" w:cs="Arial" w:eastAsia="Arial" w:hAnsi="Arial"/>
                <w:sz w:val="16"/>
                <w:szCs w:val="16"/>
                <w:color w:val="FFFFFF"/>
              </w:rPr>
              <w:t> </w:t>
            </w:r>
          </w:p>
        </w:tc>
        <w:tc>
          <w:tcPr>
            <w:tcW w:w="1340" w:type="dxa"/>
            <w:vAlign w:val="bottom"/>
            <w:vMerge w:val="continue"/>
            <w:shd w:val="clear" w:color="auto" w:fill="351B3D"/>
          </w:tcPr>
          <w:p>
            <w:pPr>
              <w:spacing w:after="0"/>
              <w:rPr>
                <w:sz w:val="8"/>
                <w:szCs w:val="8"/>
                <w:color w:val="auto"/>
              </w:rPr>
            </w:pPr>
          </w:p>
        </w:tc>
        <w:tc>
          <w:tcPr>
            <w:tcW w:w="1920" w:type="dxa"/>
            <w:vAlign w:val="bottom"/>
            <w:vMerge w:val="continue"/>
            <w:shd w:val="clear" w:color="auto" w:fill="351B3D"/>
          </w:tcPr>
          <w:p>
            <w:pPr>
              <w:spacing w:after="0"/>
              <w:rPr>
                <w:sz w:val="8"/>
                <w:szCs w:val="8"/>
                <w:color w:val="auto"/>
              </w:rPr>
            </w:pPr>
          </w:p>
        </w:tc>
        <w:tc>
          <w:tcPr>
            <w:tcW w:w="1560" w:type="dxa"/>
            <w:vAlign w:val="bottom"/>
            <w:vMerge w:val="continue"/>
            <w:shd w:val="clear" w:color="auto" w:fill="351B3D"/>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680" w:type="dxa"/>
            <w:vAlign w:val="bottom"/>
            <w:shd w:val="clear" w:color="auto" w:fill="351B3D"/>
          </w:tcPr>
          <w:p>
            <w:pPr>
              <w:spacing w:after="0"/>
              <w:rPr>
                <w:sz w:val="10"/>
                <w:szCs w:val="10"/>
                <w:color w:val="auto"/>
              </w:rPr>
            </w:pPr>
          </w:p>
        </w:tc>
        <w:tc>
          <w:tcPr>
            <w:tcW w:w="400" w:type="dxa"/>
            <w:vAlign w:val="bottom"/>
            <w:vMerge w:val="continue"/>
            <w:shd w:val="clear" w:color="auto" w:fill="351B3D"/>
          </w:tcPr>
          <w:p>
            <w:pPr>
              <w:spacing w:after="0"/>
              <w:rPr>
                <w:sz w:val="10"/>
                <w:szCs w:val="10"/>
                <w:color w:val="auto"/>
              </w:rPr>
            </w:pPr>
          </w:p>
        </w:tc>
        <w:tc>
          <w:tcPr>
            <w:tcW w:w="2040" w:type="dxa"/>
            <w:vAlign w:val="bottom"/>
            <w:vMerge w:val="continue"/>
            <w:shd w:val="clear" w:color="auto" w:fill="351B3D"/>
          </w:tcPr>
          <w:p>
            <w:pPr>
              <w:spacing w:after="0"/>
              <w:rPr>
                <w:sz w:val="10"/>
                <w:szCs w:val="10"/>
                <w:color w:val="auto"/>
              </w:rPr>
            </w:pPr>
          </w:p>
        </w:tc>
        <w:tc>
          <w:tcPr>
            <w:tcW w:w="1680" w:type="dxa"/>
            <w:vAlign w:val="bottom"/>
            <w:vMerge w:val="continue"/>
            <w:shd w:val="clear" w:color="auto" w:fill="351B3D"/>
          </w:tcPr>
          <w:p>
            <w:pPr>
              <w:spacing w:after="0"/>
              <w:rPr>
                <w:sz w:val="10"/>
                <w:szCs w:val="10"/>
                <w:color w:val="auto"/>
              </w:rPr>
            </w:pPr>
          </w:p>
        </w:tc>
        <w:tc>
          <w:tcPr>
            <w:tcW w:w="300" w:type="dxa"/>
            <w:vAlign w:val="bottom"/>
            <w:vMerge w:val="continue"/>
            <w:shd w:val="clear" w:color="auto" w:fill="351B3D"/>
          </w:tcPr>
          <w:p>
            <w:pPr>
              <w:spacing w:after="0"/>
              <w:rPr>
                <w:sz w:val="10"/>
                <w:szCs w:val="10"/>
                <w:color w:val="auto"/>
              </w:rPr>
            </w:pPr>
          </w:p>
        </w:tc>
        <w:tc>
          <w:tcPr>
            <w:tcW w:w="134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rPr>
              <w:t>($) (3)</w:t>
            </w:r>
          </w:p>
        </w:tc>
        <w:tc>
          <w:tcPr>
            <w:tcW w:w="1920" w:type="dxa"/>
            <w:vAlign w:val="bottom"/>
            <w:vMerge w:val="restart"/>
            <w:shd w:val="clear" w:color="auto" w:fill="351B3D"/>
          </w:tcPr>
          <w:p>
            <w:pPr>
              <w:jc w:val="center"/>
              <w:ind w:right="80"/>
              <w:spacing w:after="0"/>
              <w:rPr>
                <w:sz w:val="20"/>
                <w:szCs w:val="20"/>
                <w:color w:val="auto"/>
              </w:rPr>
            </w:pPr>
            <w:r>
              <w:rPr>
                <w:rFonts w:ascii="Arial" w:cs="Arial" w:eastAsia="Arial" w:hAnsi="Arial"/>
                <w:sz w:val="16"/>
                <w:szCs w:val="16"/>
                <w:color w:val="FFFFFF"/>
              </w:rPr>
              <w:t>($)</w:t>
            </w:r>
          </w:p>
        </w:tc>
        <w:tc>
          <w:tcPr>
            <w:tcW w:w="1560" w:type="dxa"/>
            <w:vAlign w:val="bottom"/>
            <w:shd w:val="clear" w:color="auto" w:fill="351B3D"/>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680" w:type="dxa"/>
            <w:vAlign w:val="bottom"/>
            <w:tcBorders>
              <w:bottom w:val="single" w:sz="8" w:color="351B3D"/>
            </w:tcBorders>
            <w:shd w:val="clear" w:color="auto" w:fill="351B3D"/>
          </w:tcPr>
          <w:p>
            <w:pPr>
              <w:spacing w:after="0"/>
              <w:rPr>
                <w:sz w:val="9"/>
                <w:szCs w:val="9"/>
                <w:color w:val="auto"/>
              </w:rPr>
            </w:pPr>
          </w:p>
        </w:tc>
        <w:tc>
          <w:tcPr>
            <w:tcW w:w="400" w:type="dxa"/>
            <w:vAlign w:val="bottom"/>
            <w:tcBorders>
              <w:bottom w:val="single" w:sz="8" w:color="351B3D"/>
            </w:tcBorders>
            <w:shd w:val="clear" w:color="auto" w:fill="351B3D"/>
          </w:tcPr>
          <w:p>
            <w:pPr>
              <w:spacing w:after="0"/>
              <w:rPr>
                <w:sz w:val="9"/>
                <w:szCs w:val="9"/>
                <w:color w:val="auto"/>
              </w:rPr>
            </w:pPr>
          </w:p>
        </w:tc>
        <w:tc>
          <w:tcPr>
            <w:tcW w:w="2040" w:type="dxa"/>
            <w:vAlign w:val="bottom"/>
            <w:tcBorders>
              <w:bottom w:val="single" w:sz="8" w:color="351B3D"/>
            </w:tcBorders>
            <w:shd w:val="clear" w:color="auto" w:fill="351B3D"/>
          </w:tcPr>
          <w:p>
            <w:pPr>
              <w:spacing w:after="0"/>
              <w:rPr>
                <w:sz w:val="9"/>
                <w:szCs w:val="9"/>
                <w:color w:val="auto"/>
              </w:rPr>
            </w:pPr>
          </w:p>
        </w:tc>
        <w:tc>
          <w:tcPr>
            <w:tcW w:w="1680" w:type="dxa"/>
            <w:vAlign w:val="bottom"/>
            <w:tcBorders>
              <w:bottom w:val="single" w:sz="8" w:color="351B3D"/>
            </w:tcBorders>
            <w:shd w:val="clear" w:color="auto" w:fill="351B3D"/>
          </w:tcPr>
          <w:p>
            <w:pPr>
              <w:spacing w:after="0"/>
              <w:rPr>
                <w:sz w:val="9"/>
                <w:szCs w:val="9"/>
                <w:color w:val="auto"/>
              </w:rPr>
            </w:pPr>
          </w:p>
        </w:tc>
        <w:tc>
          <w:tcPr>
            <w:tcW w:w="300" w:type="dxa"/>
            <w:vAlign w:val="bottom"/>
            <w:tcBorders>
              <w:bottom w:val="single" w:sz="8" w:color="351B3D"/>
            </w:tcBorders>
            <w:shd w:val="clear" w:color="auto" w:fill="351B3D"/>
          </w:tcPr>
          <w:p>
            <w:pPr>
              <w:spacing w:after="0"/>
              <w:rPr>
                <w:sz w:val="9"/>
                <w:szCs w:val="9"/>
                <w:color w:val="auto"/>
              </w:rPr>
            </w:pPr>
          </w:p>
        </w:tc>
        <w:tc>
          <w:tcPr>
            <w:tcW w:w="1340" w:type="dxa"/>
            <w:vAlign w:val="bottom"/>
            <w:tcBorders>
              <w:bottom w:val="single" w:sz="8" w:color="351B3D"/>
            </w:tcBorders>
            <w:vMerge w:val="continue"/>
            <w:shd w:val="clear" w:color="auto" w:fill="351B3D"/>
          </w:tcPr>
          <w:p>
            <w:pPr>
              <w:spacing w:after="0"/>
              <w:rPr>
                <w:sz w:val="9"/>
                <w:szCs w:val="9"/>
                <w:color w:val="auto"/>
              </w:rPr>
            </w:pPr>
          </w:p>
        </w:tc>
        <w:tc>
          <w:tcPr>
            <w:tcW w:w="1920" w:type="dxa"/>
            <w:vAlign w:val="bottom"/>
            <w:tcBorders>
              <w:bottom w:val="single" w:sz="8" w:color="351B3D"/>
            </w:tcBorders>
            <w:vMerge w:val="continue"/>
            <w:shd w:val="clear" w:color="auto" w:fill="351B3D"/>
          </w:tcPr>
          <w:p>
            <w:pPr>
              <w:spacing w:after="0"/>
              <w:rPr>
                <w:sz w:val="9"/>
                <w:szCs w:val="9"/>
                <w:color w:val="auto"/>
              </w:rPr>
            </w:pPr>
          </w:p>
        </w:tc>
        <w:tc>
          <w:tcPr>
            <w:tcW w:w="1560" w:type="dxa"/>
            <w:vAlign w:val="bottom"/>
            <w:tcBorders>
              <w:bottom w:val="single" w:sz="8" w:color="351B3D"/>
            </w:tcBorders>
            <w:shd w:val="clear" w:color="auto" w:fill="351B3D"/>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680" w:type="dxa"/>
            <w:vAlign w:val="bottom"/>
            <w:tcBorders>
              <w:bottom w:val="single" w:sz="8" w:color="D6D1D8"/>
            </w:tcBorders>
            <w:shd w:val="clear" w:color="auto" w:fill="D6D1D8"/>
          </w:tcPr>
          <w:p>
            <w:pPr>
              <w:ind w:left="80"/>
              <w:spacing w:after="0"/>
              <w:rPr>
                <w:sz w:val="20"/>
                <w:szCs w:val="20"/>
                <w:color w:val="auto"/>
              </w:rPr>
            </w:pPr>
            <w:r>
              <w:rPr>
                <w:rFonts w:ascii="Arial" w:cs="Arial" w:eastAsia="Arial" w:hAnsi="Arial"/>
                <w:sz w:val="16"/>
                <w:szCs w:val="16"/>
                <w:color w:val="auto"/>
              </w:rPr>
              <w:t>Betsy S. Atkins</w:t>
            </w:r>
          </w:p>
        </w:tc>
        <w:tc>
          <w:tcPr>
            <w:tcW w:w="400" w:type="dxa"/>
            <w:vAlign w:val="bottom"/>
            <w:tcBorders>
              <w:bottom w:val="single" w:sz="8" w:color="D6D1D8"/>
            </w:tcBorders>
            <w:shd w:val="clear" w:color="auto" w:fill="D6D1D8"/>
          </w:tcPr>
          <w:p>
            <w:pPr>
              <w:spacing w:after="0"/>
              <w:rPr>
                <w:sz w:val="24"/>
                <w:szCs w:val="24"/>
                <w:color w:val="auto"/>
              </w:rPr>
            </w:pPr>
          </w:p>
        </w:tc>
        <w:tc>
          <w:tcPr>
            <w:tcW w:w="2040" w:type="dxa"/>
            <w:vAlign w:val="bottom"/>
            <w:tcBorders>
              <w:bottom w:val="single" w:sz="8" w:color="D6D1D8"/>
            </w:tcBorders>
            <w:shd w:val="clear" w:color="auto" w:fill="D6D1D8"/>
          </w:tcPr>
          <w:p>
            <w:pPr>
              <w:jc w:val="center"/>
              <w:ind w:right="320"/>
              <w:spacing w:after="0"/>
              <w:rPr>
                <w:sz w:val="20"/>
                <w:szCs w:val="20"/>
                <w:color w:val="auto"/>
              </w:rPr>
            </w:pPr>
            <w:r>
              <w:rPr>
                <w:rFonts w:ascii="Arial" w:cs="Arial" w:eastAsia="Arial" w:hAnsi="Arial"/>
                <w:sz w:val="16"/>
                <w:szCs w:val="16"/>
                <w:color w:val="auto"/>
              </w:rPr>
              <w:t>$136,000</w:t>
            </w:r>
          </w:p>
        </w:tc>
        <w:tc>
          <w:tcPr>
            <w:tcW w:w="1680" w:type="dxa"/>
            <w:vAlign w:val="bottom"/>
            <w:tcBorders>
              <w:bottom w:val="single" w:sz="8" w:color="D6D1D8"/>
            </w:tcBorders>
            <w:shd w:val="clear" w:color="auto" w:fill="D6D1D8"/>
          </w:tcPr>
          <w:p>
            <w:pPr>
              <w:jc w:val="center"/>
              <w:ind w:left="280"/>
              <w:spacing w:after="0"/>
              <w:rPr>
                <w:sz w:val="20"/>
                <w:szCs w:val="20"/>
                <w:color w:val="auto"/>
              </w:rPr>
            </w:pPr>
            <w:r>
              <w:rPr>
                <w:rFonts w:ascii="Arial" w:cs="Arial" w:eastAsia="Arial" w:hAnsi="Arial"/>
                <w:sz w:val="16"/>
                <w:szCs w:val="16"/>
                <w:color w:val="auto"/>
              </w:rPr>
              <w:t>$250,000</w:t>
            </w:r>
          </w:p>
        </w:tc>
        <w:tc>
          <w:tcPr>
            <w:tcW w:w="300" w:type="dxa"/>
            <w:vAlign w:val="bottom"/>
            <w:tcBorders>
              <w:bottom w:val="single" w:sz="8" w:color="D6D1D8"/>
            </w:tcBorders>
            <w:shd w:val="clear" w:color="auto" w:fill="D6D1D8"/>
          </w:tcPr>
          <w:p>
            <w:pPr>
              <w:spacing w:after="0"/>
              <w:rPr>
                <w:sz w:val="24"/>
                <w:szCs w:val="24"/>
                <w:color w:val="auto"/>
              </w:rPr>
            </w:pPr>
          </w:p>
        </w:tc>
        <w:tc>
          <w:tcPr>
            <w:tcW w:w="1340" w:type="dxa"/>
            <w:vAlign w:val="bottom"/>
            <w:tcBorders>
              <w:bottom w:val="single" w:sz="8" w:color="D6D1D8"/>
            </w:tcBorders>
            <w:shd w:val="clear" w:color="auto" w:fill="D6D1D8"/>
          </w:tcPr>
          <w:p>
            <w:pPr>
              <w:jc w:val="center"/>
              <w:spacing w:after="0"/>
              <w:rPr>
                <w:sz w:val="20"/>
                <w:szCs w:val="20"/>
                <w:color w:val="auto"/>
              </w:rPr>
            </w:pPr>
            <w:r>
              <w:rPr>
                <w:rFonts w:ascii="Arial" w:cs="Arial" w:eastAsia="Arial" w:hAnsi="Arial"/>
                <w:sz w:val="16"/>
                <w:szCs w:val="16"/>
                <w:color w:val="auto"/>
              </w:rPr>
              <w:t>$ -</w:t>
            </w:r>
          </w:p>
        </w:tc>
        <w:tc>
          <w:tcPr>
            <w:tcW w:w="1920" w:type="dxa"/>
            <w:vAlign w:val="bottom"/>
            <w:tcBorders>
              <w:bottom w:val="single" w:sz="8" w:color="D6D1D8"/>
            </w:tcBorders>
            <w:shd w:val="clear" w:color="auto" w:fill="D6D1D8"/>
          </w:tcPr>
          <w:p>
            <w:pPr>
              <w:jc w:val="center"/>
              <w:ind w:right="80"/>
              <w:spacing w:after="0"/>
              <w:rPr>
                <w:sz w:val="20"/>
                <w:szCs w:val="20"/>
                <w:color w:val="auto"/>
              </w:rPr>
            </w:pPr>
            <w:r>
              <w:rPr>
                <w:rFonts w:ascii="Arial" w:cs="Arial" w:eastAsia="Arial" w:hAnsi="Arial"/>
                <w:sz w:val="16"/>
                <w:szCs w:val="16"/>
                <w:color w:val="auto"/>
              </w:rPr>
              <w:t>$ -</w:t>
            </w:r>
          </w:p>
        </w:tc>
        <w:tc>
          <w:tcPr>
            <w:tcW w:w="1560" w:type="dxa"/>
            <w:vAlign w:val="bottom"/>
            <w:tcBorders>
              <w:bottom w:val="single" w:sz="8" w:color="D6D1D8"/>
            </w:tcBorders>
            <w:shd w:val="clear" w:color="auto" w:fill="D6D1D8"/>
          </w:tcPr>
          <w:p>
            <w:pPr>
              <w:jc w:val="center"/>
              <w:ind w:right="40"/>
              <w:spacing w:after="0"/>
              <w:rPr>
                <w:sz w:val="20"/>
                <w:szCs w:val="20"/>
                <w:color w:val="auto"/>
              </w:rPr>
            </w:pPr>
            <w:r>
              <w:rPr>
                <w:rFonts w:ascii="Arial" w:cs="Arial" w:eastAsia="Arial" w:hAnsi="Arial"/>
                <w:sz w:val="16"/>
                <w:szCs w:val="16"/>
                <w:color w:val="auto"/>
              </w:rPr>
              <w:t>$386,000</w:t>
            </w:r>
          </w:p>
        </w:tc>
        <w:tc>
          <w:tcPr>
            <w:tcW w:w="0" w:type="dxa"/>
            <w:vAlign w:val="bottom"/>
          </w:tcPr>
          <w:p>
            <w:pPr>
              <w:spacing w:after="0"/>
              <w:rPr>
                <w:sz w:val="1"/>
                <w:szCs w:val="1"/>
                <w:color w:val="auto"/>
              </w:rPr>
            </w:pPr>
          </w:p>
        </w:tc>
      </w:tr>
      <w:tr>
        <w:trPr>
          <w:trHeight w:val="264"/>
        </w:trPr>
        <w:tc>
          <w:tcPr>
            <w:tcW w:w="1680" w:type="dxa"/>
            <w:vAlign w:val="bottom"/>
          </w:tcPr>
          <w:p>
            <w:pPr>
              <w:ind w:left="80"/>
              <w:spacing w:after="0"/>
              <w:rPr>
                <w:sz w:val="20"/>
                <w:szCs w:val="20"/>
                <w:color w:val="auto"/>
              </w:rPr>
            </w:pPr>
            <w:r>
              <w:rPr>
                <w:rFonts w:ascii="Arial" w:cs="Arial" w:eastAsia="Arial" w:hAnsi="Arial"/>
                <w:sz w:val="16"/>
                <w:szCs w:val="16"/>
                <w:color w:val="auto"/>
              </w:rPr>
              <w:t>Richard J. Byrne</w:t>
            </w:r>
          </w:p>
        </w:tc>
        <w:tc>
          <w:tcPr>
            <w:tcW w:w="400" w:type="dxa"/>
            <w:vAlign w:val="bottom"/>
          </w:tcPr>
          <w:p>
            <w:pPr>
              <w:spacing w:after="0"/>
              <w:rPr>
                <w:sz w:val="22"/>
                <w:szCs w:val="22"/>
                <w:color w:val="auto"/>
              </w:rPr>
            </w:pPr>
          </w:p>
        </w:tc>
        <w:tc>
          <w:tcPr>
            <w:tcW w:w="2040" w:type="dxa"/>
            <w:vAlign w:val="bottom"/>
          </w:tcPr>
          <w:p>
            <w:pPr>
              <w:jc w:val="center"/>
              <w:ind w:right="320"/>
              <w:spacing w:after="0"/>
              <w:rPr>
                <w:sz w:val="20"/>
                <w:szCs w:val="20"/>
                <w:color w:val="auto"/>
              </w:rPr>
            </w:pPr>
            <w:r>
              <w:rPr>
                <w:rFonts w:ascii="Arial" w:cs="Arial" w:eastAsia="Arial" w:hAnsi="Arial"/>
                <w:sz w:val="16"/>
                <w:szCs w:val="16"/>
                <w:color w:val="auto"/>
              </w:rPr>
              <w:t>$127,000</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$250,000</w:t>
            </w:r>
          </w:p>
        </w:tc>
        <w:tc>
          <w:tcPr>
            <w:tcW w:w="3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 -</w:t>
            </w:r>
          </w:p>
        </w:tc>
        <w:tc>
          <w:tcPr>
            <w:tcW w:w="1920" w:type="dxa"/>
            <w:vAlign w:val="bottom"/>
          </w:tcPr>
          <w:p>
            <w:pPr>
              <w:jc w:val="center"/>
              <w:ind w:right="80"/>
              <w:spacing w:after="0"/>
              <w:rPr>
                <w:sz w:val="20"/>
                <w:szCs w:val="20"/>
                <w:color w:val="auto"/>
              </w:rPr>
            </w:pPr>
            <w:r>
              <w:rPr>
                <w:rFonts w:ascii="Arial" w:cs="Arial" w:eastAsia="Arial" w:hAnsi="Arial"/>
                <w:sz w:val="16"/>
                <w:szCs w:val="16"/>
                <w:color w:val="auto"/>
              </w:rPr>
              <w:t>$ -</w:t>
            </w:r>
          </w:p>
        </w:tc>
        <w:tc>
          <w:tcPr>
            <w:tcW w:w="1560" w:type="dxa"/>
            <w:vAlign w:val="bottom"/>
          </w:tcPr>
          <w:p>
            <w:pPr>
              <w:jc w:val="center"/>
              <w:ind w:right="40"/>
              <w:spacing w:after="0"/>
              <w:rPr>
                <w:sz w:val="20"/>
                <w:szCs w:val="20"/>
                <w:color w:val="auto"/>
              </w:rPr>
            </w:pPr>
            <w:r>
              <w:rPr>
                <w:rFonts w:ascii="Arial" w:cs="Arial" w:eastAsia="Arial" w:hAnsi="Arial"/>
                <w:sz w:val="16"/>
                <w:szCs w:val="16"/>
                <w:color w:val="auto"/>
              </w:rPr>
              <w:t>$377,000</w:t>
            </w:r>
          </w:p>
        </w:tc>
        <w:tc>
          <w:tcPr>
            <w:tcW w:w="0" w:type="dxa"/>
            <w:vAlign w:val="bottom"/>
          </w:tcPr>
          <w:p>
            <w:pPr>
              <w:spacing w:after="0"/>
              <w:rPr>
                <w:sz w:val="1"/>
                <w:szCs w:val="1"/>
                <w:color w:val="auto"/>
              </w:rPr>
            </w:pPr>
          </w:p>
        </w:tc>
      </w:tr>
      <w:tr>
        <w:trPr>
          <w:trHeight w:val="57"/>
        </w:trPr>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1680" w:type="dxa"/>
            <w:vAlign w:val="bottom"/>
            <w:tcBorders>
              <w:bottom w:val="single" w:sz="8" w:color="D6D1D8"/>
            </w:tcBorders>
            <w:shd w:val="clear" w:color="auto" w:fill="D6D1D8"/>
          </w:tcPr>
          <w:p>
            <w:pPr>
              <w:ind w:left="80"/>
              <w:spacing w:after="0"/>
              <w:rPr>
                <w:sz w:val="20"/>
                <w:szCs w:val="20"/>
                <w:color w:val="auto"/>
              </w:rPr>
            </w:pPr>
            <w:r>
              <w:rPr>
                <w:rFonts w:ascii="Arial" w:cs="Arial" w:eastAsia="Arial" w:hAnsi="Arial"/>
                <w:sz w:val="16"/>
                <w:szCs w:val="16"/>
                <w:color w:val="auto"/>
              </w:rPr>
              <w:t>Paul Liu</w:t>
            </w:r>
          </w:p>
        </w:tc>
        <w:tc>
          <w:tcPr>
            <w:tcW w:w="400" w:type="dxa"/>
            <w:vAlign w:val="bottom"/>
            <w:tcBorders>
              <w:bottom w:val="single" w:sz="8" w:color="D6D1D8"/>
            </w:tcBorders>
            <w:shd w:val="clear" w:color="auto" w:fill="D6D1D8"/>
          </w:tcPr>
          <w:p>
            <w:pPr>
              <w:spacing w:after="0"/>
              <w:rPr>
                <w:sz w:val="24"/>
                <w:szCs w:val="24"/>
                <w:color w:val="auto"/>
              </w:rPr>
            </w:pPr>
          </w:p>
        </w:tc>
        <w:tc>
          <w:tcPr>
            <w:tcW w:w="2040" w:type="dxa"/>
            <w:vAlign w:val="bottom"/>
            <w:tcBorders>
              <w:bottom w:val="single" w:sz="8" w:color="D6D1D8"/>
            </w:tcBorders>
            <w:shd w:val="clear" w:color="auto" w:fill="D6D1D8"/>
          </w:tcPr>
          <w:p>
            <w:pPr>
              <w:jc w:val="center"/>
              <w:ind w:right="320"/>
              <w:spacing w:after="0"/>
              <w:rPr>
                <w:sz w:val="20"/>
                <w:szCs w:val="20"/>
                <w:color w:val="auto"/>
              </w:rPr>
            </w:pPr>
            <w:r>
              <w:rPr>
                <w:rFonts w:ascii="Arial" w:cs="Arial" w:eastAsia="Arial" w:hAnsi="Arial"/>
                <w:sz w:val="16"/>
                <w:szCs w:val="16"/>
                <w:color w:val="auto"/>
                <w:w w:val="95"/>
              </w:rPr>
              <w:t>$ 115,000</w:t>
            </w:r>
          </w:p>
        </w:tc>
        <w:tc>
          <w:tcPr>
            <w:tcW w:w="1680" w:type="dxa"/>
            <w:vAlign w:val="bottom"/>
            <w:tcBorders>
              <w:bottom w:val="single" w:sz="8" w:color="D6D1D8"/>
            </w:tcBorders>
            <w:shd w:val="clear" w:color="auto" w:fill="D6D1D8"/>
          </w:tcPr>
          <w:p>
            <w:pPr>
              <w:jc w:val="center"/>
              <w:ind w:left="280"/>
              <w:spacing w:after="0"/>
              <w:rPr>
                <w:sz w:val="20"/>
                <w:szCs w:val="20"/>
                <w:color w:val="auto"/>
              </w:rPr>
            </w:pPr>
            <w:r>
              <w:rPr>
                <w:rFonts w:ascii="Arial" w:cs="Arial" w:eastAsia="Arial" w:hAnsi="Arial"/>
                <w:sz w:val="16"/>
                <w:szCs w:val="16"/>
                <w:color w:val="auto"/>
              </w:rPr>
              <w:t>$250,000</w:t>
            </w:r>
          </w:p>
        </w:tc>
        <w:tc>
          <w:tcPr>
            <w:tcW w:w="300" w:type="dxa"/>
            <w:vAlign w:val="bottom"/>
            <w:tcBorders>
              <w:bottom w:val="single" w:sz="8" w:color="D6D1D8"/>
            </w:tcBorders>
            <w:shd w:val="clear" w:color="auto" w:fill="D6D1D8"/>
          </w:tcPr>
          <w:p>
            <w:pPr>
              <w:spacing w:after="0"/>
              <w:rPr>
                <w:sz w:val="24"/>
                <w:szCs w:val="24"/>
                <w:color w:val="auto"/>
              </w:rPr>
            </w:pPr>
          </w:p>
        </w:tc>
        <w:tc>
          <w:tcPr>
            <w:tcW w:w="1340" w:type="dxa"/>
            <w:vAlign w:val="bottom"/>
            <w:tcBorders>
              <w:bottom w:val="single" w:sz="8" w:color="D6D1D8"/>
            </w:tcBorders>
            <w:shd w:val="clear" w:color="auto" w:fill="D6D1D8"/>
          </w:tcPr>
          <w:p>
            <w:pPr>
              <w:jc w:val="center"/>
              <w:spacing w:after="0"/>
              <w:rPr>
                <w:sz w:val="20"/>
                <w:szCs w:val="20"/>
                <w:color w:val="auto"/>
              </w:rPr>
            </w:pPr>
            <w:r>
              <w:rPr>
                <w:rFonts w:ascii="Arial" w:cs="Arial" w:eastAsia="Arial" w:hAnsi="Arial"/>
                <w:sz w:val="16"/>
                <w:szCs w:val="16"/>
                <w:color w:val="auto"/>
              </w:rPr>
              <w:t>$ -</w:t>
            </w:r>
          </w:p>
        </w:tc>
        <w:tc>
          <w:tcPr>
            <w:tcW w:w="1920" w:type="dxa"/>
            <w:vAlign w:val="bottom"/>
            <w:tcBorders>
              <w:bottom w:val="single" w:sz="8" w:color="D6D1D8"/>
            </w:tcBorders>
            <w:shd w:val="clear" w:color="auto" w:fill="D6D1D8"/>
          </w:tcPr>
          <w:p>
            <w:pPr>
              <w:jc w:val="center"/>
              <w:ind w:right="80"/>
              <w:spacing w:after="0"/>
              <w:rPr>
                <w:sz w:val="20"/>
                <w:szCs w:val="20"/>
                <w:color w:val="auto"/>
              </w:rPr>
            </w:pPr>
            <w:r>
              <w:rPr>
                <w:rFonts w:ascii="Arial" w:cs="Arial" w:eastAsia="Arial" w:hAnsi="Arial"/>
                <w:sz w:val="16"/>
                <w:szCs w:val="16"/>
                <w:color w:val="auto"/>
              </w:rPr>
              <w:t>$ -</w:t>
            </w:r>
          </w:p>
        </w:tc>
        <w:tc>
          <w:tcPr>
            <w:tcW w:w="1560" w:type="dxa"/>
            <w:vAlign w:val="bottom"/>
            <w:tcBorders>
              <w:bottom w:val="single" w:sz="8" w:color="D6D1D8"/>
            </w:tcBorders>
            <w:shd w:val="clear" w:color="auto" w:fill="D6D1D8"/>
          </w:tcPr>
          <w:p>
            <w:pPr>
              <w:jc w:val="center"/>
              <w:ind w:right="40"/>
              <w:spacing w:after="0"/>
              <w:rPr>
                <w:sz w:val="20"/>
                <w:szCs w:val="20"/>
                <w:color w:val="auto"/>
              </w:rPr>
            </w:pPr>
            <w:r>
              <w:rPr>
                <w:rFonts w:ascii="Arial" w:cs="Arial" w:eastAsia="Arial" w:hAnsi="Arial"/>
                <w:sz w:val="16"/>
                <w:szCs w:val="16"/>
                <w:color w:val="auto"/>
              </w:rPr>
              <w:t>$365,000</w:t>
            </w:r>
          </w:p>
        </w:tc>
        <w:tc>
          <w:tcPr>
            <w:tcW w:w="0" w:type="dxa"/>
            <w:vAlign w:val="bottom"/>
          </w:tcPr>
          <w:p>
            <w:pPr>
              <w:spacing w:after="0"/>
              <w:rPr>
                <w:sz w:val="1"/>
                <w:szCs w:val="1"/>
                <w:color w:val="auto"/>
              </w:rPr>
            </w:pPr>
          </w:p>
        </w:tc>
      </w:tr>
      <w:tr>
        <w:trPr>
          <w:trHeight w:val="264"/>
        </w:trPr>
        <w:tc>
          <w:tcPr>
            <w:tcW w:w="1680" w:type="dxa"/>
            <w:vAlign w:val="bottom"/>
          </w:tcPr>
          <w:p>
            <w:pPr>
              <w:ind w:left="80"/>
              <w:spacing w:after="0"/>
              <w:rPr>
                <w:sz w:val="20"/>
                <w:szCs w:val="20"/>
                <w:color w:val="auto"/>
              </w:rPr>
            </w:pPr>
            <w:r>
              <w:rPr>
                <w:rFonts w:ascii="Arial" w:cs="Arial" w:eastAsia="Arial" w:hAnsi="Arial"/>
                <w:sz w:val="16"/>
                <w:szCs w:val="16"/>
                <w:color w:val="auto"/>
              </w:rPr>
              <w:t>Patricia Mulroy</w:t>
            </w:r>
          </w:p>
        </w:tc>
        <w:tc>
          <w:tcPr>
            <w:tcW w:w="400" w:type="dxa"/>
            <w:vAlign w:val="bottom"/>
          </w:tcPr>
          <w:p>
            <w:pPr>
              <w:spacing w:after="0"/>
              <w:rPr>
                <w:sz w:val="22"/>
                <w:szCs w:val="22"/>
                <w:color w:val="auto"/>
              </w:rPr>
            </w:pPr>
          </w:p>
        </w:tc>
        <w:tc>
          <w:tcPr>
            <w:tcW w:w="2040" w:type="dxa"/>
            <w:vAlign w:val="bottom"/>
          </w:tcPr>
          <w:p>
            <w:pPr>
              <w:jc w:val="center"/>
              <w:ind w:right="320"/>
              <w:spacing w:after="0"/>
              <w:rPr>
                <w:sz w:val="20"/>
                <w:szCs w:val="20"/>
                <w:color w:val="auto"/>
              </w:rPr>
            </w:pPr>
            <w:r>
              <w:rPr>
                <w:rFonts w:ascii="Arial" w:cs="Arial" w:eastAsia="Arial" w:hAnsi="Arial"/>
                <w:sz w:val="16"/>
                <w:szCs w:val="16"/>
                <w:color w:val="auto"/>
              </w:rPr>
              <w:t>$214,000</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$250,000</w:t>
            </w:r>
          </w:p>
        </w:tc>
        <w:tc>
          <w:tcPr>
            <w:tcW w:w="3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 -</w:t>
            </w:r>
          </w:p>
        </w:tc>
        <w:tc>
          <w:tcPr>
            <w:tcW w:w="1920" w:type="dxa"/>
            <w:vAlign w:val="bottom"/>
          </w:tcPr>
          <w:p>
            <w:pPr>
              <w:jc w:val="center"/>
              <w:ind w:right="80"/>
              <w:spacing w:after="0"/>
              <w:rPr>
                <w:sz w:val="20"/>
                <w:szCs w:val="20"/>
                <w:color w:val="auto"/>
              </w:rPr>
            </w:pPr>
            <w:r>
              <w:rPr>
                <w:rFonts w:ascii="Arial" w:cs="Arial" w:eastAsia="Arial" w:hAnsi="Arial"/>
                <w:sz w:val="16"/>
                <w:szCs w:val="16"/>
                <w:color w:val="auto"/>
              </w:rPr>
              <w:t>$ -</w:t>
            </w:r>
          </w:p>
        </w:tc>
        <w:tc>
          <w:tcPr>
            <w:tcW w:w="1560" w:type="dxa"/>
            <w:vAlign w:val="bottom"/>
          </w:tcPr>
          <w:p>
            <w:pPr>
              <w:jc w:val="center"/>
              <w:ind w:right="40"/>
              <w:spacing w:after="0"/>
              <w:rPr>
                <w:sz w:val="20"/>
                <w:szCs w:val="20"/>
                <w:color w:val="auto"/>
              </w:rPr>
            </w:pPr>
            <w:r>
              <w:rPr>
                <w:rFonts w:ascii="Arial" w:cs="Arial" w:eastAsia="Arial" w:hAnsi="Arial"/>
                <w:sz w:val="16"/>
                <w:szCs w:val="16"/>
                <w:color w:val="auto"/>
              </w:rPr>
              <w:t>$464,000</w:t>
            </w:r>
          </w:p>
        </w:tc>
        <w:tc>
          <w:tcPr>
            <w:tcW w:w="0" w:type="dxa"/>
            <w:vAlign w:val="bottom"/>
          </w:tcPr>
          <w:p>
            <w:pPr>
              <w:spacing w:after="0"/>
              <w:rPr>
                <w:sz w:val="1"/>
                <w:szCs w:val="1"/>
                <w:color w:val="auto"/>
              </w:rPr>
            </w:pPr>
          </w:p>
        </w:tc>
      </w:tr>
      <w:tr>
        <w:trPr>
          <w:trHeight w:val="57"/>
        </w:trPr>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1680" w:type="dxa"/>
            <w:vAlign w:val="bottom"/>
            <w:tcBorders>
              <w:bottom w:val="single" w:sz="8" w:color="D6D1D8"/>
            </w:tcBorders>
            <w:shd w:val="clear" w:color="auto" w:fill="D6D1D8"/>
          </w:tcPr>
          <w:p>
            <w:pPr>
              <w:ind w:left="80"/>
              <w:spacing w:after="0"/>
              <w:rPr>
                <w:sz w:val="20"/>
                <w:szCs w:val="20"/>
                <w:color w:val="auto"/>
              </w:rPr>
            </w:pPr>
            <w:r>
              <w:rPr>
                <w:rFonts w:ascii="Arial" w:cs="Arial" w:eastAsia="Arial" w:hAnsi="Arial"/>
                <w:sz w:val="16"/>
                <w:szCs w:val="16"/>
                <w:color w:val="auto"/>
              </w:rPr>
              <w:t>Margaret J. Myers</w:t>
            </w:r>
          </w:p>
        </w:tc>
        <w:tc>
          <w:tcPr>
            <w:tcW w:w="400" w:type="dxa"/>
            <w:vAlign w:val="bottom"/>
            <w:tcBorders>
              <w:bottom w:val="single" w:sz="8" w:color="D6D1D8"/>
            </w:tcBorders>
            <w:shd w:val="clear" w:color="auto" w:fill="D6D1D8"/>
          </w:tcPr>
          <w:p>
            <w:pPr>
              <w:spacing w:after="0"/>
              <w:rPr>
                <w:sz w:val="24"/>
                <w:szCs w:val="24"/>
                <w:color w:val="auto"/>
              </w:rPr>
            </w:pPr>
          </w:p>
        </w:tc>
        <w:tc>
          <w:tcPr>
            <w:tcW w:w="2040" w:type="dxa"/>
            <w:vAlign w:val="bottom"/>
            <w:tcBorders>
              <w:bottom w:val="single" w:sz="8" w:color="D6D1D8"/>
            </w:tcBorders>
            <w:shd w:val="clear" w:color="auto" w:fill="D6D1D8"/>
          </w:tcPr>
          <w:p>
            <w:pPr>
              <w:jc w:val="center"/>
              <w:ind w:right="320"/>
              <w:spacing w:after="0"/>
              <w:rPr>
                <w:sz w:val="20"/>
                <w:szCs w:val="20"/>
                <w:color w:val="auto"/>
              </w:rPr>
            </w:pPr>
            <w:r>
              <w:rPr>
                <w:rFonts w:ascii="Arial" w:cs="Arial" w:eastAsia="Arial" w:hAnsi="Arial"/>
                <w:sz w:val="16"/>
                <w:szCs w:val="16"/>
                <w:color w:val="auto"/>
              </w:rPr>
              <w:t>$124,000</w:t>
            </w:r>
          </w:p>
        </w:tc>
        <w:tc>
          <w:tcPr>
            <w:tcW w:w="1680" w:type="dxa"/>
            <w:vAlign w:val="bottom"/>
            <w:tcBorders>
              <w:bottom w:val="single" w:sz="8" w:color="D6D1D8"/>
            </w:tcBorders>
            <w:shd w:val="clear" w:color="auto" w:fill="D6D1D8"/>
          </w:tcPr>
          <w:p>
            <w:pPr>
              <w:jc w:val="center"/>
              <w:ind w:left="280"/>
              <w:spacing w:after="0"/>
              <w:rPr>
                <w:sz w:val="20"/>
                <w:szCs w:val="20"/>
                <w:color w:val="auto"/>
              </w:rPr>
            </w:pPr>
            <w:r>
              <w:rPr>
                <w:rFonts w:ascii="Arial" w:cs="Arial" w:eastAsia="Arial" w:hAnsi="Arial"/>
                <w:sz w:val="16"/>
                <w:szCs w:val="16"/>
                <w:color w:val="auto"/>
              </w:rPr>
              <w:t>$250,000</w:t>
            </w:r>
          </w:p>
        </w:tc>
        <w:tc>
          <w:tcPr>
            <w:tcW w:w="300" w:type="dxa"/>
            <w:vAlign w:val="bottom"/>
            <w:tcBorders>
              <w:bottom w:val="single" w:sz="8" w:color="D6D1D8"/>
            </w:tcBorders>
            <w:shd w:val="clear" w:color="auto" w:fill="D6D1D8"/>
          </w:tcPr>
          <w:p>
            <w:pPr>
              <w:spacing w:after="0"/>
              <w:rPr>
                <w:sz w:val="24"/>
                <w:szCs w:val="24"/>
                <w:color w:val="auto"/>
              </w:rPr>
            </w:pPr>
          </w:p>
        </w:tc>
        <w:tc>
          <w:tcPr>
            <w:tcW w:w="1340" w:type="dxa"/>
            <w:vAlign w:val="bottom"/>
            <w:tcBorders>
              <w:bottom w:val="single" w:sz="8" w:color="D6D1D8"/>
            </w:tcBorders>
            <w:shd w:val="clear" w:color="auto" w:fill="D6D1D8"/>
          </w:tcPr>
          <w:p>
            <w:pPr>
              <w:jc w:val="center"/>
              <w:spacing w:after="0"/>
              <w:rPr>
                <w:sz w:val="20"/>
                <w:szCs w:val="20"/>
                <w:color w:val="auto"/>
              </w:rPr>
            </w:pPr>
            <w:r>
              <w:rPr>
                <w:rFonts w:ascii="Arial" w:cs="Arial" w:eastAsia="Arial" w:hAnsi="Arial"/>
                <w:sz w:val="16"/>
                <w:szCs w:val="16"/>
                <w:color w:val="auto"/>
              </w:rPr>
              <w:t>$ -</w:t>
            </w:r>
          </w:p>
        </w:tc>
        <w:tc>
          <w:tcPr>
            <w:tcW w:w="1920" w:type="dxa"/>
            <w:vAlign w:val="bottom"/>
            <w:tcBorders>
              <w:bottom w:val="single" w:sz="8" w:color="D6D1D8"/>
            </w:tcBorders>
            <w:shd w:val="clear" w:color="auto" w:fill="D6D1D8"/>
          </w:tcPr>
          <w:p>
            <w:pPr>
              <w:jc w:val="center"/>
              <w:ind w:right="80"/>
              <w:spacing w:after="0"/>
              <w:rPr>
                <w:sz w:val="20"/>
                <w:szCs w:val="20"/>
                <w:color w:val="auto"/>
              </w:rPr>
            </w:pPr>
            <w:r>
              <w:rPr>
                <w:rFonts w:ascii="Arial" w:cs="Arial" w:eastAsia="Arial" w:hAnsi="Arial"/>
                <w:sz w:val="16"/>
                <w:szCs w:val="16"/>
                <w:color w:val="auto"/>
              </w:rPr>
              <w:t>$ -</w:t>
            </w:r>
          </w:p>
        </w:tc>
        <w:tc>
          <w:tcPr>
            <w:tcW w:w="1560" w:type="dxa"/>
            <w:vAlign w:val="bottom"/>
            <w:tcBorders>
              <w:bottom w:val="single" w:sz="8" w:color="D6D1D8"/>
            </w:tcBorders>
            <w:shd w:val="clear" w:color="auto" w:fill="D6D1D8"/>
          </w:tcPr>
          <w:p>
            <w:pPr>
              <w:jc w:val="center"/>
              <w:ind w:right="40"/>
              <w:spacing w:after="0"/>
              <w:rPr>
                <w:sz w:val="20"/>
                <w:szCs w:val="20"/>
                <w:color w:val="auto"/>
              </w:rPr>
            </w:pPr>
            <w:r>
              <w:rPr>
                <w:rFonts w:ascii="Arial" w:cs="Arial" w:eastAsia="Arial" w:hAnsi="Arial"/>
                <w:sz w:val="16"/>
                <w:szCs w:val="16"/>
                <w:color w:val="auto"/>
              </w:rPr>
              <w:t>$374,000</w:t>
            </w:r>
          </w:p>
        </w:tc>
        <w:tc>
          <w:tcPr>
            <w:tcW w:w="0" w:type="dxa"/>
            <w:vAlign w:val="bottom"/>
          </w:tcPr>
          <w:p>
            <w:pPr>
              <w:spacing w:after="0"/>
              <w:rPr>
                <w:sz w:val="1"/>
                <w:szCs w:val="1"/>
                <w:color w:val="auto"/>
              </w:rPr>
            </w:pPr>
          </w:p>
        </w:tc>
      </w:tr>
      <w:tr>
        <w:trPr>
          <w:trHeight w:val="264"/>
        </w:trPr>
        <w:tc>
          <w:tcPr>
            <w:tcW w:w="1680" w:type="dxa"/>
            <w:vAlign w:val="bottom"/>
          </w:tcPr>
          <w:p>
            <w:pPr>
              <w:ind w:left="80"/>
              <w:spacing w:after="0"/>
              <w:rPr>
                <w:sz w:val="20"/>
                <w:szCs w:val="20"/>
                <w:color w:val="auto"/>
              </w:rPr>
            </w:pPr>
            <w:r>
              <w:rPr>
                <w:rFonts w:ascii="Arial" w:cs="Arial" w:eastAsia="Arial" w:hAnsi="Arial"/>
                <w:sz w:val="16"/>
                <w:szCs w:val="16"/>
                <w:color w:val="auto"/>
              </w:rPr>
              <w:t>Philip G. Satre</w:t>
            </w:r>
          </w:p>
        </w:tc>
        <w:tc>
          <w:tcPr>
            <w:tcW w:w="400" w:type="dxa"/>
            <w:vAlign w:val="bottom"/>
          </w:tcPr>
          <w:p>
            <w:pPr>
              <w:spacing w:after="0"/>
              <w:rPr>
                <w:sz w:val="22"/>
                <w:szCs w:val="22"/>
                <w:color w:val="auto"/>
              </w:rPr>
            </w:pPr>
          </w:p>
        </w:tc>
        <w:tc>
          <w:tcPr>
            <w:tcW w:w="2040" w:type="dxa"/>
            <w:vAlign w:val="bottom"/>
          </w:tcPr>
          <w:p>
            <w:pPr>
              <w:jc w:val="center"/>
              <w:ind w:right="320"/>
              <w:spacing w:after="0"/>
              <w:rPr>
                <w:sz w:val="20"/>
                <w:szCs w:val="20"/>
                <w:color w:val="auto"/>
              </w:rPr>
            </w:pPr>
            <w:r>
              <w:rPr>
                <w:rFonts w:ascii="Arial" w:cs="Arial" w:eastAsia="Arial" w:hAnsi="Arial"/>
                <w:sz w:val="16"/>
                <w:szCs w:val="16"/>
                <w:color w:val="auto"/>
              </w:rPr>
              <w:t>$302,000</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$250,000</w:t>
            </w:r>
          </w:p>
        </w:tc>
        <w:tc>
          <w:tcPr>
            <w:tcW w:w="3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 -</w:t>
            </w:r>
          </w:p>
        </w:tc>
        <w:tc>
          <w:tcPr>
            <w:tcW w:w="1920" w:type="dxa"/>
            <w:vAlign w:val="bottom"/>
          </w:tcPr>
          <w:p>
            <w:pPr>
              <w:jc w:val="center"/>
              <w:ind w:right="80"/>
              <w:spacing w:after="0"/>
              <w:rPr>
                <w:sz w:val="20"/>
                <w:szCs w:val="20"/>
                <w:color w:val="auto"/>
              </w:rPr>
            </w:pPr>
            <w:r>
              <w:rPr>
                <w:rFonts w:ascii="Arial" w:cs="Arial" w:eastAsia="Arial" w:hAnsi="Arial"/>
                <w:sz w:val="16"/>
                <w:szCs w:val="16"/>
                <w:color w:val="auto"/>
              </w:rPr>
              <w:t>$ -</w:t>
            </w:r>
          </w:p>
        </w:tc>
        <w:tc>
          <w:tcPr>
            <w:tcW w:w="1560" w:type="dxa"/>
            <w:vAlign w:val="bottom"/>
          </w:tcPr>
          <w:p>
            <w:pPr>
              <w:jc w:val="center"/>
              <w:ind w:right="40"/>
              <w:spacing w:after="0"/>
              <w:rPr>
                <w:sz w:val="20"/>
                <w:szCs w:val="20"/>
                <w:color w:val="auto"/>
              </w:rPr>
            </w:pPr>
            <w:r>
              <w:rPr>
                <w:rFonts w:ascii="Arial" w:cs="Arial" w:eastAsia="Arial" w:hAnsi="Arial"/>
                <w:sz w:val="16"/>
                <w:szCs w:val="16"/>
                <w:color w:val="auto"/>
              </w:rPr>
              <w:t>$552,000</w:t>
            </w:r>
          </w:p>
        </w:tc>
        <w:tc>
          <w:tcPr>
            <w:tcW w:w="0" w:type="dxa"/>
            <w:vAlign w:val="bottom"/>
          </w:tcPr>
          <w:p>
            <w:pPr>
              <w:spacing w:after="0"/>
              <w:rPr>
                <w:sz w:val="1"/>
                <w:szCs w:val="1"/>
                <w:color w:val="auto"/>
              </w:rPr>
            </w:pPr>
          </w:p>
        </w:tc>
      </w:tr>
      <w:tr>
        <w:trPr>
          <w:trHeight w:val="57"/>
        </w:trPr>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1680" w:type="dxa"/>
            <w:vAlign w:val="bottom"/>
            <w:tcBorders>
              <w:bottom w:val="single" w:sz="8" w:color="D6D1D8"/>
            </w:tcBorders>
            <w:shd w:val="clear" w:color="auto" w:fill="D6D1D8"/>
          </w:tcPr>
          <w:p>
            <w:pPr>
              <w:ind w:left="80"/>
              <w:spacing w:after="0"/>
              <w:rPr>
                <w:sz w:val="20"/>
                <w:szCs w:val="20"/>
                <w:color w:val="auto"/>
              </w:rPr>
            </w:pPr>
            <w:r>
              <w:rPr>
                <w:rFonts w:ascii="Arial" w:cs="Arial" w:eastAsia="Arial" w:hAnsi="Arial"/>
                <w:sz w:val="16"/>
                <w:szCs w:val="16"/>
                <w:color w:val="auto"/>
              </w:rPr>
              <w:t>Darnell O. Strom</w:t>
            </w:r>
          </w:p>
        </w:tc>
        <w:tc>
          <w:tcPr>
            <w:tcW w:w="400" w:type="dxa"/>
            <w:vAlign w:val="bottom"/>
            <w:tcBorders>
              <w:bottom w:val="single" w:sz="8" w:color="D6D1D8"/>
            </w:tcBorders>
            <w:shd w:val="clear" w:color="auto" w:fill="D6D1D8"/>
          </w:tcPr>
          <w:p>
            <w:pPr>
              <w:spacing w:after="0"/>
              <w:rPr>
                <w:sz w:val="24"/>
                <w:szCs w:val="24"/>
                <w:color w:val="auto"/>
              </w:rPr>
            </w:pPr>
          </w:p>
        </w:tc>
        <w:tc>
          <w:tcPr>
            <w:tcW w:w="2040" w:type="dxa"/>
            <w:vAlign w:val="bottom"/>
            <w:tcBorders>
              <w:bottom w:val="single" w:sz="8" w:color="D6D1D8"/>
            </w:tcBorders>
            <w:shd w:val="clear" w:color="auto" w:fill="D6D1D8"/>
          </w:tcPr>
          <w:p>
            <w:pPr>
              <w:jc w:val="center"/>
              <w:ind w:right="320"/>
              <w:spacing w:after="0"/>
              <w:rPr>
                <w:sz w:val="20"/>
                <w:szCs w:val="20"/>
                <w:color w:val="auto"/>
              </w:rPr>
            </w:pPr>
            <w:r>
              <w:rPr>
                <w:rFonts w:ascii="Arial" w:cs="Arial" w:eastAsia="Arial" w:hAnsi="Arial"/>
                <w:sz w:val="16"/>
                <w:szCs w:val="16"/>
                <w:color w:val="auto"/>
              </w:rPr>
              <w:t>$124,000</w:t>
            </w:r>
          </w:p>
        </w:tc>
        <w:tc>
          <w:tcPr>
            <w:tcW w:w="1680" w:type="dxa"/>
            <w:vAlign w:val="bottom"/>
            <w:tcBorders>
              <w:bottom w:val="single" w:sz="8" w:color="D6D1D8"/>
            </w:tcBorders>
            <w:shd w:val="clear" w:color="auto" w:fill="D6D1D8"/>
          </w:tcPr>
          <w:p>
            <w:pPr>
              <w:jc w:val="center"/>
              <w:ind w:left="280"/>
              <w:spacing w:after="0"/>
              <w:rPr>
                <w:sz w:val="20"/>
                <w:szCs w:val="20"/>
                <w:color w:val="auto"/>
              </w:rPr>
            </w:pPr>
            <w:r>
              <w:rPr>
                <w:rFonts w:ascii="Arial" w:cs="Arial" w:eastAsia="Arial" w:hAnsi="Arial"/>
                <w:sz w:val="16"/>
                <w:szCs w:val="16"/>
                <w:color w:val="auto"/>
              </w:rPr>
              <w:t>$250,000</w:t>
            </w:r>
          </w:p>
        </w:tc>
        <w:tc>
          <w:tcPr>
            <w:tcW w:w="300" w:type="dxa"/>
            <w:vAlign w:val="bottom"/>
            <w:tcBorders>
              <w:bottom w:val="single" w:sz="8" w:color="D6D1D8"/>
            </w:tcBorders>
            <w:shd w:val="clear" w:color="auto" w:fill="D6D1D8"/>
          </w:tcPr>
          <w:p>
            <w:pPr>
              <w:spacing w:after="0"/>
              <w:rPr>
                <w:sz w:val="24"/>
                <w:szCs w:val="24"/>
                <w:color w:val="auto"/>
              </w:rPr>
            </w:pPr>
          </w:p>
        </w:tc>
        <w:tc>
          <w:tcPr>
            <w:tcW w:w="1340" w:type="dxa"/>
            <w:vAlign w:val="bottom"/>
            <w:tcBorders>
              <w:bottom w:val="single" w:sz="8" w:color="D6D1D8"/>
            </w:tcBorders>
            <w:shd w:val="clear" w:color="auto" w:fill="D6D1D8"/>
          </w:tcPr>
          <w:p>
            <w:pPr>
              <w:jc w:val="center"/>
              <w:spacing w:after="0"/>
              <w:rPr>
                <w:sz w:val="20"/>
                <w:szCs w:val="20"/>
                <w:color w:val="auto"/>
              </w:rPr>
            </w:pPr>
            <w:r>
              <w:rPr>
                <w:rFonts w:ascii="Arial" w:cs="Arial" w:eastAsia="Arial" w:hAnsi="Arial"/>
                <w:sz w:val="16"/>
                <w:szCs w:val="16"/>
                <w:color w:val="auto"/>
              </w:rPr>
              <w:t>$ -</w:t>
            </w:r>
          </w:p>
        </w:tc>
        <w:tc>
          <w:tcPr>
            <w:tcW w:w="1920" w:type="dxa"/>
            <w:vAlign w:val="bottom"/>
            <w:tcBorders>
              <w:bottom w:val="single" w:sz="8" w:color="D6D1D8"/>
            </w:tcBorders>
            <w:shd w:val="clear" w:color="auto" w:fill="D6D1D8"/>
          </w:tcPr>
          <w:p>
            <w:pPr>
              <w:jc w:val="center"/>
              <w:ind w:right="80"/>
              <w:spacing w:after="0"/>
              <w:rPr>
                <w:sz w:val="20"/>
                <w:szCs w:val="20"/>
                <w:color w:val="auto"/>
              </w:rPr>
            </w:pPr>
            <w:r>
              <w:rPr>
                <w:rFonts w:ascii="Arial" w:cs="Arial" w:eastAsia="Arial" w:hAnsi="Arial"/>
                <w:sz w:val="16"/>
                <w:szCs w:val="16"/>
                <w:color w:val="auto"/>
              </w:rPr>
              <w:t>$ -</w:t>
            </w:r>
          </w:p>
        </w:tc>
        <w:tc>
          <w:tcPr>
            <w:tcW w:w="1560" w:type="dxa"/>
            <w:vAlign w:val="bottom"/>
            <w:tcBorders>
              <w:bottom w:val="single" w:sz="8" w:color="D6D1D8"/>
            </w:tcBorders>
            <w:shd w:val="clear" w:color="auto" w:fill="D6D1D8"/>
          </w:tcPr>
          <w:p>
            <w:pPr>
              <w:jc w:val="center"/>
              <w:ind w:right="40"/>
              <w:spacing w:after="0"/>
              <w:rPr>
                <w:sz w:val="20"/>
                <w:szCs w:val="20"/>
                <w:color w:val="auto"/>
              </w:rPr>
            </w:pPr>
            <w:r>
              <w:rPr>
                <w:rFonts w:ascii="Arial" w:cs="Arial" w:eastAsia="Arial" w:hAnsi="Arial"/>
                <w:sz w:val="16"/>
                <w:szCs w:val="16"/>
                <w:color w:val="auto"/>
              </w:rPr>
              <w:t>$374,000</w:t>
            </w:r>
          </w:p>
        </w:tc>
        <w:tc>
          <w:tcPr>
            <w:tcW w:w="0" w:type="dxa"/>
            <w:vAlign w:val="bottom"/>
          </w:tcPr>
          <w:p>
            <w:pPr>
              <w:spacing w:after="0"/>
              <w:rPr>
                <w:sz w:val="1"/>
                <w:szCs w:val="1"/>
                <w:color w:val="auto"/>
              </w:rPr>
            </w:pPr>
          </w:p>
        </w:tc>
      </w:tr>
      <w:tr>
        <w:trPr>
          <w:trHeight w:val="264"/>
        </w:trPr>
        <w:tc>
          <w:tcPr>
            <w:tcW w:w="1680" w:type="dxa"/>
            <w:vAlign w:val="bottom"/>
          </w:tcPr>
          <w:p>
            <w:pPr>
              <w:ind w:left="80"/>
              <w:spacing w:after="0"/>
              <w:rPr>
                <w:sz w:val="20"/>
                <w:szCs w:val="20"/>
                <w:color w:val="auto"/>
              </w:rPr>
            </w:pPr>
            <w:r>
              <w:rPr>
                <w:rFonts w:ascii="Arial" w:cs="Arial" w:eastAsia="Arial" w:hAnsi="Arial"/>
                <w:sz w:val="16"/>
                <w:szCs w:val="16"/>
                <w:color w:val="auto"/>
              </w:rPr>
              <w:t>Winifred M. Webb</w:t>
            </w:r>
          </w:p>
        </w:tc>
        <w:tc>
          <w:tcPr>
            <w:tcW w:w="400" w:type="dxa"/>
            <w:vAlign w:val="bottom"/>
          </w:tcPr>
          <w:p>
            <w:pPr>
              <w:spacing w:after="0"/>
              <w:rPr>
                <w:sz w:val="22"/>
                <w:szCs w:val="22"/>
                <w:color w:val="auto"/>
              </w:rPr>
            </w:pPr>
          </w:p>
        </w:tc>
        <w:tc>
          <w:tcPr>
            <w:tcW w:w="2040" w:type="dxa"/>
            <w:vAlign w:val="bottom"/>
          </w:tcPr>
          <w:p>
            <w:pPr>
              <w:jc w:val="center"/>
              <w:ind w:right="320"/>
              <w:spacing w:after="0"/>
              <w:rPr>
                <w:sz w:val="20"/>
                <w:szCs w:val="20"/>
                <w:color w:val="auto"/>
              </w:rPr>
            </w:pPr>
            <w:r>
              <w:rPr>
                <w:rFonts w:ascii="Arial" w:cs="Arial" w:eastAsia="Arial" w:hAnsi="Arial"/>
                <w:sz w:val="16"/>
                <w:szCs w:val="16"/>
                <w:color w:val="auto"/>
              </w:rPr>
              <w:t>$143,500</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$250,000</w:t>
            </w:r>
          </w:p>
        </w:tc>
        <w:tc>
          <w:tcPr>
            <w:tcW w:w="3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 -</w:t>
            </w:r>
          </w:p>
        </w:tc>
        <w:tc>
          <w:tcPr>
            <w:tcW w:w="1920" w:type="dxa"/>
            <w:vAlign w:val="bottom"/>
          </w:tcPr>
          <w:p>
            <w:pPr>
              <w:jc w:val="center"/>
              <w:ind w:right="80"/>
              <w:spacing w:after="0"/>
              <w:rPr>
                <w:sz w:val="20"/>
                <w:szCs w:val="20"/>
                <w:color w:val="auto"/>
              </w:rPr>
            </w:pPr>
            <w:r>
              <w:rPr>
                <w:rFonts w:ascii="Arial" w:cs="Arial" w:eastAsia="Arial" w:hAnsi="Arial"/>
                <w:sz w:val="16"/>
                <w:szCs w:val="16"/>
                <w:color w:val="auto"/>
              </w:rPr>
              <w:t>$ -</w:t>
            </w:r>
          </w:p>
        </w:tc>
        <w:tc>
          <w:tcPr>
            <w:tcW w:w="1560" w:type="dxa"/>
            <w:vAlign w:val="bottom"/>
          </w:tcPr>
          <w:p>
            <w:pPr>
              <w:jc w:val="center"/>
              <w:ind w:right="40"/>
              <w:spacing w:after="0"/>
              <w:rPr>
                <w:sz w:val="20"/>
                <w:szCs w:val="20"/>
                <w:color w:val="auto"/>
              </w:rPr>
            </w:pPr>
            <w:r>
              <w:rPr>
                <w:rFonts w:ascii="Arial" w:cs="Arial" w:eastAsia="Arial" w:hAnsi="Arial"/>
                <w:sz w:val="16"/>
                <w:szCs w:val="16"/>
                <w:color w:val="auto"/>
              </w:rPr>
              <w:t>$393,500</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360" w:hanging="193"/>
        <w:spacing w:after="0"/>
        <w:tabs>
          <w:tab w:leader="none" w:pos="3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amounts set forth in this column reflects each non-employee director’s total annual fees, inclusive of their respective total annual retainer fees.</w:t>
      </w:r>
    </w:p>
    <w:p>
      <w:pPr>
        <w:spacing w:after="0" w:line="102" w:lineRule="exact"/>
        <w:rPr>
          <w:rFonts w:ascii="Arial" w:cs="Arial" w:eastAsia="Arial" w:hAnsi="Arial"/>
          <w:sz w:val="12"/>
          <w:szCs w:val="12"/>
          <w:color w:val="auto"/>
        </w:rPr>
      </w:pPr>
    </w:p>
    <w:p>
      <w:pPr>
        <w:ind w:left="160" w:right="360" w:firstLine="7"/>
        <w:spacing w:after="0" w:line="279" w:lineRule="auto"/>
        <w:tabs>
          <w:tab w:leader="none" w:pos="347"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amounts set forth in this column reflect 1) the aggregate grant date fair value of 2,696 shares of restricted stock granted to each non-employee director on May 7, 2024, as computed in accordance with FASB ASC Topic 718. The aggregate number of unvested restricted stock awards held by each director as of December 31, 2024, was 2,696 shares of restricted stock each.</w:t>
      </w:r>
    </w:p>
    <w:p>
      <w:pPr>
        <w:spacing w:after="0" w:line="53" w:lineRule="exact"/>
        <w:rPr>
          <w:rFonts w:ascii="Arial" w:cs="Arial" w:eastAsia="Arial" w:hAnsi="Arial"/>
          <w:sz w:val="12"/>
          <w:szCs w:val="12"/>
          <w:color w:val="auto"/>
        </w:rPr>
      </w:pPr>
    </w:p>
    <w:p>
      <w:pPr>
        <w:ind w:left="360" w:hanging="193"/>
        <w:spacing w:after="0"/>
        <w:tabs>
          <w:tab w:leader="none" w:pos="3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As of December 31, 2024, Ms. Mulroy held 6,700 vested option awards.</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2"/>
          <w:szCs w:val="12"/>
          <w:color w:val="351B3D"/>
        </w:rPr>
        <w:t>24</w:t>
      </w:r>
    </w:p>
    <w:p>
      <w:pPr>
        <w:sectPr>
          <w:pgSz w:w="11900" w:h="16838" w:orient="portrait"/>
          <w:cols w:equalWidth="0" w:num="1">
            <w:col w:w="11080"/>
          </w:cols>
          <w:pgMar w:left="320" w:top="478"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ind w:right="2899"/>
        <w:spacing w:after="0"/>
        <w:rPr>
          <w:sz w:val="20"/>
          <w:szCs w:val="20"/>
          <w:color w:val="auto"/>
        </w:rPr>
      </w:pPr>
      <w:r>
        <w:rPr>
          <w:rFonts w:ascii="Arial" w:cs="Arial" w:eastAsia="Arial" w:hAnsi="Arial"/>
          <w:sz w:val="16"/>
          <w:szCs w:val="16"/>
          <w:color w:val="auto"/>
        </w:rPr>
        <w:t>[THIS PAGE INTENTIONALLY LEFT BLANK]</w:t>
      </w:r>
    </w:p>
    <w:p>
      <w:pPr>
        <w:sectPr>
          <w:pgSz w:w="11900" w:h="16838" w:orient="portrait"/>
          <w:cols w:equalWidth="0" w:num="1">
            <w:col w:w="10139"/>
          </w:cols>
          <w:pgMar w:left="320" w:top="478"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7094855" cy="9171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78"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45"/>
          <w:szCs w:val="45"/>
          <w:color w:val="140F21"/>
        </w:rPr>
        <w:t>Our Company</w:t>
      </w:r>
    </w:p>
    <w:p>
      <w:pPr>
        <w:spacing w:after="0" w:line="237"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WHO WE ARE</w:t>
      </w:r>
    </w:p>
    <w:p>
      <w:pPr>
        <w:spacing w:after="0" w:line="217" w:lineRule="exact"/>
        <w:rPr>
          <w:sz w:val="20"/>
          <w:szCs w:val="20"/>
          <w:color w:val="auto"/>
        </w:rPr>
      </w:pPr>
    </w:p>
    <w:p>
      <w:pPr>
        <w:ind w:left="160" w:right="40"/>
        <w:spacing w:after="0" w:line="262" w:lineRule="auto"/>
        <w:rPr>
          <w:sz w:val="20"/>
          <w:szCs w:val="20"/>
          <w:color w:val="auto"/>
        </w:rPr>
      </w:pPr>
      <w:r>
        <w:rPr>
          <w:rFonts w:ascii="Arial" w:cs="Arial" w:eastAsia="Arial" w:hAnsi="Arial"/>
          <w:sz w:val="16"/>
          <w:szCs w:val="16"/>
          <w:color w:val="auto"/>
        </w:rPr>
        <w:t>We are a US-based global company whose approximately 28,000 employees in the United States and Macau provide the experiences that place all of our global entertainment properties at the top of the most respected rankings, which in turn, support our brand, our stability, and our ability to create value for all our stakeholders.</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As a company, we are acutely aware that it is our five-star employees who create five-star experiences.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Here are some quick facts about us as a team:</w:t>
      </w:r>
    </w:p>
    <w:p>
      <w:pPr>
        <w:spacing w:after="0" w:line="244" w:lineRule="exact"/>
        <w:rPr>
          <w:sz w:val="20"/>
          <w:szCs w:val="20"/>
          <w:color w:val="auto"/>
        </w:rPr>
      </w:pPr>
    </w:p>
    <w:p>
      <w:pPr>
        <w:ind w:left="380" w:hanging="213"/>
        <w:spacing w:after="0"/>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provide approximately 22,000 full time jobs across all our properties.</w:t>
      </w:r>
    </w:p>
    <w:p>
      <w:pPr>
        <w:spacing w:after="0" w:line="243" w:lineRule="exact"/>
        <w:rPr>
          <w:rFonts w:ascii="Arial" w:cs="Arial" w:eastAsia="Arial" w:hAnsi="Arial"/>
          <w:sz w:val="16"/>
          <w:szCs w:val="16"/>
          <w:color w:val="auto"/>
        </w:rPr>
      </w:pPr>
    </w:p>
    <w:p>
      <w:pPr>
        <w:ind w:left="380" w:hanging="213"/>
        <w:spacing w:after="0"/>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100% of our full-time employee positions come with benefits—many of them industry leading.</w:t>
      </w:r>
    </w:p>
    <w:p>
      <w:pPr>
        <w:spacing w:after="0" w:line="243" w:lineRule="exact"/>
        <w:rPr>
          <w:rFonts w:ascii="Arial" w:cs="Arial" w:eastAsia="Arial" w:hAnsi="Arial"/>
          <w:sz w:val="16"/>
          <w:szCs w:val="16"/>
          <w:color w:val="auto"/>
        </w:rPr>
      </w:pPr>
    </w:p>
    <w:p>
      <w:pPr>
        <w:ind w:left="380" w:right="40" w:hanging="213"/>
        <w:spacing w:after="0" w:line="279" w:lineRule="auto"/>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retain our employees longer than our industry’s average. Approximately 20% of our full-time, Wynn Las Vegas employees have been with us since we opened that property in 2005.</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We offer exclusive educational opportunities so our employees may advance their careers.</w:t>
      </w:r>
    </w:p>
    <w:p>
      <w:pPr>
        <w:spacing w:after="0" w:line="217" w:lineRule="exact"/>
        <w:rPr>
          <w:sz w:val="20"/>
          <w:szCs w:val="20"/>
          <w:color w:val="auto"/>
        </w:rPr>
      </w:pPr>
    </w:p>
    <w:p>
      <w:pPr>
        <w:ind w:left="160" w:right="140"/>
        <w:spacing w:after="0" w:line="253" w:lineRule="auto"/>
        <w:rPr>
          <w:sz w:val="20"/>
          <w:szCs w:val="20"/>
          <w:color w:val="auto"/>
        </w:rPr>
      </w:pPr>
      <w:r>
        <w:rPr>
          <w:rFonts w:ascii="Arial" w:cs="Arial" w:eastAsia="Arial" w:hAnsi="Arial"/>
          <w:sz w:val="16"/>
          <w:szCs w:val="16"/>
          <w:color w:val="auto"/>
        </w:rPr>
        <w:t>When we talk about who we are, we are not only thinking about our employees and executives—we touch lives more broadly than that. We seek opportunities to enrich our communities and advance responsible initiatives in several areas such as executing a comprehensive human trafficking prevention program with industry-leading partnerships and local organizations. We believe in hiring and training a local workforce to create strong and engaged communities surrounding our properties. We are recognized for building award-winning community volunteer and donation programs, including matching dollar-for-dollar charitable donations of up to $75,000 per employee, the highest match offered in the industry.</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HOW WE DO IT—OUR PEOPLE AND OUR PROPERTIES</w:t>
      </w:r>
    </w:p>
    <w:p>
      <w:pPr>
        <w:spacing w:after="0" w:line="19" w:lineRule="exact"/>
        <w:rPr>
          <w:sz w:val="20"/>
          <w:szCs w:val="20"/>
          <w:color w:val="auto"/>
        </w:rPr>
      </w:pPr>
    </w:p>
    <w:p>
      <w:pPr>
        <w:ind w:left="160" w:right="220"/>
        <w:spacing w:after="0" w:line="249" w:lineRule="auto"/>
        <w:rPr>
          <w:sz w:val="20"/>
          <w:szCs w:val="20"/>
          <w:color w:val="auto"/>
        </w:rPr>
      </w:pPr>
      <w:r>
        <w:rPr>
          <w:rFonts w:ascii="Arial" w:cs="Arial" w:eastAsia="Arial" w:hAnsi="Arial"/>
          <w:sz w:val="16"/>
          <w:szCs w:val="16"/>
          <w:color w:val="auto"/>
        </w:rPr>
        <w:t>We purposefully speak first about our people- our employees are everyday creators of unforgettable experiences, which our customers return for. They are also the ones who identify, design, build, maintain, and create ‘magic’ at our resorts. These resorts allow us to showcase our ability to surprise and delight customers while respectfully stewarding our planet and driving financial efficiency for our investors. To that end, we have committed to three aggressive corporate sustainability goals that guide our company growth and address the global threat of climate change:</w:t>
      </w:r>
    </w:p>
    <w:p>
      <w:pPr>
        <w:spacing w:after="0" w:line="210" w:lineRule="exact"/>
        <w:rPr>
          <w:sz w:val="20"/>
          <w:szCs w:val="20"/>
          <w:color w:val="auto"/>
        </w:rPr>
      </w:pPr>
    </w:p>
    <w:p>
      <w:pPr>
        <w:ind w:left="380" w:hanging="213"/>
        <w:spacing w:after="0"/>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Net-Zero by 2050: To reduce or offset all carbon dioxide (CO2) produced by our operations no later than 2050.</w:t>
      </w:r>
    </w:p>
    <w:p>
      <w:pPr>
        <w:spacing w:after="0" w:line="243" w:lineRule="exact"/>
        <w:rPr>
          <w:rFonts w:ascii="Arial" w:cs="Arial" w:eastAsia="Arial" w:hAnsi="Arial"/>
          <w:sz w:val="16"/>
          <w:szCs w:val="16"/>
          <w:color w:val="auto"/>
        </w:rPr>
      </w:pPr>
    </w:p>
    <w:p>
      <w:pPr>
        <w:ind w:left="380" w:hanging="213"/>
        <w:spacing w:after="0"/>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CO2 Peak by 2030: To stop and reverse year-over-year growth of operational CO2 emissions by 2030.</w:t>
      </w:r>
    </w:p>
    <w:p>
      <w:pPr>
        <w:spacing w:after="0" w:line="243" w:lineRule="exact"/>
        <w:rPr>
          <w:rFonts w:ascii="Arial" w:cs="Arial" w:eastAsia="Arial" w:hAnsi="Arial"/>
          <w:sz w:val="16"/>
          <w:szCs w:val="16"/>
          <w:color w:val="auto"/>
        </w:rPr>
      </w:pPr>
    </w:p>
    <w:p>
      <w:pPr>
        <w:ind w:left="380" w:hanging="213"/>
        <w:spacing w:after="0"/>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50% Renewable Energy by 2030: To increase the renewable energy we produce or procure to 50% or more of total consumption by 2030.</w:t>
      </w:r>
    </w:p>
    <w:p>
      <w:pPr>
        <w:spacing w:after="0" w:line="217" w:lineRule="exact"/>
        <w:rPr>
          <w:sz w:val="20"/>
          <w:szCs w:val="20"/>
          <w:color w:val="auto"/>
        </w:rPr>
      </w:pPr>
    </w:p>
    <w:p>
      <w:pPr>
        <w:ind w:left="160" w:right="500"/>
        <w:spacing w:after="0" w:line="279" w:lineRule="auto"/>
        <w:rPr>
          <w:sz w:val="20"/>
          <w:szCs w:val="20"/>
          <w:color w:val="auto"/>
        </w:rPr>
      </w:pPr>
      <w:r>
        <w:rPr>
          <w:rFonts w:ascii="Arial" w:cs="Arial" w:eastAsia="Arial" w:hAnsi="Arial"/>
          <w:sz w:val="16"/>
          <w:szCs w:val="16"/>
          <w:color w:val="auto"/>
        </w:rPr>
        <w:t>To achieve these objectives, we have invested heavily in clean and renewable energy, adopted smart water technologies for reduced consumption, implemented zero-waste convention programs, and consistently build our global resorts according to top-tier green building standards.</w:t>
      </w:r>
    </w:p>
    <w:p>
      <w:pPr>
        <w:spacing w:after="0" w:line="161" w:lineRule="exact"/>
        <w:rPr>
          <w:sz w:val="20"/>
          <w:szCs w:val="20"/>
          <w:color w:val="auto"/>
        </w:rPr>
      </w:pPr>
    </w:p>
    <w:p>
      <w:pPr>
        <w:ind w:left="160" w:right="80"/>
        <w:spacing w:after="0" w:line="262" w:lineRule="auto"/>
        <w:rPr>
          <w:sz w:val="20"/>
          <w:szCs w:val="20"/>
          <w:color w:val="auto"/>
        </w:rPr>
      </w:pPr>
      <w:r>
        <w:rPr>
          <w:rFonts w:ascii="Arial" w:cs="Arial" w:eastAsia="Arial" w:hAnsi="Arial"/>
          <w:sz w:val="16"/>
          <w:szCs w:val="16"/>
          <w:color w:val="auto"/>
        </w:rPr>
        <w:t>For more information on our environmental and social efforts see our annual Environmental, Social, and Governance Reports and Responsibility Reports at http://wynnresponsibility.com. The information contained on or accessible throughout our website, including our ESG reports, is not incorporated by reference into this Proxy Statement or any of our other filings with the SEC or considered to be part of this document.</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080"/>
          </w:cols>
          <w:pgMar w:left="320" w:top="478"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EXECUTIVE OFFICERS</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Our Executive Officers as of March 19, 2025,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2144395</wp:posOffset>
            </wp:positionH>
            <wp:positionV relativeFrom="paragraph">
              <wp:posOffset>163830</wp:posOffset>
            </wp:positionV>
            <wp:extent cx="8255" cy="11550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115506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163830</wp:posOffset>
            </wp:positionV>
            <wp:extent cx="8255" cy="11550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1155065"/>
                    </a:xfrm>
                    <a:prstGeom prst="rect">
                      <a:avLst/>
                    </a:prstGeom>
                    <a:noFill/>
                  </pic:spPr>
                </pic:pic>
              </a:graphicData>
            </a:graphic>
          </wp:anchor>
        </w:drawing>
      </w:r>
    </w:p>
    <w:p>
      <w:pPr>
        <w:spacing w:after="0" w:line="238" w:lineRule="exact"/>
        <w:rPr>
          <w:sz w:val="20"/>
          <w:szCs w:val="20"/>
          <w:color w:val="auto"/>
        </w:rPr>
      </w:pPr>
    </w:p>
    <w:tbl>
      <w:tblPr>
        <w:tblLayout w:type="fixed"/>
        <w:tblInd w:w="160" w:type="dxa"/>
        <w:tblCellMar>
          <w:top w:w="0" w:type="dxa"/>
          <w:left w:w="0" w:type="dxa"/>
          <w:bottom w:w="0" w:type="dxa"/>
          <w:right w:w="0" w:type="dxa"/>
        </w:tblCellMar>
      </w:tblPr>
      <w:tr>
        <w:trPr>
          <w:trHeight w:val="331"/>
        </w:trPr>
        <w:tc>
          <w:tcPr>
            <w:tcW w:w="2580" w:type="dxa"/>
            <w:vAlign w:val="bottom"/>
            <w:shd w:val="clear" w:color="auto" w:fill="351B3D"/>
          </w:tcPr>
          <w:p>
            <w:pPr>
              <w:ind w:left="80"/>
              <w:spacing w:after="0"/>
              <w:rPr>
                <w:sz w:val="20"/>
                <w:szCs w:val="20"/>
                <w:color w:val="auto"/>
              </w:rPr>
            </w:pPr>
            <w:r>
              <w:rPr>
                <w:rFonts w:ascii="Arial" w:cs="Arial" w:eastAsia="Arial" w:hAnsi="Arial"/>
                <w:sz w:val="16"/>
                <w:szCs w:val="16"/>
                <w:color w:val="FFFFFF"/>
              </w:rPr>
              <w:t>NAME</w:t>
            </w:r>
          </w:p>
        </w:tc>
        <w:tc>
          <w:tcPr>
            <w:tcW w:w="520" w:type="dxa"/>
            <w:vAlign w:val="bottom"/>
            <w:shd w:val="clear" w:color="auto" w:fill="351B3D"/>
          </w:tcPr>
          <w:p>
            <w:pPr>
              <w:jc w:val="center"/>
              <w:ind w:left="27"/>
              <w:spacing w:after="0"/>
              <w:rPr>
                <w:sz w:val="20"/>
                <w:szCs w:val="20"/>
                <w:color w:val="auto"/>
              </w:rPr>
            </w:pPr>
            <w:r>
              <w:rPr>
                <w:rFonts w:ascii="Arial" w:cs="Arial" w:eastAsia="Arial" w:hAnsi="Arial"/>
                <w:sz w:val="16"/>
                <w:szCs w:val="16"/>
                <w:color w:val="FFFFFF"/>
                <w:w w:val="76"/>
              </w:rPr>
              <w:t>AGE </w:t>
            </w:r>
          </w:p>
        </w:tc>
        <w:tc>
          <w:tcPr>
            <w:tcW w:w="80" w:type="dxa"/>
            <w:vAlign w:val="bottom"/>
            <w:shd w:val="clear" w:color="auto" w:fill="351B3D"/>
          </w:tcPr>
          <w:p>
            <w:pPr>
              <w:spacing w:after="0"/>
              <w:rPr>
                <w:sz w:val="24"/>
                <w:szCs w:val="24"/>
                <w:color w:val="auto"/>
              </w:rPr>
            </w:pPr>
          </w:p>
        </w:tc>
        <w:tc>
          <w:tcPr>
            <w:tcW w:w="7740" w:type="dxa"/>
            <w:vAlign w:val="bottom"/>
            <w:shd w:val="clear" w:color="auto" w:fill="351B3D"/>
          </w:tcPr>
          <w:p>
            <w:pPr>
              <w:ind w:left="20"/>
              <w:spacing w:after="0"/>
              <w:rPr>
                <w:sz w:val="20"/>
                <w:szCs w:val="20"/>
                <w:color w:val="auto"/>
              </w:rPr>
            </w:pPr>
            <w:r>
              <w:rPr>
                <w:rFonts w:ascii="Arial" w:cs="Arial" w:eastAsia="Arial" w:hAnsi="Arial"/>
                <w:sz w:val="16"/>
                <w:szCs w:val="16"/>
                <w:color w:val="FFFFFF"/>
              </w:rPr>
              <w:t>  POSITION</w:t>
            </w:r>
          </w:p>
        </w:tc>
      </w:tr>
      <w:tr>
        <w:trPr>
          <w:trHeight w:val="124"/>
        </w:trPr>
        <w:tc>
          <w:tcPr>
            <w:tcW w:w="2580" w:type="dxa"/>
            <w:vAlign w:val="bottom"/>
            <w:shd w:val="clear" w:color="auto" w:fill="351B3D"/>
          </w:tcPr>
          <w:p>
            <w:pPr>
              <w:spacing w:after="0"/>
              <w:rPr>
                <w:sz w:val="10"/>
                <w:szCs w:val="10"/>
                <w:color w:val="auto"/>
              </w:rPr>
            </w:pPr>
          </w:p>
        </w:tc>
        <w:tc>
          <w:tcPr>
            <w:tcW w:w="520" w:type="dxa"/>
            <w:vAlign w:val="bottom"/>
            <w:shd w:val="clear" w:color="auto" w:fill="351B3D"/>
          </w:tcPr>
          <w:p>
            <w:pPr>
              <w:spacing w:after="0"/>
              <w:rPr>
                <w:sz w:val="10"/>
                <w:szCs w:val="10"/>
                <w:color w:val="auto"/>
              </w:rPr>
            </w:pPr>
          </w:p>
        </w:tc>
        <w:tc>
          <w:tcPr>
            <w:tcW w:w="80" w:type="dxa"/>
            <w:vAlign w:val="bottom"/>
            <w:shd w:val="clear" w:color="auto" w:fill="351B3D"/>
          </w:tcPr>
          <w:p>
            <w:pPr>
              <w:spacing w:after="0"/>
              <w:rPr>
                <w:sz w:val="10"/>
                <w:szCs w:val="10"/>
                <w:color w:val="auto"/>
              </w:rPr>
            </w:pPr>
          </w:p>
        </w:tc>
        <w:tc>
          <w:tcPr>
            <w:tcW w:w="7740" w:type="dxa"/>
            <w:vAlign w:val="bottom"/>
            <w:shd w:val="clear" w:color="auto" w:fill="351B3D"/>
          </w:tcPr>
          <w:p>
            <w:pPr>
              <w:spacing w:after="0"/>
              <w:rPr>
                <w:sz w:val="10"/>
                <w:szCs w:val="10"/>
                <w:color w:val="auto"/>
              </w:rPr>
            </w:pPr>
          </w:p>
        </w:tc>
      </w:tr>
      <w:tr>
        <w:trPr>
          <w:trHeight w:val="331"/>
        </w:trPr>
        <w:tc>
          <w:tcPr>
            <w:tcW w:w="2580" w:type="dxa"/>
            <w:vAlign w:val="bottom"/>
            <w:shd w:val="clear" w:color="auto" w:fill="D6D1D8"/>
          </w:tcPr>
          <w:p>
            <w:pPr>
              <w:ind w:left="80"/>
              <w:spacing w:after="0"/>
              <w:rPr>
                <w:sz w:val="20"/>
                <w:szCs w:val="20"/>
                <w:color w:val="auto"/>
              </w:rPr>
            </w:pPr>
            <w:r>
              <w:rPr>
                <w:rFonts w:ascii="Arial" w:cs="Arial" w:eastAsia="Arial" w:hAnsi="Arial"/>
                <w:sz w:val="16"/>
                <w:szCs w:val="16"/>
                <w:color w:val="auto"/>
              </w:rPr>
              <w:t>Craig S. Billings</w:t>
            </w:r>
          </w:p>
        </w:tc>
        <w:tc>
          <w:tcPr>
            <w:tcW w:w="520" w:type="dxa"/>
            <w:vAlign w:val="bottom"/>
            <w:shd w:val="clear" w:color="auto" w:fill="D6D1D8"/>
          </w:tcPr>
          <w:p>
            <w:pPr>
              <w:jc w:val="center"/>
              <w:ind w:left="27"/>
              <w:spacing w:after="0"/>
              <w:rPr>
                <w:sz w:val="20"/>
                <w:szCs w:val="20"/>
                <w:color w:val="auto"/>
              </w:rPr>
            </w:pPr>
            <w:r>
              <w:rPr>
                <w:rFonts w:ascii="Arial" w:cs="Arial" w:eastAsia="Arial" w:hAnsi="Arial"/>
                <w:sz w:val="14"/>
                <w:szCs w:val="14"/>
                <w:color w:val="auto"/>
                <w:w w:val="74"/>
              </w:rPr>
              <w:t>52 </w:t>
            </w:r>
          </w:p>
        </w:tc>
        <w:tc>
          <w:tcPr>
            <w:tcW w:w="80" w:type="dxa"/>
            <w:vAlign w:val="bottom"/>
            <w:shd w:val="clear" w:color="auto" w:fill="D6D1D8"/>
          </w:tcPr>
          <w:p>
            <w:pPr>
              <w:ind w:left="20"/>
              <w:spacing w:after="0"/>
              <w:rPr>
                <w:sz w:val="20"/>
                <w:szCs w:val="20"/>
                <w:color w:val="auto"/>
              </w:rPr>
            </w:pPr>
            <w:r>
              <w:rPr>
                <w:rFonts w:ascii="Arial" w:cs="Arial" w:eastAsia="Arial" w:hAnsi="Arial"/>
                <w:sz w:val="16"/>
                <w:szCs w:val="16"/>
                <w:color w:val="auto"/>
              </w:rPr>
              <w:t> </w:t>
            </w:r>
          </w:p>
        </w:tc>
        <w:tc>
          <w:tcPr>
            <w:tcW w:w="7740" w:type="dxa"/>
            <w:vAlign w:val="bottom"/>
            <w:shd w:val="clear" w:color="auto" w:fill="D6D1D8"/>
          </w:tcPr>
          <w:p>
            <w:pPr>
              <w:ind w:left="140"/>
              <w:spacing w:after="0"/>
              <w:rPr>
                <w:sz w:val="20"/>
                <w:szCs w:val="20"/>
                <w:color w:val="auto"/>
              </w:rPr>
            </w:pPr>
            <w:r>
              <w:rPr>
                <w:rFonts w:ascii="Arial" w:cs="Arial" w:eastAsia="Arial" w:hAnsi="Arial"/>
                <w:sz w:val="16"/>
                <w:szCs w:val="16"/>
                <w:color w:val="auto"/>
              </w:rPr>
              <w:t>Director and Chief Executive Officer</w:t>
            </w:r>
          </w:p>
        </w:tc>
      </w:tr>
      <w:tr>
        <w:trPr>
          <w:trHeight w:val="124"/>
        </w:trPr>
        <w:tc>
          <w:tcPr>
            <w:tcW w:w="2580" w:type="dxa"/>
            <w:vAlign w:val="bottom"/>
            <w:shd w:val="clear" w:color="auto" w:fill="D6D1D8"/>
          </w:tcPr>
          <w:p>
            <w:pPr>
              <w:spacing w:after="0"/>
              <w:rPr>
                <w:sz w:val="10"/>
                <w:szCs w:val="10"/>
                <w:color w:val="auto"/>
              </w:rPr>
            </w:pPr>
          </w:p>
        </w:tc>
        <w:tc>
          <w:tcPr>
            <w:tcW w:w="520" w:type="dxa"/>
            <w:vAlign w:val="bottom"/>
            <w:shd w:val="clear" w:color="auto" w:fill="D6D1D8"/>
          </w:tcPr>
          <w:p>
            <w:pPr>
              <w:spacing w:after="0"/>
              <w:rPr>
                <w:sz w:val="10"/>
                <w:szCs w:val="10"/>
                <w:color w:val="auto"/>
              </w:rPr>
            </w:pPr>
          </w:p>
        </w:tc>
        <w:tc>
          <w:tcPr>
            <w:tcW w:w="80" w:type="dxa"/>
            <w:vAlign w:val="bottom"/>
            <w:shd w:val="clear" w:color="auto" w:fill="D6D1D8"/>
          </w:tcPr>
          <w:p>
            <w:pPr>
              <w:spacing w:after="0"/>
              <w:rPr>
                <w:sz w:val="10"/>
                <w:szCs w:val="10"/>
                <w:color w:val="auto"/>
              </w:rPr>
            </w:pPr>
          </w:p>
        </w:tc>
        <w:tc>
          <w:tcPr>
            <w:tcW w:w="7740" w:type="dxa"/>
            <w:vAlign w:val="bottom"/>
            <w:shd w:val="clear" w:color="auto" w:fill="D6D1D8"/>
          </w:tcPr>
          <w:p>
            <w:pPr>
              <w:spacing w:after="0"/>
              <w:rPr>
                <w:sz w:val="10"/>
                <w:szCs w:val="10"/>
                <w:color w:val="auto"/>
              </w:rPr>
            </w:pPr>
          </w:p>
        </w:tc>
      </w:tr>
      <w:tr>
        <w:trPr>
          <w:trHeight w:val="331"/>
        </w:trPr>
        <w:tc>
          <w:tcPr>
            <w:tcW w:w="2580" w:type="dxa"/>
            <w:vAlign w:val="bottom"/>
          </w:tcPr>
          <w:p>
            <w:pPr>
              <w:ind w:left="80"/>
              <w:spacing w:after="0"/>
              <w:rPr>
                <w:sz w:val="20"/>
                <w:szCs w:val="20"/>
                <w:color w:val="auto"/>
              </w:rPr>
            </w:pPr>
            <w:r>
              <w:rPr>
                <w:rFonts w:ascii="Arial" w:cs="Arial" w:eastAsia="Arial" w:hAnsi="Arial"/>
                <w:sz w:val="16"/>
                <w:szCs w:val="16"/>
                <w:color w:val="auto"/>
              </w:rPr>
              <w:t>Julie M. Cameron-Doe</w:t>
            </w:r>
          </w:p>
        </w:tc>
        <w:tc>
          <w:tcPr>
            <w:tcW w:w="520" w:type="dxa"/>
            <w:vAlign w:val="bottom"/>
          </w:tcPr>
          <w:p>
            <w:pPr>
              <w:jc w:val="center"/>
              <w:ind w:left="27"/>
              <w:spacing w:after="0"/>
              <w:rPr>
                <w:sz w:val="20"/>
                <w:szCs w:val="20"/>
                <w:color w:val="auto"/>
              </w:rPr>
            </w:pPr>
            <w:r>
              <w:rPr>
                <w:rFonts w:ascii="Arial" w:cs="Arial" w:eastAsia="Arial" w:hAnsi="Arial"/>
                <w:sz w:val="14"/>
                <w:szCs w:val="14"/>
                <w:color w:val="auto"/>
                <w:w w:val="74"/>
              </w:rPr>
              <w:t>55 </w:t>
            </w:r>
          </w:p>
        </w:tc>
        <w:tc>
          <w:tcPr>
            <w:tcW w:w="80" w:type="dxa"/>
            <w:vAlign w:val="bottom"/>
          </w:tcPr>
          <w:p>
            <w:pPr>
              <w:ind w:left="20"/>
              <w:spacing w:after="0"/>
              <w:rPr>
                <w:sz w:val="20"/>
                <w:szCs w:val="20"/>
                <w:color w:val="auto"/>
              </w:rPr>
            </w:pPr>
            <w:r>
              <w:rPr>
                <w:rFonts w:ascii="Arial" w:cs="Arial" w:eastAsia="Arial" w:hAnsi="Arial"/>
                <w:sz w:val="16"/>
                <w:szCs w:val="16"/>
                <w:color w:val="auto"/>
              </w:rPr>
              <w:t> </w:t>
            </w:r>
          </w:p>
        </w:tc>
        <w:tc>
          <w:tcPr>
            <w:tcW w:w="7740" w:type="dxa"/>
            <w:vAlign w:val="bottom"/>
          </w:tcPr>
          <w:p>
            <w:pPr>
              <w:ind w:left="140"/>
              <w:spacing w:after="0"/>
              <w:rPr>
                <w:sz w:val="20"/>
                <w:szCs w:val="20"/>
                <w:color w:val="auto"/>
              </w:rPr>
            </w:pPr>
            <w:r>
              <w:rPr>
                <w:rFonts w:ascii="Arial" w:cs="Arial" w:eastAsia="Arial" w:hAnsi="Arial"/>
                <w:sz w:val="16"/>
                <w:szCs w:val="16"/>
                <w:color w:val="auto"/>
              </w:rPr>
              <w:t>Chief Financial Officer</w:t>
            </w:r>
          </w:p>
        </w:tc>
      </w:tr>
      <w:tr>
        <w:trPr>
          <w:trHeight w:val="124"/>
        </w:trPr>
        <w:tc>
          <w:tcPr>
            <w:tcW w:w="2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740" w:type="dxa"/>
            <w:vAlign w:val="bottom"/>
          </w:tcPr>
          <w:p>
            <w:pPr>
              <w:spacing w:after="0"/>
              <w:rPr>
                <w:sz w:val="10"/>
                <w:szCs w:val="10"/>
                <w:color w:val="auto"/>
              </w:rPr>
            </w:pPr>
          </w:p>
        </w:tc>
      </w:tr>
      <w:tr>
        <w:trPr>
          <w:trHeight w:val="331"/>
        </w:trPr>
        <w:tc>
          <w:tcPr>
            <w:tcW w:w="2580" w:type="dxa"/>
            <w:vAlign w:val="bottom"/>
            <w:shd w:val="clear" w:color="auto" w:fill="D6D1D8"/>
          </w:tcPr>
          <w:p>
            <w:pPr>
              <w:ind w:left="80"/>
              <w:spacing w:after="0"/>
              <w:rPr>
                <w:sz w:val="20"/>
                <w:szCs w:val="20"/>
                <w:color w:val="auto"/>
              </w:rPr>
            </w:pPr>
            <w:r>
              <w:rPr>
                <w:rFonts w:ascii="Arial" w:cs="Arial" w:eastAsia="Arial" w:hAnsi="Arial"/>
                <w:sz w:val="16"/>
                <w:szCs w:val="16"/>
                <w:color w:val="auto"/>
              </w:rPr>
              <w:t>Jacqui Krum</w:t>
            </w:r>
          </w:p>
        </w:tc>
        <w:tc>
          <w:tcPr>
            <w:tcW w:w="520" w:type="dxa"/>
            <w:vAlign w:val="bottom"/>
            <w:shd w:val="clear" w:color="auto" w:fill="D6D1D8"/>
          </w:tcPr>
          <w:p>
            <w:pPr>
              <w:jc w:val="center"/>
              <w:ind w:left="27"/>
              <w:spacing w:after="0"/>
              <w:rPr>
                <w:sz w:val="20"/>
                <w:szCs w:val="20"/>
                <w:color w:val="auto"/>
              </w:rPr>
            </w:pPr>
            <w:r>
              <w:rPr>
                <w:rFonts w:ascii="Arial" w:cs="Arial" w:eastAsia="Arial" w:hAnsi="Arial"/>
                <w:sz w:val="14"/>
                <w:szCs w:val="14"/>
                <w:color w:val="auto"/>
                <w:w w:val="74"/>
              </w:rPr>
              <w:t>50 </w:t>
            </w:r>
          </w:p>
        </w:tc>
        <w:tc>
          <w:tcPr>
            <w:tcW w:w="80" w:type="dxa"/>
            <w:vAlign w:val="bottom"/>
            <w:shd w:val="clear" w:color="auto" w:fill="D6D1D8"/>
          </w:tcPr>
          <w:p>
            <w:pPr>
              <w:ind w:left="20"/>
              <w:spacing w:after="0"/>
              <w:rPr>
                <w:sz w:val="20"/>
                <w:szCs w:val="20"/>
                <w:color w:val="auto"/>
              </w:rPr>
            </w:pPr>
            <w:r>
              <w:rPr>
                <w:rFonts w:ascii="Arial" w:cs="Arial" w:eastAsia="Arial" w:hAnsi="Arial"/>
                <w:sz w:val="16"/>
                <w:szCs w:val="16"/>
                <w:color w:val="auto"/>
              </w:rPr>
              <w:t> </w:t>
            </w:r>
          </w:p>
        </w:tc>
        <w:tc>
          <w:tcPr>
            <w:tcW w:w="7740" w:type="dxa"/>
            <w:vAlign w:val="bottom"/>
            <w:shd w:val="clear" w:color="auto" w:fill="D6D1D8"/>
          </w:tcPr>
          <w:p>
            <w:pPr>
              <w:ind w:left="140"/>
              <w:spacing w:after="0"/>
              <w:rPr>
                <w:sz w:val="20"/>
                <w:szCs w:val="20"/>
                <w:color w:val="auto"/>
              </w:rPr>
            </w:pPr>
            <w:r>
              <w:rPr>
                <w:rFonts w:ascii="Arial" w:cs="Arial" w:eastAsia="Arial" w:hAnsi="Arial"/>
                <w:sz w:val="16"/>
                <w:szCs w:val="16"/>
                <w:color w:val="auto"/>
              </w:rPr>
              <w:t>Executive Vice President, General Counsel and Secretary</w:t>
            </w:r>
          </w:p>
        </w:tc>
      </w:tr>
      <w:tr>
        <w:trPr>
          <w:trHeight w:val="124"/>
        </w:trPr>
        <w:tc>
          <w:tcPr>
            <w:tcW w:w="2580" w:type="dxa"/>
            <w:vAlign w:val="bottom"/>
            <w:shd w:val="clear" w:color="auto" w:fill="D6D1D8"/>
          </w:tcPr>
          <w:p>
            <w:pPr>
              <w:spacing w:after="0"/>
              <w:rPr>
                <w:sz w:val="10"/>
                <w:szCs w:val="10"/>
                <w:color w:val="auto"/>
              </w:rPr>
            </w:pPr>
          </w:p>
        </w:tc>
        <w:tc>
          <w:tcPr>
            <w:tcW w:w="520" w:type="dxa"/>
            <w:vAlign w:val="bottom"/>
            <w:shd w:val="clear" w:color="auto" w:fill="D6D1D8"/>
          </w:tcPr>
          <w:p>
            <w:pPr>
              <w:spacing w:after="0"/>
              <w:rPr>
                <w:sz w:val="10"/>
                <w:szCs w:val="10"/>
                <w:color w:val="auto"/>
              </w:rPr>
            </w:pPr>
          </w:p>
        </w:tc>
        <w:tc>
          <w:tcPr>
            <w:tcW w:w="80" w:type="dxa"/>
            <w:vAlign w:val="bottom"/>
            <w:shd w:val="clear" w:color="auto" w:fill="D6D1D8"/>
          </w:tcPr>
          <w:p>
            <w:pPr>
              <w:spacing w:after="0"/>
              <w:rPr>
                <w:sz w:val="10"/>
                <w:szCs w:val="10"/>
                <w:color w:val="auto"/>
              </w:rPr>
            </w:pPr>
          </w:p>
        </w:tc>
        <w:tc>
          <w:tcPr>
            <w:tcW w:w="7740" w:type="dxa"/>
            <w:vAlign w:val="bottom"/>
            <w:shd w:val="clear" w:color="auto" w:fill="D6D1D8"/>
          </w:tcPr>
          <w:p>
            <w:pPr>
              <w:spacing w:after="0"/>
              <w:rPr>
                <w:sz w:val="10"/>
                <w:szCs w:val="10"/>
                <w:color w:val="auto"/>
              </w:rPr>
            </w:pPr>
          </w:p>
        </w:tc>
      </w:tr>
    </w:tbl>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NON-DIRECTOR EXECUTIVE OFFICERS</w:t>
      </w:r>
    </w:p>
    <w:p>
      <w:pPr>
        <w:spacing w:after="0" w:line="1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32"/>
          <w:szCs w:val="32"/>
          <w:color w:val="auto"/>
        </w:rPr>
        <w:t xml:space="preserve">Julie M. Cameron-Doe </w:t>
      </w:r>
      <w:r>
        <w:rPr>
          <w:rFonts w:ascii="Times New Roman" w:cs="Times New Roman" w:eastAsia="Times New Roman" w:hAnsi="Times New Roman"/>
          <w:sz w:val="17"/>
          <w:szCs w:val="17"/>
          <w:i w:val="1"/>
          <w:iCs w:val="1"/>
          <w:color w:val="auto"/>
        </w:rPr>
        <w:t>Chief Financial Officer</w:t>
      </w:r>
    </w:p>
    <w:p>
      <w:pPr>
        <w:spacing w:after="0" w:line="212" w:lineRule="exact"/>
        <w:rPr>
          <w:sz w:val="20"/>
          <w:szCs w:val="20"/>
          <w:color w:val="auto"/>
        </w:rPr>
      </w:pPr>
    </w:p>
    <w:p>
      <w:pPr>
        <w:ind w:left="160" w:right="180"/>
        <w:spacing w:after="0" w:line="260" w:lineRule="auto"/>
        <w:rPr>
          <w:sz w:val="20"/>
          <w:szCs w:val="20"/>
          <w:color w:val="auto"/>
        </w:rPr>
      </w:pPr>
      <w:r>
        <w:rPr>
          <w:rFonts w:ascii="Arial" w:cs="Arial" w:eastAsia="Arial" w:hAnsi="Arial"/>
          <w:sz w:val="14"/>
          <w:szCs w:val="14"/>
          <w:b w:val="1"/>
          <w:bCs w:val="1"/>
          <w:color w:val="auto"/>
        </w:rPr>
        <w:t xml:space="preserve">Ms. Cameron-Doe </w:t>
      </w:r>
      <w:r>
        <w:rPr>
          <w:rFonts w:ascii="Arial" w:cs="Arial" w:eastAsia="Arial" w:hAnsi="Arial"/>
          <w:sz w:val="14"/>
          <w:szCs w:val="14"/>
          <w:color w:val="auto"/>
        </w:rPr>
        <w:t>is the Company’s Chief Financial Officer, a position she has held since April 2022. Ms. Cameron-Doe is a Non-Executive Director of Wynn Macau,</w:t>
      </w:r>
      <w:r>
        <w:rPr>
          <w:rFonts w:ascii="Arial" w:cs="Arial" w:eastAsia="Arial" w:hAnsi="Arial"/>
          <w:sz w:val="14"/>
          <w:szCs w:val="14"/>
          <w:b w:val="1"/>
          <w:bCs w:val="1"/>
          <w:color w:val="auto"/>
        </w:rPr>
        <w:t xml:space="preserve"> </w:t>
      </w:r>
      <w:r>
        <w:rPr>
          <w:rFonts w:ascii="Arial" w:cs="Arial" w:eastAsia="Arial" w:hAnsi="Arial"/>
          <w:sz w:val="14"/>
          <w:szCs w:val="14"/>
          <w:color w:val="auto"/>
        </w:rPr>
        <w:t>Limited, a majority-owned subsidiary of the Company and a Non-Executive Director of the Western Union Company which is unrelated to the Company and is listed on the NYSE.</w:t>
      </w:r>
    </w:p>
    <w:p>
      <w:pPr>
        <w:spacing w:after="0" w:line="199" w:lineRule="exact"/>
        <w:rPr>
          <w:sz w:val="20"/>
          <w:szCs w:val="20"/>
          <w:color w:val="auto"/>
        </w:rPr>
      </w:pPr>
    </w:p>
    <w:p>
      <w:pPr>
        <w:ind w:left="3560"/>
        <w:spacing w:after="0"/>
        <w:rPr>
          <w:sz w:val="20"/>
          <w:szCs w:val="20"/>
          <w:color w:val="auto"/>
        </w:rPr>
      </w:pPr>
      <w:r>
        <w:rPr>
          <w:rFonts w:ascii="Arial" w:cs="Arial" w:eastAsia="Arial" w:hAnsi="Arial"/>
          <w:sz w:val="14"/>
          <w:szCs w:val="14"/>
          <w:color w:val="351B3D"/>
        </w:rPr>
        <w:t>PREVIOUS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-95885</wp:posOffset>
            </wp:positionV>
            <wp:extent cx="1885315" cy="19361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85315" cy="1936115"/>
                    </a:xfrm>
                    <a:prstGeom prst="rect">
                      <a:avLst/>
                    </a:prstGeom>
                    <a:noFill/>
                  </pic:spPr>
                </pic:pic>
              </a:graphicData>
            </a:graphic>
          </wp:anchor>
        </w:drawing>
      </w:r>
    </w:p>
    <w:p>
      <w:pPr>
        <w:ind w:left="3720" w:right="40" w:hanging="177"/>
        <w:spacing w:after="0" w:line="260" w:lineRule="auto"/>
        <w:rPr>
          <w:sz w:val="20"/>
          <w:szCs w:val="20"/>
          <w:color w:val="auto"/>
        </w:rPr>
      </w:pPr>
      <w:r>
        <w:rPr>
          <w:rFonts w:ascii="Arial" w:cs="Arial" w:eastAsia="Arial" w:hAnsi="Arial"/>
          <w:sz w:val="14"/>
          <w:szCs w:val="14"/>
          <w:color w:val="auto"/>
        </w:rPr>
        <w:t>-    2018 to 2022: CFO of Aristocrat Leisure Ltd, the world’s leading gaming manufacturer, listed on the Australian Stock Exchange</w:t>
      </w:r>
    </w:p>
    <w:p>
      <w:pPr>
        <w:spacing w:after="0" w:line="38" w:lineRule="exact"/>
        <w:rPr>
          <w:sz w:val="20"/>
          <w:szCs w:val="20"/>
          <w:color w:val="auto"/>
        </w:rPr>
      </w:pPr>
    </w:p>
    <w:p>
      <w:pPr>
        <w:ind w:left="3720" w:right="80" w:hanging="177"/>
        <w:spacing w:after="0" w:line="281" w:lineRule="auto"/>
        <w:rPr>
          <w:sz w:val="20"/>
          <w:szCs w:val="20"/>
          <w:color w:val="auto"/>
        </w:rPr>
      </w:pPr>
      <w:r>
        <w:rPr>
          <w:rFonts w:ascii="Arial" w:cs="Arial" w:eastAsia="Arial" w:hAnsi="Arial"/>
          <w:sz w:val="14"/>
          <w:szCs w:val="14"/>
          <w:color w:val="auto"/>
        </w:rPr>
        <w:t>-    2013-2018: Group General Manager—Finance at Aristocrat, where she was responsible for group finance including planning, reporting, financial control, tax, treasury, M&amp;A, risk &amp; internal audit</w:t>
      </w:r>
    </w:p>
    <w:p>
      <w:pPr>
        <w:spacing w:after="0" w:line="24" w:lineRule="exact"/>
        <w:rPr>
          <w:sz w:val="20"/>
          <w:szCs w:val="20"/>
          <w:color w:val="auto"/>
        </w:rPr>
      </w:pPr>
    </w:p>
    <w:p>
      <w:pPr>
        <w:ind w:left="3560"/>
        <w:spacing w:after="0"/>
        <w:rPr>
          <w:sz w:val="20"/>
          <w:szCs w:val="20"/>
          <w:color w:val="auto"/>
        </w:rPr>
      </w:pPr>
      <w:r>
        <w:rPr>
          <w:rFonts w:ascii="Arial" w:cs="Arial" w:eastAsia="Arial" w:hAnsi="Arial"/>
          <w:sz w:val="14"/>
          <w:szCs w:val="14"/>
          <w:color w:val="auto"/>
        </w:rPr>
        <w:t>-    Previously senior finance lead for entertainment and ecommerce companies in the United Kingdom and Australia</w:t>
      </w:r>
    </w:p>
    <w:p>
      <w:pPr>
        <w:spacing w:after="0" w:line="320" w:lineRule="exact"/>
        <w:rPr>
          <w:sz w:val="20"/>
          <w:szCs w:val="20"/>
          <w:color w:val="auto"/>
        </w:rPr>
      </w:pPr>
    </w:p>
    <w:p>
      <w:pPr>
        <w:ind w:left="3560"/>
        <w:spacing w:after="0"/>
        <w:rPr>
          <w:sz w:val="20"/>
          <w:szCs w:val="20"/>
          <w:color w:val="auto"/>
        </w:rPr>
      </w:pPr>
      <w:r>
        <w:rPr>
          <w:rFonts w:ascii="Arial" w:cs="Arial" w:eastAsia="Arial" w:hAnsi="Arial"/>
          <w:sz w:val="14"/>
          <w:szCs w:val="14"/>
          <w:color w:val="351B3D"/>
        </w:rPr>
        <w:t>EDUCATION</w:t>
      </w:r>
    </w:p>
    <w:p>
      <w:pPr>
        <w:spacing w:after="0" w:line="13" w:lineRule="exact"/>
        <w:rPr>
          <w:sz w:val="20"/>
          <w:szCs w:val="20"/>
          <w:color w:val="auto"/>
        </w:rPr>
      </w:pPr>
    </w:p>
    <w:p>
      <w:pPr>
        <w:ind w:left="3560" w:right="160"/>
        <w:spacing w:after="0" w:line="260" w:lineRule="auto"/>
        <w:rPr>
          <w:sz w:val="20"/>
          <w:szCs w:val="20"/>
          <w:color w:val="auto"/>
        </w:rPr>
      </w:pPr>
      <w:r>
        <w:rPr>
          <w:rFonts w:ascii="Arial" w:cs="Arial" w:eastAsia="Arial" w:hAnsi="Arial"/>
          <w:sz w:val="14"/>
          <w:szCs w:val="14"/>
          <w:color w:val="auto"/>
        </w:rPr>
        <w:t>Ms. Cameron-Doe graduated with a B.A. (Economics) from the University of Durham in the United Kingdom. She is a Fellow Chartered Accountant.</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w:t>
      </w:r>
    </w:p>
    <w:p>
      <w:pPr>
        <w:spacing w:after="0" w:line="7" w:lineRule="exact"/>
        <w:rPr>
          <w:sz w:val="20"/>
          <w:szCs w:val="20"/>
          <w:color w:val="auto"/>
        </w:rPr>
      </w:pPr>
    </w:p>
    <w:p>
      <w:pPr>
        <w:ind w:left="320"/>
        <w:spacing w:after="0"/>
        <w:tabs>
          <w:tab w:leader="none" w:pos="1860" w:val="left"/>
        </w:tabs>
        <w:rPr>
          <w:sz w:val="20"/>
          <w:szCs w:val="20"/>
          <w:color w:val="auto"/>
        </w:rPr>
      </w:pPr>
      <w:r>
        <w:rPr>
          <w:rFonts w:ascii="Arial" w:cs="Arial" w:eastAsia="Arial" w:hAnsi="Arial"/>
          <w:sz w:val="12"/>
          <w:szCs w:val="12"/>
          <w:color w:val="351B3D"/>
        </w:rPr>
        <w:t>Joined Wynn</w:t>
      </w:r>
      <w:r>
        <w:rPr>
          <w:sz w:val="20"/>
          <w:szCs w:val="20"/>
          <w:color w:val="auto"/>
        </w:rPr>
        <w:tab/>
      </w:r>
      <w:r>
        <w:rPr>
          <w:rFonts w:ascii="Arial" w:cs="Arial" w:eastAsia="Arial" w:hAnsi="Arial"/>
          <w:sz w:val="12"/>
          <w:szCs w:val="12"/>
          <w:color w:val="351B3D"/>
        </w:rPr>
        <w:t>April 2022</w:t>
      </w:r>
    </w:p>
    <w:p>
      <w:pPr>
        <w:spacing w:after="0" w:line="305" w:lineRule="exact"/>
        <w:rPr>
          <w:sz w:val="20"/>
          <w:szCs w:val="20"/>
          <w:color w:val="auto"/>
        </w:rPr>
      </w:pPr>
    </w:p>
    <w:p>
      <w:pPr>
        <w:ind w:left="320"/>
        <w:spacing w:after="0"/>
        <w:tabs>
          <w:tab w:leader="none" w:pos="1860" w:val="left"/>
        </w:tabs>
        <w:rPr>
          <w:sz w:val="20"/>
          <w:szCs w:val="20"/>
          <w:color w:val="auto"/>
        </w:rPr>
      </w:pPr>
      <w:r>
        <w:rPr>
          <w:rFonts w:ascii="Arial" w:cs="Arial" w:eastAsia="Arial" w:hAnsi="Arial"/>
          <w:sz w:val="12"/>
          <w:szCs w:val="12"/>
          <w:color w:val="351B3D"/>
        </w:rPr>
        <w:t>Age</w:t>
      </w:r>
      <w:r>
        <w:rPr>
          <w:sz w:val="20"/>
          <w:szCs w:val="20"/>
          <w:color w:val="auto"/>
        </w:rPr>
        <w:tab/>
      </w:r>
      <w:r>
        <w:rPr>
          <w:rFonts w:ascii="Arial" w:cs="Arial" w:eastAsia="Arial" w:hAnsi="Arial"/>
          <w:sz w:val="12"/>
          <w:szCs w:val="12"/>
          <w:color w:val="351B3D"/>
        </w:rPr>
        <w:t>55</w:t>
      </w:r>
    </w:p>
    <w:p>
      <w:pPr>
        <w:spacing w:after="0" w:line="317" w:lineRule="exact"/>
        <w:rPr>
          <w:sz w:val="20"/>
          <w:szCs w:val="20"/>
          <w:color w:val="auto"/>
        </w:rPr>
      </w:pPr>
    </w:p>
    <w:p>
      <w:pPr>
        <w:ind w:left="160"/>
        <w:spacing w:after="0"/>
        <w:rPr>
          <w:sz w:val="20"/>
          <w:szCs w:val="20"/>
          <w:color w:val="auto"/>
        </w:rPr>
      </w:pPr>
      <w:r>
        <w:rPr>
          <w:rFonts w:ascii="Arial" w:cs="Arial" w:eastAsia="Arial" w:hAnsi="Arial"/>
          <w:sz w:val="12"/>
          <w:szCs w:val="12"/>
          <w:color w:val="351B3D"/>
        </w:rPr>
        <w:t>28</w:t>
      </w:r>
    </w:p>
    <w:p>
      <w:pPr>
        <w:sectPr>
          <w:pgSz w:w="11900" w:h="16838" w:orient="portrait"/>
          <w:cols w:equalWidth="0" w:num="1">
            <w:col w:w="11080"/>
          </w:cols>
          <w:pgMar w:left="320" w:top="478"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32"/>
          <w:szCs w:val="32"/>
          <w:color w:val="auto"/>
        </w:rPr>
        <w:t xml:space="preserve">Jacqui Krum </w:t>
      </w:r>
      <w:r>
        <w:rPr>
          <w:rFonts w:ascii="Times New Roman" w:cs="Times New Roman" w:eastAsia="Times New Roman" w:hAnsi="Times New Roman"/>
          <w:sz w:val="17"/>
          <w:szCs w:val="17"/>
          <w:i w:val="1"/>
          <w:iCs w:val="1"/>
          <w:color w:val="auto"/>
        </w:rPr>
        <w:t>Executive Vice President, General Counsel and Secretary</w:t>
      </w:r>
    </w:p>
    <w:p>
      <w:pPr>
        <w:spacing w:after="0" w:line="239" w:lineRule="exact"/>
        <w:rPr>
          <w:sz w:val="20"/>
          <w:szCs w:val="20"/>
          <w:color w:val="auto"/>
        </w:rPr>
      </w:pPr>
    </w:p>
    <w:p>
      <w:pPr>
        <w:ind w:left="160" w:right="100"/>
        <w:spacing w:after="0" w:line="253" w:lineRule="auto"/>
        <w:rPr>
          <w:sz w:val="20"/>
          <w:szCs w:val="20"/>
          <w:color w:val="auto"/>
        </w:rPr>
      </w:pPr>
      <w:r>
        <w:rPr>
          <w:rFonts w:ascii="Arial" w:cs="Arial" w:eastAsia="Arial" w:hAnsi="Arial"/>
          <w:sz w:val="14"/>
          <w:szCs w:val="14"/>
          <w:b w:val="1"/>
          <w:bCs w:val="1"/>
          <w:color w:val="auto"/>
        </w:rPr>
        <w:t xml:space="preserve">Ms. Krum </w:t>
      </w:r>
      <w:r>
        <w:rPr>
          <w:rFonts w:ascii="Arial" w:cs="Arial" w:eastAsia="Arial" w:hAnsi="Arial"/>
          <w:sz w:val="14"/>
          <w:szCs w:val="14"/>
          <w:color w:val="auto"/>
        </w:rPr>
        <w:t>is the Company’s Executive Vice President, General Counsel and Secretary, a position she has held since December 1, 2024. Ms. Krum originally joined Wynn</w:t>
      </w:r>
      <w:r>
        <w:rPr>
          <w:rFonts w:ascii="Arial" w:cs="Arial" w:eastAsia="Arial" w:hAnsi="Arial"/>
          <w:sz w:val="14"/>
          <w:szCs w:val="14"/>
          <w:b w:val="1"/>
          <w:bCs w:val="1"/>
          <w:color w:val="auto"/>
        </w:rPr>
        <w:t xml:space="preserve"> </w:t>
      </w:r>
      <w:r>
        <w:rPr>
          <w:rFonts w:ascii="Arial" w:cs="Arial" w:eastAsia="Arial" w:hAnsi="Arial"/>
          <w:sz w:val="14"/>
          <w:szCs w:val="14"/>
          <w:color w:val="auto"/>
        </w:rPr>
        <w:t>Resorts in 2013 to assist with the development of gaming projects in the U.S. and abroad and was a member of the team that won the competitive gaming license bid in the Eastern Massachusetts area for Wynn Resorts. In 2015, she moved from Las Vegas to Boston to become the Senior Vice President and General Counsel at Encore Boston Harbor, helping to lead the opening of that resort in 2019.</w:t>
      </w:r>
    </w:p>
    <w:p>
      <w:pPr>
        <w:spacing w:after="0" w:line="204" w:lineRule="exact"/>
        <w:rPr>
          <w:sz w:val="20"/>
          <w:szCs w:val="20"/>
          <w:color w:val="auto"/>
        </w:rPr>
      </w:pPr>
    </w:p>
    <w:p>
      <w:pPr>
        <w:ind w:left="3400"/>
        <w:spacing w:after="0"/>
        <w:rPr>
          <w:sz w:val="20"/>
          <w:szCs w:val="20"/>
          <w:color w:val="auto"/>
        </w:rPr>
      </w:pPr>
      <w:r>
        <w:rPr>
          <w:rFonts w:ascii="Arial" w:cs="Arial" w:eastAsia="Arial" w:hAnsi="Arial"/>
          <w:sz w:val="14"/>
          <w:szCs w:val="14"/>
          <w:color w:val="351B3D"/>
        </w:rPr>
        <w:t>PREVIOUS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-95885</wp:posOffset>
            </wp:positionV>
            <wp:extent cx="1817370" cy="12738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17370" cy="1273810"/>
                    </a:xfrm>
                    <a:prstGeom prst="rect">
                      <a:avLst/>
                    </a:prstGeom>
                    <a:noFill/>
                  </pic:spPr>
                </pic:pic>
              </a:graphicData>
            </a:graphic>
          </wp:anchor>
        </w:drawing>
      </w:r>
    </w:p>
    <w:p>
      <w:pPr>
        <w:ind w:left="3400"/>
        <w:spacing w:after="0"/>
        <w:rPr>
          <w:sz w:val="20"/>
          <w:szCs w:val="20"/>
          <w:color w:val="auto"/>
        </w:rPr>
      </w:pPr>
      <w:r>
        <w:rPr>
          <w:rFonts w:ascii="Arial" w:cs="Arial" w:eastAsia="Arial" w:hAnsi="Arial"/>
          <w:sz w:val="14"/>
          <w:szCs w:val="14"/>
          <w:color w:val="351B3D"/>
        </w:rPr>
        <w:t>-</w:t>
      </w:r>
      <w:r>
        <w:rPr>
          <w:rFonts w:ascii="Arial" w:cs="Arial" w:eastAsia="Arial" w:hAnsi="Arial"/>
          <w:sz w:val="14"/>
          <w:szCs w:val="14"/>
          <w:color w:val="000000"/>
        </w:rPr>
        <w:t xml:space="preserve">    2010 to 2013: Vice President and General Counsel, MGM Hospitality, a division of MGM Resorts International</w:t>
      </w:r>
    </w:p>
    <w:p>
      <w:pPr>
        <w:spacing w:after="0" w:line="66" w:lineRule="exact"/>
        <w:rPr>
          <w:sz w:val="20"/>
          <w:szCs w:val="20"/>
          <w:color w:val="auto"/>
        </w:rPr>
      </w:pPr>
    </w:p>
    <w:p>
      <w:pPr>
        <w:ind w:left="3400"/>
        <w:spacing w:after="0"/>
        <w:rPr>
          <w:sz w:val="20"/>
          <w:szCs w:val="20"/>
          <w:color w:val="auto"/>
        </w:rPr>
      </w:pPr>
      <w:r>
        <w:rPr>
          <w:rFonts w:ascii="Arial" w:cs="Arial" w:eastAsia="Arial" w:hAnsi="Arial"/>
          <w:sz w:val="14"/>
          <w:szCs w:val="14"/>
          <w:color w:val="351B3D"/>
        </w:rPr>
        <w:t>-</w:t>
      </w:r>
      <w:r>
        <w:rPr>
          <w:rFonts w:ascii="Arial" w:cs="Arial" w:eastAsia="Arial" w:hAnsi="Arial"/>
          <w:sz w:val="14"/>
          <w:szCs w:val="14"/>
          <w:color w:val="000000"/>
        </w:rPr>
        <w:t xml:space="preserve">    1999 to 2010: Associate and Partner, Glaser, Weil, Fink, Jacobs, Howard &amp; Shapiro, LLP, Los Angeles</w:t>
      </w:r>
    </w:p>
    <w:p>
      <w:pPr>
        <w:spacing w:after="0" w:line="240" w:lineRule="exact"/>
        <w:rPr>
          <w:sz w:val="20"/>
          <w:szCs w:val="20"/>
          <w:color w:val="auto"/>
        </w:rPr>
      </w:pPr>
    </w:p>
    <w:p>
      <w:pPr>
        <w:ind w:left="3400"/>
        <w:spacing w:after="0"/>
        <w:rPr>
          <w:sz w:val="20"/>
          <w:szCs w:val="20"/>
          <w:color w:val="auto"/>
        </w:rPr>
      </w:pPr>
      <w:r>
        <w:rPr>
          <w:rFonts w:ascii="Arial" w:cs="Arial" w:eastAsia="Arial" w:hAnsi="Arial"/>
          <w:sz w:val="14"/>
          <w:szCs w:val="14"/>
          <w:color w:val="351B3D"/>
        </w:rPr>
        <w:t>EDUCATION</w:t>
      </w:r>
    </w:p>
    <w:p>
      <w:pPr>
        <w:spacing w:after="0" w:line="13" w:lineRule="exact"/>
        <w:rPr>
          <w:sz w:val="20"/>
          <w:szCs w:val="20"/>
          <w:color w:val="auto"/>
        </w:rPr>
      </w:pPr>
    </w:p>
    <w:p>
      <w:pPr>
        <w:jc w:val="both"/>
        <w:ind w:left="3400" w:right="100"/>
        <w:spacing w:after="0" w:line="249" w:lineRule="auto"/>
        <w:rPr>
          <w:sz w:val="20"/>
          <w:szCs w:val="20"/>
          <w:color w:val="auto"/>
        </w:rPr>
      </w:pPr>
      <w:r>
        <w:rPr>
          <w:rFonts w:ascii="Arial" w:cs="Arial" w:eastAsia="Arial" w:hAnsi="Arial"/>
          <w:sz w:val="14"/>
          <w:szCs w:val="14"/>
          <w:color w:val="auto"/>
        </w:rPr>
        <w:t>Ms. Krum received her Juris Doctor degree from the University of California, Los Angeles, and a Bachelor of Arts degree in political science, international relations, as well as a Bachelor of Arts in cultural anthropology, summa cum laude, from the University of California, Santa Barbara.</w:t>
      </w:r>
    </w:p>
    <w:p>
      <w:pPr>
        <w:spacing w:after="0" w:line="200" w:lineRule="exact"/>
        <w:rPr>
          <w:sz w:val="20"/>
          <w:szCs w:val="20"/>
          <w:color w:val="auto"/>
        </w:rPr>
      </w:pP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-118745</wp:posOffset>
            </wp:positionV>
            <wp:extent cx="1817370" cy="6115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17370" cy="611505"/>
                    </a:xfrm>
                    <a:prstGeom prst="rect">
                      <a:avLst/>
                    </a:prstGeom>
                    <a:noFill/>
                  </pic:spPr>
                </pic:pic>
              </a:graphicData>
            </a:graphic>
          </wp:anchor>
        </w:drawing>
      </w:r>
    </w:p>
    <w:p>
      <w:pPr>
        <w:ind w:left="320"/>
        <w:spacing w:after="0"/>
        <w:tabs>
          <w:tab w:leader="none" w:pos="1780" w:val="left"/>
        </w:tabs>
        <w:rPr>
          <w:sz w:val="20"/>
          <w:szCs w:val="20"/>
          <w:color w:val="auto"/>
        </w:rPr>
      </w:pPr>
      <w:r>
        <w:rPr>
          <w:rFonts w:ascii="Arial" w:cs="Arial" w:eastAsia="Arial" w:hAnsi="Arial"/>
          <w:sz w:val="12"/>
          <w:szCs w:val="12"/>
          <w:color w:val="351B3D"/>
        </w:rPr>
        <w:t>Joined Wynn</w:t>
      </w:r>
      <w:r>
        <w:rPr>
          <w:sz w:val="20"/>
          <w:szCs w:val="20"/>
          <w:color w:val="auto"/>
        </w:rPr>
        <w:tab/>
      </w:r>
      <w:r>
        <w:rPr>
          <w:rFonts w:ascii="Arial" w:cs="Arial" w:eastAsia="Arial" w:hAnsi="Arial"/>
          <w:sz w:val="12"/>
          <w:szCs w:val="12"/>
          <w:color w:val="351B3D"/>
        </w:rPr>
        <w:t>April 2013</w:t>
      </w:r>
    </w:p>
    <w:p>
      <w:pPr>
        <w:spacing w:after="0" w:line="305" w:lineRule="exact"/>
        <w:rPr>
          <w:sz w:val="20"/>
          <w:szCs w:val="20"/>
          <w:color w:val="auto"/>
        </w:rPr>
      </w:pPr>
    </w:p>
    <w:p>
      <w:pPr>
        <w:ind w:left="320"/>
        <w:spacing w:after="0"/>
        <w:tabs>
          <w:tab w:leader="none" w:pos="1780" w:val="left"/>
        </w:tabs>
        <w:rPr>
          <w:sz w:val="20"/>
          <w:szCs w:val="20"/>
          <w:color w:val="auto"/>
        </w:rPr>
      </w:pPr>
      <w:r>
        <w:rPr>
          <w:rFonts w:ascii="Arial" w:cs="Arial" w:eastAsia="Arial" w:hAnsi="Arial"/>
          <w:sz w:val="12"/>
          <w:szCs w:val="12"/>
          <w:color w:val="351B3D"/>
        </w:rPr>
        <w:t>Age</w:t>
      </w:r>
      <w:r>
        <w:rPr>
          <w:sz w:val="20"/>
          <w:szCs w:val="20"/>
          <w:color w:val="auto"/>
        </w:rPr>
        <w:tab/>
      </w:r>
      <w:r>
        <w:rPr>
          <w:rFonts w:ascii="Arial" w:cs="Arial" w:eastAsia="Arial" w:hAnsi="Arial"/>
          <w:sz w:val="12"/>
          <w:szCs w:val="12"/>
          <w:color w:val="351B3D"/>
        </w:rPr>
        <w:t>50</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080"/>
          </w:cols>
          <w:pgMar w:left="320" w:top="478"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7094855" cy="9171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78"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color w:val="auto"/>
        </w:rPr>
        <w:t>We believe Wynn Resorts is the world’s preeminent designer, developer, and operator of integrated resorts. The Company’s business model integrates luxury hotel rooms, high-end retail, an array of dining and entertainment options, meeting space, and gaming, all supported by superior levels of customer service provided by our approximately 28,000 employees. Our operations in Las Vegas, Macau and Boston are designed to attract a wide range of domestic and international customers.</w:t>
      </w:r>
    </w:p>
    <w:p>
      <w:pPr>
        <w:spacing w:after="0" w:line="178" w:lineRule="exact"/>
        <w:rPr>
          <w:sz w:val="20"/>
          <w:szCs w:val="20"/>
          <w:color w:val="auto"/>
        </w:rPr>
      </w:pPr>
    </w:p>
    <w:p>
      <w:pPr>
        <w:ind w:left="160" w:right="160"/>
        <w:spacing w:after="0" w:line="253" w:lineRule="auto"/>
        <w:rPr>
          <w:sz w:val="20"/>
          <w:szCs w:val="20"/>
          <w:color w:val="auto"/>
        </w:rPr>
      </w:pPr>
      <w:r>
        <w:rPr>
          <w:rFonts w:ascii="Arial" w:cs="Arial" w:eastAsia="Arial" w:hAnsi="Arial"/>
          <w:sz w:val="16"/>
          <w:szCs w:val="16"/>
          <w:color w:val="auto"/>
        </w:rPr>
        <w:t>The Compensation Committee relies on practices that are designed to incentivize and reward executives and all employees for actions that create long-term shareholder value. As a result, our executive compensation practices promote accountability for performance and align incentives with long-term shareholder value. In addition, the Compensation Committee has designed our executive compensation program to attract and retain the best-in-class talent across our business. In this compensation discussion and analysis, or CD&amp;A, we describe our philosophy and approach to executive compensation.</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FOR FISCAL 2024, OUR NEOS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1516380</wp:posOffset>
            </wp:positionH>
            <wp:positionV relativeFrom="paragraph">
              <wp:posOffset>163830</wp:posOffset>
            </wp:positionV>
            <wp:extent cx="8255" cy="13163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1316355"/>
                    </a:xfrm>
                    <a:prstGeom prst="rect">
                      <a:avLst/>
                    </a:prstGeom>
                    <a:noFill/>
                  </pic:spPr>
                </pic:pic>
              </a:graphicData>
            </a:graphic>
          </wp:anchor>
        </w:drawing>
      </w:r>
    </w:p>
    <w:p>
      <w:pPr>
        <w:spacing w:after="0" w:line="238" w:lineRule="exact"/>
        <w:rPr>
          <w:sz w:val="20"/>
          <w:szCs w:val="20"/>
          <w:color w:val="auto"/>
        </w:rPr>
      </w:pPr>
    </w:p>
    <w:tbl>
      <w:tblPr>
        <w:tblLayout w:type="fixed"/>
        <w:tblInd w:w="160" w:type="dxa"/>
        <w:tblCellMar>
          <w:top w:w="0" w:type="dxa"/>
          <w:left w:w="0" w:type="dxa"/>
          <w:bottom w:w="0" w:type="dxa"/>
          <w:right w:w="0" w:type="dxa"/>
        </w:tblCellMar>
      </w:tblPr>
      <w:tr>
        <w:trPr>
          <w:trHeight w:val="291"/>
        </w:trPr>
        <w:tc>
          <w:tcPr>
            <w:tcW w:w="2340" w:type="dxa"/>
            <w:vAlign w:val="bottom"/>
            <w:shd w:val="clear" w:color="auto" w:fill="351B3D"/>
          </w:tcPr>
          <w:p>
            <w:pPr>
              <w:ind w:left="100"/>
              <w:spacing w:after="0"/>
              <w:rPr>
                <w:sz w:val="20"/>
                <w:szCs w:val="20"/>
                <w:color w:val="auto"/>
              </w:rPr>
            </w:pPr>
            <w:r>
              <w:rPr>
                <w:rFonts w:ascii="Arial" w:cs="Arial" w:eastAsia="Arial" w:hAnsi="Arial"/>
                <w:sz w:val="16"/>
                <w:szCs w:val="16"/>
                <w:color w:val="FFFFFF"/>
              </w:rPr>
              <w:t>NAME</w:t>
            </w:r>
          </w:p>
        </w:tc>
        <w:tc>
          <w:tcPr>
            <w:tcW w:w="8580" w:type="dxa"/>
            <w:vAlign w:val="bottom"/>
            <w:shd w:val="clear" w:color="auto" w:fill="351B3D"/>
          </w:tcPr>
          <w:p>
            <w:pPr>
              <w:ind w:left="100"/>
              <w:spacing w:after="0"/>
              <w:rPr>
                <w:sz w:val="20"/>
                <w:szCs w:val="20"/>
                <w:color w:val="auto"/>
              </w:rPr>
            </w:pPr>
            <w:r>
              <w:rPr>
                <w:rFonts w:ascii="Arial" w:cs="Arial" w:eastAsia="Arial" w:hAnsi="Arial"/>
                <w:sz w:val="16"/>
                <w:szCs w:val="16"/>
                <w:color w:val="FFFFFF"/>
              </w:rPr>
              <w:t>TITLE</w:t>
            </w:r>
          </w:p>
        </w:tc>
      </w:tr>
      <w:tr>
        <w:trPr>
          <w:trHeight w:val="124"/>
        </w:trPr>
        <w:tc>
          <w:tcPr>
            <w:tcW w:w="2340" w:type="dxa"/>
            <w:vAlign w:val="bottom"/>
            <w:shd w:val="clear" w:color="auto" w:fill="351B3D"/>
          </w:tcPr>
          <w:p>
            <w:pPr>
              <w:spacing w:after="0"/>
              <w:rPr>
                <w:sz w:val="10"/>
                <w:szCs w:val="10"/>
                <w:color w:val="auto"/>
              </w:rPr>
            </w:pPr>
          </w:p>
        </w:tc>
        <w:tc>
          <w:tcPr>
            <w:tcW w:w="8580" w:type="dxa"/>
            <w:vAlign w:val="bottom"/>
            <w:shd w:val="clear" w:color="auto" w:fill="351B3D"/>
          </w:tcPr>
          <w:p>
            <w:pPr>
              <w:spacing w:after="0"/>
              <w:rPr>
                <w:sz w:val="10"/>
                <w:szCs w:val="10"/>
                <w:color w:val="auto"/>
              </w:rPr>
            </w:pPr>
          </w:p>
        </w:tc>
      </w:tr>
      <w:tr>
        <w:trPr>
          <w:trHeight w:val="304"/>
        </w:trPr>
        <w:tc>
          <w:tcPr>
            <w:tcW w:w="2340" w:type="dxa"/>
            <w:vAlign w:val="bottom"/>
            <w:shd w:val="clear" w:color="auto" w:fill="D6D1D8"/>
          </w:tcPr>
          <w:p>
            <w:pPr>
              <w:ind w:left="100"/>
              <w:spacing w:after="0"/>
              <w:rPr>
                <w:sz w:val="20"/>
                <w:szCs w:val="20"/>
                <w:color w:val="auto"/>
              </w:rPr>
            </w:pPr>
            <w:r>
              <w:rPr>
                <w:rFonts w:ascii="Arial" w:cs="Arial" w:eastAsia="Arial" w:hAnsi="Arial"/>
                <w:sz w:val="16"/>
                <w:szCs w:val="16"/>
                <w:color w:val="auto"/>
              </w:rPr>
              <w:t>Craig S. Billings</w:t>
            </w:r>
          </w:p>
        </w:tc>
        <w:tc>
          <w:tcPr>
            <w:tcW w:w="8580" w:type="dxa"/>
            <w:vAlign w:val="bottom"/>
            <w:shd w:val="clear" w:color="auto" w:fill="D6D1D8"/>
          </w:tcPr>
          <w:p>
            <w:pPr>
              <w:ind w:left="100"/>
              <w:spacing w:after="0"/>
              <w:rPr>
                <w:sz w:val="20"/>
                <w:szCs w:val="20"/>
                <w:color w:val="auto"/>
              </w:rPr>
            </w:pPr>
            <w:r>
              <w:rPr>
                <w:rFonts w:ascii="Arial" w:cs="Arial" w:eastAsia="Arial" w:hAnsi="Arial"/>
                <w:sz w:val="16"/>
                <w:szCs w:val="16"/>
                <w:color w:val="auto"/>
              </w:rPr>
              <w:t>Chief Executive Officer</w:t>
            </w:r>
          </w:p>
        </w:tc>
      </w:tr>
      <w:tr>
        <w:trPr>
          <w:trHeight w:val="110"/>
        </w:trPr>
        <w:tc>
          <w:tcPr>
            <w:tcW w:w="2340" w:type="dxa"/>
            <w:vAlign w:val="bottom"/>
            <w:shd w:val="clear" w:color="auto" w:fill="D6D1D8"/>
          </w:tcPr>
          <w:p>
            <w:pPr>
              <w:spacing w:after="0"/>
              <w:rPr>
                <w:sz w:val="9"/>
                <w:szCs w:val="9"/>
                <w:color w:val="auto"/>
              </w:rPr>
            </w:pPr>
          </w:p>
        </w:tc>
        <w:tc>
          <w:tcPr>
            <w:tcW w:w="8580" w:type="dxa"/>
            <w:vAlign w:val="bottom"/>
            <w:shd w:val="clear" w:color="auto" w:fill="D6D1D8"/>
          </w:tcPr>
          <w:p>
            <w:pPr>
              <w:spacing w:after="0"/>
              <w:rPr>
                <w:sz w:val="9"/>
                <w:szCs w:val="9"/>
                <w:color w:val="auto"/>
              </w:rPr>
            </w:pPr>
          </w:p>
        </w:tc>
      </w:tr>
      <w:tr>
        <w:trPr>
          <w:trHeight w:val="304"/>
        </w:trPr>
        <w:tc>
          <w:tcPr>
            <w:tcW w:w="2340" w:type="dxa"/>
            <w:vAlign w:val="bottom"/>
          </w:tcPr>
          <w:p>
            <w:pPr>
              <w:ind w:left="100"/>
              <w:spacing w:after="0"/>
              <w:rPr>
                <w:sz w:val="20"/>
                <w:szCs w:val="20"/>
                <w:color w:val="auto"/>
              </w:rPr>
            </w:pPr>
            <w:r>
              <w:rPr>
                <w:rFonts w:ascii="Arial" w:cs="Arial" w:eastAsia="Arial" w:hAnsi="Arial"/>
                <w:sz w:val="16"/>
                <w:szCs w:val="16"/>
                <w:color w:val="auto"/>
              </w:rPr>
              <w:t xml:space="preserve">Julie M. Cameron-Doe          </w:t>
            </w:r>
          </w:p>
        </w:tc>
        <w:tc>
          <w:tcPr>
            <w:tcW w:w="8580" w:type="dxa"/>
            <w:vAlign w:val="bottom"/>
          </w:tcPr>
          <w:p>
            <w:pPr>
              <w:ind w:left="100"/>
              <w:spacing w:after="0"/>
              <w:rPr>
                <w:sz w:val="20"/>
                <w:szCs w:val="20"/>
                <w:color w:val="auto"/>
              </w:rPr>
            </w:pPr>
            <w:r>
              <w:rPr>
                <w:rFonts w:ascii="Arial" w:cs="Arial" w:eastAsia="Arial" w:hAnsi="Arial"/>
                <w:sz w:val="16"/>
                <w:szCs w:val="16"/>
                <w:color w:val="auto"/>
              </w:rPr>
              <w:t>Chief Financial Officer</w:t>
            </w:r>
          </w:p>
        </w:tc>
      </w:tr>
      <w:tr>
        <w:trPr>
          <w:trHeight w:val="110"/>
        </w:trPr>
        <w:tc>
          <w:tcPr>
            <w:tcW w:w="2340" w:type="dxa"/>
            <w:vAlign w:val="bottom"/>
          </w:tcPr>
          <w:p>
            <w:pPr>
              <w:spacing w:after="0"/>
              <w:rPr>
                <w:sz w:val="9"/>
                <w:szCs w:val="9"/>
                <w:color w:val="auto"/>
              </w:rPr>
            </w:pPr>
          </w:p>
        </w:tc>
        <w:tc>
          <w:tcPr>
            <w:tcW w:w="8580" w:type="dxa"/>
            <w:vAlign w:val="bottom"/>
          </w:tcPr>
          <w:p>
            <w:pPr>
              <w:spacing w:after="0"/>
              <w:rPr>
                <w:sz w:val="9"/>
                <w:szCs w:val="9"/>
                <w:color w:val="auto"/>
              </w:rPr>
            </w:pPr>
          </w:p>
        </w:tc>
      </w:tr>
      <w:tr>
        <w:trPr>
          <w:trHeight w:val="304"/>
        </w:trPr>
        <w:tc>
          <w:tcPr>
            <w:tcW w:w="2340" w:type="dxa"/>
            <w:vAlign w:val="bottom"/>
            <w:shd w:val="clear" w:color="auto" w:fill="D6D1D8"/>
          </w:tcPr>
          <w:p>
            <w:pPr>
              <w:ind w:left="100"/>
              <w:spacing w:after="0"/>
              <w:rPr>
                <w:sz w:val="20"/>
                <w:szCs w:val="20"/>
                <w:color w:val="auto"/>
              </w:rPr>
            </w:pPr>
            <w:r>
              <w:rPr>
                <w:rFonts w:ascii="Arial" w:cs="Arial" w:eastAsia="Arial" w:hAnsi="Arial"/>
                <w:sz w:val="16"/>
                <w:szCs w:val="16"/>
                <w:color w:val="auto"/>
              </w:rPr>
              <w:t>Jacqui Krum (1)</w:t>
            </w:r>
          </w:p>
        </w:tc>
        <w:tc>
          <w:tcPr>
            <w:tcW w:w="8580" w:type="dxa"/>
            <w:vAlign w:val="bottom"/>
            <w:shd w:val="clear" w:color="auto" w:fill="D6D1D8"/>
          </w:tcPr>
          <w:p>
            <w:pPr>
              <w:ind w:left="100"/>
              <w:spacing w:after="0"/>
              <w:rPr>
                <w:sz w:val="20"/>
                <w:szCs w:val="20"/>
                <w:color w:val="auto"/>
              </w:rPr>
            </w:pPr>
            <w:r>
              <w:rPr>
                <w:rFonts w:ascii="Arial" w:cs="Arial" w:eastAsia="Arial" w:hAnsi="Arial"/>
                <w:sz w:val="16"/>
                <w:szCs w:val="16"/>
                <w:color w:val="auto"/>
              </w:rPr>
              <w:t>Executive Vice President, General Counsel and Secretary</w:t>
            </w:r>
          </w:p>
        </w:tc>
      </w:tr>
      <w:tr>
        <w:trPr>
          <w:trHeight w:val="110"/>
        </w:trPr>
        <w:tc>
          <w:tcPr>
            <w:tcW w:w="2340" w:type="dxa"/>
            <w:vAlign w:val="bottom"/>
            <w:shd w:val="clear" w:color="auto" w:fill="D6D1D8"/>
          </w:tcPr>
          <w:p>
            <w:pPr>
              <w:spacing w:after="0"/>
              <w:rPr>
                <w:sz w:val="9"/>
                <w:szCs w:val="9"/>
                <w:color w:val="auto"/>
              </w:rPr>
            </w:pPr>
          </w:p>
        </w:tc>
        <w:tc>
          <w:tcPr>
            <w:tcW w:w="8580" w:type="dxa"/>
            <w:vAlign w:val="bottom"/>
            <w:shd w:val="clear" w:color="auto" w:fill="D6D1D8"/>
          </w:tcPr>
          <w:p>
            <w:pPr>
              <w:spacing w:after="0"/>
              <w:rPr>
                <w:sz w:val="9"/>
                <w:szCs w:val="9"/>
                <w:color w:val="auto"/>
              </w:rPr>
            </w:pPr>
          </w:p>
        </w:tc>
      </w:tr>
      <w:tr>
        <w:trPr>
          <w:trHeight w:val="304"/>
        </w:trPr>
        <w:tc>
          <w:tcPr>
            <w:tcW w:w="2340" w:type="dxa"/>
            <w:vAlign w:val="bottom"/>
          </w:tcPr>
          <w:p>
            <w:pPr>
              <w:ind w:left="100"/>
              <w:spacing w:after="0"/>
              <w:rPr>
                <w:sz w:val="20"/>
                <w:szCs w:val="20"/>
                <w:color w:val="auto"/>
              </w:rPr>
            </w:pPr>
            <w:r>
              <w:rPr>
                <w:rFonts w:ascii="Arial" w:cs="Arial" w:eastAsia="Arial" w:hAnsi="Arial"/>
                <w:sz w:val="16"/>
                <w:szCs w:val="16"/>
                <w:color w:val="auto"/>
              </w:rPr>
              <w:t>Ellen F. Whittemore (2)</w:t>
            </w:r>
          </w:p>
        </w:tc>
        <w:tc>
          <w:tcPr>
            <w:tcW w:w="8580" w:type="dxa"/>
            <w:vAlign w:val="bottom"/>
          </w:tcPr>
          <w:p>
            <w:pPr>
              <w:ind w:left="100"/>
              <w:spacing w:after="0"/>
              <w:rPr>
                <w:sz w:val="20"/>
                <w:szCs w:val="20"/>
                <w:color w:val="auto"/>
              </w:rPr>
            </w:pPr>
            <w:r>
              <w:rPr>
                <w:rFonts w:ascii="Arial" w:cs="Arial" w:eastAsia="Arial" w:hAnsi="Arial"/>
                <w:sz w:val="16"/>
                <w:szCs w:val="16"/>
                <w:color w:val="auto"/>
              </w:rPr>
              <w:t>Former Executive Vice President, General Counsel and Secretary</w:t>
            </w:r>
          </w:p>
        </w:tc>
      </w:tr>
    </w:tbl>
    <w:p>
      <w:pPr>
        <w:spacing w:after="0" w:line="200" w:lineRule="exact"/>
        <w:rPr>
          <w:sz w:val="20"/>
          <w:szCs w:val="20"/>
          <w:color w:val="auto"/>
        </w:rPr>
      </w:pPr>
    </w:p>
    <w:p>
      <w:pPr>
        <w:ind w:left="160" w:right="620" w:firstLine="7"/>
        <w:spacing w:after="0" w:line="279" w:lineRule="auto"/>
        <w:tabs>
          <w:tab w:leader="none" w:pos="347" w:val="left"/>
        </w:tabs>
        <w:numPr>
          <w:ilvl w:val="0"/>
          <w:numId w:val="21"/>
        </w:numPr>
        <w:rPr>
          <w:rFonts w:ascii="Arial" w:cs="Arial" w:eastAsia="Arial" w:hAnsi="Arial"/>
          <w:sz w:val="12"/>
          <w:szCs w:val="12"/>
          <w:color w:val="auto"/>
        </w:rPr>
      </w:pPr>
      <w:r>
        <w:rPr>
          <w:rFonts w:ascii="Arial" w:cs="Arial" w:eastAsia="Arial" w:hAnsi="Arial"/>
          <w:sz w:val="12"/>
          <w:szCs w:val="12"/>
          <w:color w:val="auto"/>
        </w:rPr>
        <w:t>Effective as of December 1, 2024, the Board appointed Ms. Krum as the Executive Vice President, General Counsel and Secretary of the Company. Ms. Krum previously served as the Company’s Senior Vice President and General Counsel at Encore Boston Harbor.</w:t>
      </w:r>
    </w:p>
    <w:p>
      <w:pPr>
        <w:spacing w:after="0" w:line="53" w:lineRule="exact"/>
        <w:rPr>
          <w:rFonts w:ascii="Arial" w:cs="Arial" w:eastAsia="Arial" w:hAnsi="Arial"/>
          <w:sz w:val="12"/>
          <w:szCs w:val="12"/>
          <w:color w:val="auto"/>
        </w:rPr>
      </w:pPr>
    </w:p>
    <w:p>
      <w:pPr>
        <w:ind w:left="160" w:right="100" w:firstLine="7"/>
        <w:spacing w:after="0" w:line="256" w:lineRule="auto"/>
        <w:tabs>
          <w:tab w:leader="none" w:pos="347" w:val="left"/>
        </w:tabs>
        <w:numPr>
          <w:ilvl w:val="0"/>
          <w:numId w:val="21"/>
        </w:numPr>
        <w:rPr>
          <w:rFonts w:ascii="Arial" w:cs="Arial" w:eastAsia="Arial" w:hAnsi="Arial"/>
          <w:sz w:val="12"/>
          <w:szCs w:val="12"/>
          <w:color w:val="auto"/>
        </w:rPr>
      </w:pPr>
      <w:r>
        <w:rPr>
          <w:rFonts w:ascii="Arial" w:cs="Arial" w:eastAsia="Arial" w:hAnsi="Arial"/>
          <w:sz w:val="12"/>
          <w:szCs w:val="12"/>
          <w:color w:val="auto"/>
        </w:rPr>
        <w:t>On September 26, 2024, Ms. Whittemore notified the Company of her retirement, effective as of January 31, 2025. In connection with her retirement, Ms. Whittemore transitioned to the role of Executive Vice President of the Company, effective as of December 1, 2024. Ms. Whittemore remained Executive Vice President of the Company until her retirement from the Company effective as of January 31, 2025.</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080"/>
          </w:cols>
          <w:pgMar w:left="320" w:top="478"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45"/>
          <w:szCs w:val="45"/>
          <w:color w:val="140F21"/>
        </w:rPr>
        <w:t>How We Approach Executive Compensation</w:t>
      </w:r>
    </w:p>
    <w:p>
      <w:pPr>
        <w:spacing w:after="0" w:line="344" w:lineRule="exact"/>
        <w:rPr>
          <w:sz w:val="20"/>
          <w:szCs w:val="20"/>
          <w:color w:val="auto"/>
        </w:rPr>
      </w:pPr>
    </w:p>
    <w:p>
      <w:pPr>
        <w:ind w:left="160" w:right="200"/>
        <w:spacing w:after="0" w:line="279" w:lineRule="auto"/>
        <w:rPr>
          <w:sz w:val="20"/>
          <w:szCs w:val="20"/>
          <w:color w:val="auto"/>
        </w:rPr>
      </w:pPr>
      <w:r>
        <w:rPr>
          <w:rFonts w:ascii="Arial" w:cs="Arial" w:eastAsia="Arial" w:hAnsi="Arial"/>
          <w:sz w:val="16"/>
          <w:szCs w:val="16"/>
          <w:color w:val="auto"/>
        </w:rPr>
        <w:t>Our executive compensation philosophy is to align the interests of our executives with those of our long-term shareholders by designing incentives that are directly tied to actions that create sustainable long-term shareholder value.</w:t>
      </w:r>
    </w:p>
    <w:p>
      <w:pPr>
        <w:spacing w:after="0" w:line="161" w:lineRule="exact"/>
        <w:rPr>
          <w:sz w:val="20"/>
          <w:szCs w:val="20"/>
          <w:color w:val="auto"/>
        </w:rPr>
      </w:pPr>
    </w:p>
    <w:p>
      <w:pPr>
        <w:ind w:left="160" w:right="680"/>
        <w:spacing w:after="0" w:line="279" w:lineRule="auto"/>
        <w:rPr>
          <w:sz w:val="20"/>
          <w:szCs w:val="20"/>
          <w:color w:val="auto"/>
        </w:rPr>
      </w:pPr>
      <w:r>
        <w:rPr>
          <w:rFonts w:ascii="Arial" w:cs="Arial" w:eastAsia="Arial" w:hAnsi="Arial"/>
          <w:sz w:val="16"/>
          <w:szCs w:val="16"/>
          <w:color w:val="auto"/>
        </w:rPr>
        <w:t>We, the Compensation Committee, believe that our ability to oversee the delivery of operational excellence and sustainable long-term returns to shareholders is inexorably linked to attracting and retaining a high-performing management team.</w:t>
      </w:r>
    </w:p>
    <w:p>
      <w:pPr>
        <w:spacing w:after="0" w:line="161"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color w:val="auto"/>
        </w:rPr>
        <w:t>Hence, we have designed our executive compensation program to attract, reward, and retain executive officers who create continual near- and long-term shareholder value by achieving the Company’s strategic goals, as established by the Compensation Committee. We also believe that stability at the executive level is key to the strength of the Company, particularly given the relatively small pool of executives with gaming experience for whom we compete.</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To achieve this, we rely on the following principles:</w:t>
      </w:r>
    </w:p>
    <w:p>
      <w:pPr>
        <w:spacing w:after="0" w:line="217" w:lineRule="exact"/>
        <w:rPr>
          <w:sz w:val="20"/>
          <w:szCs w:val="20"/>
          <w:color w:val="auto"/>
        </w:rPr>
      </w:pPr>
    </w:p>
    <w:p>
      <w:pPr>
        <w:ind w:left="160" w:right="60"/>
        <w:spacing w:after="0" w:line="262" w:lineRule="auto"/>
        <w:rPr>
          <w:sz w:val="20"/>
          <w:szCs w:val="20"/>
          <w:color w:val="auto"/>
        </w:rPr>
      </w:pPr>
      <w:r>
        <w:rPr>
          <w:rFonts w:ascii="Arial" w:cs="Arial" w:eastAsia="Arial" w:hAnsi="Arial"/>
          <w:sz w:val="16"/>
          <w:szCs w:val="16"/>
          <w:color w:val="351B3D"/>
        </w:rPr>
        <w:t xml:space="preserve">PAY-FOR-SUSTAINABLE PERFORMANCE: </w:t>
      </w:r>
      <w:r>
        <w:rPr>
          <w:rFonts w:ascii="Arial" w:cs="Arial" w:eastAsia="Arial" w:hAnsi="Arial"/>
          <w:sz w:val="16"/>
          <w:szCs w:val="16"/>
          <w:color w:val="000000"/>
        </w:rPr>
        <w:t>The majority of our executives’ total compensation is tied to achieving annual and long-term goals that</w:t>
      </w:r>
      <w:r>
        <w:rPr>
          <w:rFonts w:ascii="Arial" w:cs="Arial" w:eastAsia="Arial" w:hAnsi="Arial"/>
          <w:sz w:val="16"/>
          <w:szCs w:val="16"/>
          <w:color w:val="351B3D"/>
        </w:rPr>
        <w:t xml:space="preserve"> </w:t>
      </w:r>
      <w:r>
        <w:rPr>
          <w:rFonts w:ascii="Arial" w:cs="Arial" w:eastAsia="Arial" w:hAnsi="Arial"/>
          <w:sz w:val="16"/>
          <w:szCs w:val="16"/>
          <w:color w:val="000000"/>
        </w:rPr>
        <w:t>enhance the value of our reputation and brand, sustain the performance and attractiveness of our resorts and thereby drive long-term shareholder value. The Compensation Committee retains discretion to reduce amounts earned and payable when doing so will further these goals.</w:t>
      </w:r>
    </w:p>
    <w:p>
      <w:pPr>
        <w:spacing w:after="0" w:line="173" w:lineRule="exact"/>
        <w:rPr>
          <w:sz w:val="20"/>
          <w:szCs w:val="20"/>
          <w:color w:val="auto"/>
        </w:rPr>
      </w:pPr>
    </w:p>
    <w:p>
      <w:pPr>
        <w:ind w:left="160" w:right="100"/>
        <w:spacing w:after="0" w:line="251" w:lineRule="auto"/>
        <w:rPr>
          <w:sz w:val="20"/>
          <w:szCs w:val="20"/>
          <w:color w:val="auto"/>
        </w:rPr>
      </w:pPr>
      <w:r>
        <w:rPr>
          <w:rFonts w:ascii="Arial" w:cs="Arial" w:eastAsia="Arial" w:hAnsi="Arial"/>
          <w:sz w:val="16"/>
          <w:szCs w:val="16"/>
          <w:color w:val="351B3D"/>
        </w:rPr>
        <w:t xml:space="preserve">SHAREHOLDER ALIGNMENT: </w:t>
      </w:r>
      <w:r>
        <w:rPr>
          <w:rFonts w:ascii="Arial" w:cs="Arial" w:eastAsia="Arial" w:hAnsi="Arial"/>
          <w:sz w:val="16"/>
          <w:szCs w:val="16"/>
          <w:color w:val="000000"/>
        </w:rPr>
        <w:t>Our long-term equity incentives align our executives’ interests with those of our long-term shareholders and other</w:t>
      </w:r>
      <w:r>
        <w:rPr>
          <w:rFonts w:ascii="Arial" w:cs="Arial" w:eastAsia="Arial" w:hAnsi="Arial"/>
          <w:sz w:val="16"/>
          <w:szCs w:val="16"/>
          <w:color w:val="351B3D"/>
        </w:rPr>
        <w:t xml:space="preserve"> </w:t>
      </w:r>
      <w:r>
        <w:rPr>
          <w:rFonts w:ascii="Arial" w:cs="Arial" w:eastAsia="Arial" w:hAnsi="Arial"/>
          <w:sz w:val="16"/>
          <w:szCs w:val="16"/>
          <w:color w:val="000000"/>
        </w:rPr>
        <w:t>stakeholders. Our executive compensation program focuses on key metrics that are critical drivers for realizing our strategic objectives and achieving long-term results. By focusing on regular equity grants that vest over three years and on performance-based awards, we believe that the alignment of interest is strengthened, especially when coupled with stock ownership requirements for executives (which is 6x base salary for our CEO and 3x base salary for our other NEOs). To further alignment, 50% of our NEO’s annual incentive compensation is paid in equity (rather than all cash), with the equity being subject to our robust stock ownership requirements.</w:t>
      </w:r>
    </w:p>
    <w:p>
      <w:pPr>
        <w:spacing w:after="0" w:line="183" w:lineRule="exact"/>
        <w:rPr>
          <w:sz w:val="20"/>
          <w:szCs w:val="20"/>
          <w:color w:val="auto"/>
        </w:rPr>
      </w:pPr>
    </w:p>
    <w:p>
      <w:pPr>
        <w:ind w:left="160" w:right="260"/>
        <w:spacing w:after="0" w:line="279" w:lineRule="auto"/>
        <w:rPr>
          <w:sz w:val="20"/>
          <w:szCs w:val="20"/>
          <w:color w:val="auto"/>
        </w:rPr>
      </w:pPr>
      <w:r>
        <w:rPr>
          <w:rFonts w:ascii="Arial" w:cs="Arial" w:eastAsia="Arial" w:hAnsi="Arial"/>
          <w:sz w:val="16"/>
          <w:szCs w:val="16"/>
          <w:color w:val="351B3D"/>
        </w:rPr>
        <w:t xml:space="preserve">SIMPLICITY AND CLARITY: </w:t>
      </w:r>
      <w:r>
        <w:rPr>
          <w:rFonts w:ascii="Arial" w:cs="Arial" w:eastAsia="Arial" w:hAnsi="Arial"/>
          <w:sz w:val="16"/>
          <w:szCs w:val="16"/>
          <w:color w:val="000000"/>
        </w:rPr>
        <w:t>We value pay structures that are simple and clear. We believe pay simplicity promotes transparency, avoids incentivizing</w:t>
      </w:r>
      <w:r>
        <w:rPr>
          <w:rFonts w:ascii="Arial" w:cs="Arial" w:eastAsia="Arial" w:hAnsi="Arial"/>
          <w:sz w:val="16"/>
          <w:szCs w:val="16"/>
          <w:color w:val="351B3D"/>
        </w:rPr>
        <w:t xml:space="preserve"> </w:t>
      </w:r>
      <w:r>
        <w:rPr>
          <w:rFonts w:ascii="Arial" w:cs="Arial" w:eastAsia="Arial" w:hAnsi="Arial"/>
          <w:sz w:val="16"/>
          <w:szCs w:val="16"/>
          <w:color w:val="000000"/>
        </w:rPr>
        <w:t>pay goals at the expense of ongoing excellence and performance, minimizes compensation risk, and promotes teamwork.</w:t>
      </w:r>
    </w:p>
    <w:p>
      <w:pPr>
        <w:spacing w:after="0" w:line="161"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351B3D"/>
        </w:rPr>
        <w:t xml:space="preserve">ATTRACT AND RETAIN TOP TALENT: </w:t>
      </w:r>
      <w:r>
        <w:rPr>
          <w:rFonts w:ascii="Arial" w:cs="Arial" w:eastAsia="Arial" w:hAnsi="Arial"/>
          <w:sz w:val="16"/>
          <w:szCs w:val="16"/>
          <w:color w:val="000000"/>
        </w:rPr>
        <w:t>Our business spans continents, can be subject to meaningful volatility, requires tight coordination with regulators,</w:t>
      </w:r>
      <w:r>
        <w:rPr>
          <w:rFonts w:ascii="Arial" w:cs="Arial" w:eastAsia="Arial" w:hAnsi="Arial"/>
          <w:sz w:val="16"/>
          <w:szCs w:val="16"/>
          <w:color w:val="351B3D"/>
        </w:rPr>
        <w:t xml:space="preserve"> </w:t>
      </w:r>
      <w:r>
        <w:rPr>
          <w:rFonts w:ascii="Arial" w:cs="Arial" w:eastAsia="Arial" w:hAnsi="Arial"/>
          <w:sz w:val="16"/>
          <w:szCs w:val="16"/>
          <w:color w:val="000000"/>
        </w:rPr>
        <w:t>depends on knowledge of numerous types of complex operations, requires diligent investment over many years and across business cycles, and is highly dependent on a reputation for excellence and integrity. Hence, finding and retaining top talent is a critical element of our executive compensation program.</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12"/>
          <w:szCs w:val="12"/>
          <w:color w:val="351B3D"/>
        </w:rPr>
        <w:t>32</w:t>
      </w:r>
    </w:p>
    <w:p>
      <w:pPr>
        <w:sectPr>
          <w:pgSz w:w="11900" w:h="16838" w:orient="portrait"/>
          <w:cols w:equalWidth="0" w:num="1">
            <w:col w:w="11040"/>
          </w:cols>
          <w:pgMar w:left="320" w:top="478" w:right="5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45"/>
          <w:szCs w:val="45"/>
          <w:color w:val="140F21"/>
        </w:rPr>
        <w:t>How We Designed Incentives for 2024</w:t>
      </w:r>
    </w:p>
    <w:p>
      <w:pPr>
        <w:spacing w:after="0" w:line="344"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2024 PAY PROGRAM HIGHLIGHTS:</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 2024, the Compensation Committee:</w:t>
      </w:r>
    </w:p>
    <w:p>
      <w:pPr>
        <w:spacing w:after="0" w:line="228" w:lineRule="exact"/>
        <w:rPr>
          <w:sz w:val="20"/>
          <w:szCs w:val="20"/>
          <w:color w:val="auto"/>
        </w:rPr>
      </w:pPr>
    </w:p>
    <w:p>
      <w:pPr>
        <w:ind w:left="380" w:right="200" w:hanging="213"/>
        <w:spacing w:after="0" w:line="279" w:lineRule="auto"/>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Set rigorous financial metrics for annual incentives including robust Adjusted Property EBITDAR targets at each of our properties and other strategic performance goals.</w:t>
      </w:r>
    </w:p>
    <w:p>
      <w:pPr>
        <w:spacing w:after="0" w:line="187" w:lineRule="exact"/>
        <w:rPr>
          <w:rFonts w:ascii="Arial" w:cs="Arial" w:eastAsia="Arial" w:hAnsi="Arial"/>
          <w:sz w:val="16"/>
          <w:szCs w:val="16"/>
          <w:color w:val="auto"/>
        </w:rPr>
      </w:pPr>
    </w:p>
    <w:p>
      <w:pPr>
        <w:ind w:left="380" w:hanging="213"/>
        <w:spacing w:after="0"/>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Continued to pay 50% of our NEO’s annual incentive compensation in equity.</w:t>
      </w:r>
    </w:p>
    <w:p>
      <w:pPr>
        <w:spacing w:after="0" w:line="243" w:lineRule="exact"/>
        <w:rPr>
          <w:rFonts w:ascii="Arial" w:cs="Arial" w:eastAsia="Arial" w:hAnsi="Arial"/>
          <w:sz w:val="16"/>
          <w:szCs w:val="16"/>
          <w:color w:val="auto"/>
        </w:rPr>
      </w:pPr>
    </w:p>
    <w:p>
      <w:pPr>
        <w:ind w:left="380" w:right="80" w:hanging="213"/>
        <w:spacing w:after="0" w:line="256" w:lineRule="auto"/>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Awarded 55% of our long-term incentive stock compensation in performance-based equity that vests upon (i) achievement of pre-established financial performance goals that are based on the Company’s ability to achieve a premium revenue “fair share” relative to its peers (see discussion of this metric below), on a one-, two- and three-year basis (30%); and (ii) a three-year absolute total shareholder return hurdle rate (25%). Please see “Compensation Discussion and Analysis”—“2024 Long-term Incentive Grants” for further discussion of the 2024 stock grants.</w:t>
      </w:r>
    </w:p>
    <w:p>
      <w:pPr>
        <w:spacing w:after="0" w:line="204" w:lineRule="exact"/>
        <w:rPr>
          <w:rFonts w:ascii="Arial" w:cs="Arial" w:eastAsia="Arial" w:hAnsi="Arial"/>
          <w:sz w:val="16"/>
          <w:szCs w:val="16"/>
          <w:color w:val="auto"/>
        </w:rPr>
      </w:pPr>
    </w:p>
    <w:p>
      <w:pPr>
        <w:ind w:left="380" w:right="640" w:hanging="213"/>
        <w:spacing w:after="0" w:line="279" w:lineRule="auto"/>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Reaffirmed its commitment to keep our executives’ total compensation around peer median and conducted an overall analysis of all NEO total compensation to confirm compliance.</w:t>
      </w:r>
    </w:p>
    <w:p>
      <w:pPr>
        <w:spacing w:after="0" w:line="187" w:lineRule="exact"/>
        <w:rPr>
          <w:rFonts w:ascii="Arial" w:cs="Arial" w:eastAsia="Arial" w:hAnsi="Arial"/>
          <w:sz w:val="16"/>
          <w:szCs w:val="16"/>
          <w:color w:val="auto"/>
        </w:rPr>
      </w:pPr>
    </w:p>
    <w:p>
      <w:pPr>
        <w:ind w:left="380" w:right="260" w:hanging="213"/>
        <w:spacing w:after="0" w:line="279" w:lineRule="auto"/>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Promoted Jacqui Krum to Executive Vice President, General Counsel and Secretary of the Company and oversaw the successful transition of Ellen Whittemore, our former Executive Vice President, General Counsel and Secretary, in connection with her retirement.</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080"/>
          </w:cols>
          <w:pgMar w:left="320" w:top="478"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45"/>
          <w:szCs w:val="45"/>
          <w:color w:val="140F21"/>
        </w:rPr>
        <w:t>Executive Compensation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3129915</wp:posOffset>
            </wp:positionH>
            <wp:positionV relativeFrom="paragraph">
              <wp:posOffset>252730</wp:posOffset>
            </wp:positionV>
            <wp:extent cx="8255" cy="36093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3609340"/>
                    </a:xfrm>
                    <a:prstGeom prst="rect">
                      <a:avLst/>
                    </a:prstGeom>
                    <a:noFill/>
                  </pic:spPr>
                </pic:pic>
              </a:graphicData>
            </a:graphic>
          </wp:anchor>
        </w:drawing>
        <w:drawing>
          <wp:anchor simplePos="0" relativeHeight="251657728" behindDoc="1" locked="0" layoutInCell="0" allowOverlap="1">
            <wp:simplePos x="0" y="0"/>
            <wp:positionH relativeFrom="column">
              <wp:posOffset>2458720</wp:posOffset>
            </wp:positionH>
            <wp:positionV relativeFrom="paragraph">
              <wp:posOffset>252730</wp:posOffset>
            </wp:positionV>
            <wp:extent cx="8255" cy="23863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2386330"/>
                    </a:xfrm>
                    <a:prstGeom prst="rect">
                      <a:avLst/>
                    </a:prstGeom>
                    <a:noFill/>
                  </pic:spPr>
                </pic:pic>
              </a:graphicData>
            </a:graphic>
          </wp:anchor>
        </w:drawing>
        <w:drawing>
          <wp:anchor simplePos="0" relativeHeight="251657728" behindDoc="1" locked="0" layoutInCell="0" allowOverlap="1">
            <wp:simplePos x="0" y="0"/>
            <wp:positionH relativeFrom="column">
              <wp:posOffset>1082675</wp:posOffset>
            </wp:positionH>
            <wp:positionV relativeFrom="paragraph">
              <wp:posOffset>252730</wp:posOffset>
            </wp:positionV>
            <wp:extent cx="8255" cy="36093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3609340"/>
                    </a:xfrm>
                    <a:prstGeom prst="rect">
                      <a:avLst/>
                    </a:prstGeom>
                    <a:noFill/>
                  </pic:spPr>
                </pic:pic>
              </a:graphicData>
            </a:graphic>
          </wp:anchor>
        </w:drawing>
      </w:r>
    </w:p>
    <w:p>
      <w:pPr>
        <w:spacing w:after="0" w:line="378" w:lineRule="exact"/>
        <w:rPr>
          <w:sz w:val="20"/>
          <w:szCs w:val="20"/>
          <w:color w:val="auto"/>
        </w:rPr>
      </w:pPr>
    </w:p>
    <w:tbl>
      <w:tblPr>
        <w:tblLayout w:type="fixed"/>
        <w:tblInd w:w="160" w:type="dxa"/>
        <w:tblCellMar>
          <w:top w:w="0" w:type="dxa"/>
          <w:left w:w="0" w:type="dxa"/>
          <w:bottom w:w="0" w:type="dxa"/>
          <w:right w:w="0" w:type="dxa"/>
        </w:tblCellMar>
      </w:tblPr>
      <w:tr>
        <w:trPr>
          <w:trHeight w:val="280"/>
        </w:trPr>
        <w:tc>
          <w:tcPr>
            <w:tcW w:w="1540" w:type="dxa"/>
            <w:vAlign w:val="bottom"/>
            <w:shd w:val="clear" w:color="auto" w:fill="351B3D"/>
          </w:tcPr>
          <w:p>
            <w:pPr>
              <w:spacing w:after="0"/>
              <w:rPr>
                <w:sz w:val="24"/>
                <w:szCs w:val="24"/>
                <w:color w:val="auto"/>
              </w:rPr>
            </w:pPr>
          </w:p>
        </w:tc>
        <w:tc>
          <w:tcPr>
            <w:tcW w:w="1640" w:type="dxa"/>
            <w:vAlign w:val="bottom"/>
            <w:gridSpan w:val="2"/>
            <w:shd w:val="clear" w:color="auto" w:fill="351B3D"/>
          </w:tcPr>
          <w:p>
            <w:pPr>
              <w:jc w:val="center"/>
              <w:ind w:left="440"/>
              <w:spacing w:after="0"/>
              <w:rPr>
                <w:sz w:val="20"/>
                <w:szCs w:val="20"/>
                <w:color w:val="auto"/>
              </w:rPr>
            </w:pPr>
            <w:r>
              <w:rPr>
                <w:rFonts w:ascii="Arial" w:cs="Arial" w:eastAsia="Arial" w:hAnsi="Arial"/>
                <w:sz w:val="16"/>
                <w:szCs w:val="16"/>
                <w:color w:val="FFFFFF"/>
                <w:w w:val="88"/>
              </w:rPr>
              <w:t>% OF TOTAL </w:t>
            </w:r>
          </w:p>
        </w:tc>
        <w:tc>
          <w:tcPr>
            <w:tcW w:w="440" w:type="dxa"/>
            <w:vAlign w:val="bottom"/>
            <w:shd w:val="clear" w:color="auto" w:fill="351B3D"/>
          </w:tcPr>
          <w:p>
            <w:pPr>
              <w:ind w:left="60"/>
              <w:spacing w:after="0"/>
              <w:rPr>
                <w:sz w:val="20"/>
                <w:szCs w:val="20"/>
                <w:color w:val="auto"/>
              </w:rPr>
            </w:pPr>
            <w:r>
              <w:rPr>
                <w:rFonts w:ascii="Arial" w:cs="Arial" w:eastAsia="Arial" w:hAnsi="Arial"/>
                <w:sz w:val="16"/>
                <w:szCs w:val="16"/>
                <w:color w:val="FFFFFF"/>
              </w:rPr>
              <w:t xml:space="preserve">    </w:t>
            </w:r>
          </w:p>
        </w:tc>
        <w:tc>
          <w:tcPr>
            <w:tcW w:w="240" w:type="dxa"/>
            <w:vAlign w:val="bottom"/>
            <w:shd w:val="clear" w:color="auto" w:fill="351B3D"/>
          </w:tcPr>
          <w:p>
            <w:pPr>
              <w:spacing w:after="0"/>
              <w:rPr>
                <w:sz w:val="24"/>
                <w:szCs w:val="24"/>
                <w:color w:val="auto"/>
              </w:rPr>
            </w:pPr>
          </w:p>
        </w:tc>
        <w:tc>
          <w:tcPr>
            <w:tcW w:w="540" w:type="dxa"/>
            <w:vAlign w:val="bottom"/>
            <w:vMerge w:val="restart"/>
            <w:shd w:val="clear" w:color="auto" w:fill="351B3D"/>
          </w:tcPr>
          <w:p>
            <w:pPr>
              <w:ind w:left="240"/>
              <w:spacing w:after="0"/>
              <w:rPr>
                <w:sz w:val="20"/>
                <w:szCs w:val="20"/>
                <w:color w:val="auto"/>
              </w:rPr>
            </w:pPr>
            <w:r>
              <w:rPr>
                <w:rFonts w:ascii="Arial" w:cs="Arial" w:eastAsia="Arial" w:hAnsi="Arial"/>
                <w:sz w:val="16"/>
                <w:szCs w:val="16"/>
                <w:color w:val="FFFFFF"/>
              </w:rPr>
              <w:t xml:space="preserve">AT- </w:t>
            </w:r>
          </w:p>
        </w:tc>
        <w:tc>
          <w:tcPr>
            <w:tcW w:w="440" w:type="dxa"/>
            <w:vAlign w:val="bottom"/>
            <w:gridSpan w:val="3"/>
            <w:vMerge w:val="restart"/>
            <w:shd w:val="clear" w:color="auto" w:fill="351B3D"/>
          </w:tcPr>
          <w:p>
            <w:pPr>
              <w:jc w:val="center"/>
              <w:spacing w:after="0"/>
              <w:rPr>
                <w:sz w:val="20"/>
                <w:szCs w:val="20"/>
                <w:color w:val="auto"/>
              </w:rPr>
            </w:pPr>
            <w:r>
              <w:rPr>
                <w:rFonts w:ascii="Arial" w:cs="Arial" w:eastAsia="Arial" w:hAnsi="Arial"/>
                <w:sz w:val="16"/>
                <w:szCs w:val="16"/>
                <w:color w:val="FFFFFF"/>
                <w:w w:val="93"/>
              </w:rPr>
              <w:t>    </w:t>
            </w:r>
          </w:p>
        </w:tc>
        <w:tc>
          <w:tcPr>
            <w:tcW w:w="6080" w:type="dxa"/>
            <w:vAlign w:val="bottom"/>
            <w:shd w:val="clear" w:color="auto" w:fill="351B3D"/>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540" w:type="dxa"/>
            <w:vAlign w:val="bottom"/>
            <w:vMerge w:val="restart"/>
            <w:shd w:val="clear" w:color="auto" w:fill="351B3D"/>
          </w:tcPr>
          <w:p>
            <w:pPr>
              <w:ind w:left="80"/>
              <w:spacing w:after="0"/>
              <w:rPr>
                <w:sz w:val="20"/>
                <w:szCs w:val="20"/>
                <w:color w:val="auto"/>
              </w:rPr>
            </w:pPr>
            <w:r>
              <w:rPr>
                <w:rFonts w:ascii="Arial" w:cs="Arial" w:eastAsia="Arial" w:hAnsi="Arial"/>
                <w:sz w:val="16"/>
                <w:szCs w:val="16"/>
                <w:color w:val="FFFFFF"/>
              </w:rPr>
              <w:t>ELEMENT</w:t>
            </w:r>
          </w:p>
        </w:tc>
        <w:tc>
          <w:tcPr>
            <w:tcW w:w="1640" w:type="dxa"/>
            <w:vAlign w:val="bottom"/>
            <w:gridSpan w:val="2"/>
            <w:vMerge w:val="restart"/>
            <w:shd w:val="clear" w:color="auto" w:fill="351B3D"/>
          </w:tcPr>
          <w:p>
            <w:pPr>
              <w:jc w:val="center"/>
              <w:ind w:left="600"/>
              <w:spacing w:after="0"/>
              <w:rPr>
                <w:sz w:val="20"/>
                <w:szCs w:val="20"/>
                <w:color w:val="auto"/>
              </w:rPr>
            </w:pPr>
            <w:r>
              <w:rPr>
                <w:rFonts w:ascii="Arial" w:cs="Arial" w:eastAsia="Arial" w:hAnsi="Arial"/>
                <w:sz w:val="16"/>
                <w:szCs w:val="16"/>
                <w:color w:val="FFFFFF"/>
              </w:rPr>
              <w:t xml:space="preserve">ANNUAL    </w:t>
            </w:r>
          </w:p>
        </w:tc>
        <w:tc>
          <w:tcPr>
            <w:tcW w:w="440" w:type="dxa"/>
            <w:vAlign w:val="bottom"/>
            <w:vMerge w:val="restart"/>
            <w:shd w:val="clear" w:color="auto" w:fill="351B3D"/>
          </w:tcPr>
          <w:p>
            <w:pPr>
              <w:ind w:left="60"/>
              <w:spacing w:after="0"/>
              <w:rPr>
                <w:sz w:val="20"/>
                <w:szCs w:val="20"/>
                <w:color w:val="auto"/>
              </w:rPr>
            </w:pPr>
            <w:r>
              <w:rPr>
                <w:rFonts w:ascii="Arial" w:cs="Arial" w:eastAsia="Arial" w:hAnsi="Arial"/>
                <w:sz w:val="16"/>
                <w:szCs w:val="16"/>
                <w:color w:val="FFFFFF"/>
              </w:rPr>
              <w:t> </w:t>
            </w:r>
          </w:p>
        </w:tc>
        <w:tc>
          <w:tcPr>
            <w:tcW w:w="240" w:type="dxa"/>
            <w:vAlign w:val="bottom"/>
            <w:shd w:val="clear" w:color="auto" w:fill="351B3D"/>
          </w:tcPr>
          <w:p>
            <w:pPr>
              <w:spacing w:after="0"/>
              <w:rPr>
                <w:sz w:val="8"/>
                <w:szCs w:val="8"/>
                <w:color w:val="auto"/>
              </w:rPr>
            </w:pPr>
          </w:p>
        </w:tc>
        <w:tc>
          <w:tcPr>
            <w:tcW w:w="540" w:type="dxa"/>
            <w:vAlign w:val="bottom"/>
            <w:vMerge w:val="continue"/>
            <w:shd w:val="clear" w:color="auto" w:fill="351B3D"/>
          </w:tcPr>
          <w:p>
            <w:pPr>
              <w:spacing w:after="0"/>
              <w:rPr>
                <w:sz w:val="8"/>
                <w:szCs w:val="8"/>
                <w:color w:val="auto"/>
              </w:rPr>
            </w:pPr>
          </w:p>
        </w:tc>
        <w:tc>
          <w:tcPr>
            <w:tcW w:w="440" w:type="dxa"/>
            <w:vAlign w:val="bottom"/>
            <w:gridSpan w:val="3"/>
            <w:vMerge w:val="continue"/>
            <w:shd w:val="clear" w:color="auto" w:fill="351B3D"/>
          </w:tcPr>
          <w:p>
            <w:pPr>
              <w:spacing w:after="0"/>
              <w:rPr>
                <w:sz w:val="8"/>
                <w:szCs w:val="8"/>
                <w:color w:val="auto"/>
              </w:rPr>
            </w:pPr>
          </w:p>
        </w:tc>
        <w:tc>
          <w:tcPr>
            <w:tcW w:w="6080" w:type="dxa"/>
            <w:vAlign w:val="bottom"/>
            <w:vMerge w:val="restart"/>
            <w:shd w:val="clear" w:color="auto" w:fill="351B3D"/>
          </w:tcPr>
          <w:p>
            <w:pPr>
              <w:ind w:left="2620"/>
              <w:spacing w:after="0"/>
              <w:rPr>
                <w:sz w:val="20"/>
                <w:szCs w:val="20"/>
                <w:color w:val="auto"/>
              </w:rPr>
            </w:pPr>
            <w:r>
              <w:rPr>
                <w:rFonts w:ascii="Arial" w:cs="Arial" w:eastAsia="Arial" w:hAnsi="Arial"/>
                <w:sz w:val="16"/>
                <w:szCs w:val="16"/>
                <w:color w:val="FFFFFF"/>
              </w:rPr>
              <w:t>FEATURES</w:t>
            </w:r>
          </w:p>
        </w:tc>
        <w:tc>
          <w:tcPr>
            <w:tcW w:w="0" w:type="dxa"/>
            <w:vAlign w:val="bottom"/>
          </w:tcPr>
          <w:p>
            <w:pPr>
              <w:spacing w:after="0"/>
              <w:rPr>
                <w:sz w:val="1"/>
                <w:szCs w:val="1"/>
                <w:color w:val="auto"/>
              </w:rPr>
            </w:pPr>
          </w:p>
        </w:tc>
      </w:tr>
      <w:tr>
        <w:trPr>
          <w:trHeight w:val="94"/>
        </w:trPr>
        <w:tc>
          <w:tcPr>
            <w:tcW w:w="1540" w:type="dxa"/>
            <w:vAlign w:val="bottom"/>
            <w:vMerge w:val="continue"/>
            <w:shd w:val="clear" w:color="auto" w:fill="351B3D"/>
          </w:tcPr>
          <w:p>
            <w:pPr>
              <w:spacing w:after="0"/>
              <w:rPr>
                <w:sz w:val="8"/>
                <w:szCs w:val="8"/>
                <w:color w:val="auto"/>
              </w:rPr>
            </w:pPr>
          </w:p>
        </w:tc>
        <w:tc>
          <w:tcPr>
            <w:tcW w:w="1640" w:type="dxa"/>
            <w:vAlign w:val="bottom"/>
            <w:gridSpan w:val="2"/>
            <w:vMerge w:val="continue"/>
            <w:shd w:val="clear" w:color="auto" w:fill="351B3D"/>
          </w:tcPr>
          <w:p>
            <w:pPr>
              <w:spacing w:after="0"/>
              <w:rPr>
                <w:sz w:val="8"/>
                <w:szCs w:val="8"/>
                <w:color w:val="auto"/>
              </w:rPr>
            </w:pPr>
          </w:p>
        </w:tc>
        <w:tc>
          <w:tcPr>
            <w:tcW w:w="440" w:type="dxa"/>
            <w:vAlign w:val="bottom"/>
            <w:vMerge w:val="continue"/>
            <w:shd w:val="clear" w:color="auto" w:fill="351B3D"/>
          </w:tcPr>
          <w:p>
            <w:pPr>
              <w:spacing w:after="0"/>
              <w:rPr>
                <w:sz w:val="8"/>
                <w:szCs w:val="8"/>
                <w:color w:val="auto"/>
              </w:rPr>
            </w:pPr>
          </w:p>
        </w:tc>
        <w:tc>
          <w:tcPr>
            <w:tcW w:w="240" w:type="dxa"/>
            <w:vAlign w:val="bottom"/>
            <w:shd w:val="clear" w:color="auto" w:fill="351B3D"/>
          </w:tcPr>
          <w:p>
            <w:pPr>
              <w:spacing w:after="0"/>
              <w:rPr>
                <w:sz w:val="8"/>
                <w:szCs w:val="8"/>
                <w:color w:val="auto"/>
              </w:rPr>
            </w:pPr>
          </w:p>
        </w:tc>
        <w:tc>
          <w:tcPr>
            <w:tcW w:w="700" w:type="dxa"/>
            <w:vAlign w:val="bottom"/>
            <w:gridSpan w:val="2"/>
            <w:vMerge w:val="restart"/>
            <w:shd w:val="clear" w:color="auto" w:fill="351B3D"/>
          </w:tcPr>
          <w:p>
            <w:pPr>
              <w:ind w:left="140"/>
              <w:spacing w:after="0"/>
              <w:rPr>
                <w:sz w:val="20"/>
                <w:szCs w:val="20"/>
                <w:color w:val="auto"/>
              </w:rPr>
            </w:pPr>
            <w:r>
              <w:rPr>
                <w:rFonts w:ascii="Arial" w:cs="Arial" w:eastAsia="Arial" w:hAnsi="Arial"/>
                <w:sz w:val="16"/>
                <w:szCs w:val="16"/>
                <w:color w:val="FFFFFF"/>
                <w:w w:val="86"/>
              </w:rPr>
              <w:t>RISK? </w:t>
            </w:r>
          </w:p>
        </w:tc>
        <w:tc>
          <w:tcPr>
            <w:tcW w:w="60" w:type="dxa"/>
            <w:vAlign w:val="bottom"/>
            <w:shd w:val="clear" w:color="auto" w:fill="351B3D"/>
          </w:tcPr>
          <w:p>
            <w:pPr>
              <w:spacing w:after="0"/>
              <w:rPr>
                <w:sz w:val="8"/>
                <w:szCs w:val="8"/>
                <w:color w:val="auto"/>
              </w:rPr>
            </w:pPr>
          </w:p>
        </w:tc>
        <w:tc>
          <w:tcPr>
            <w:tcW w:w="220" w:type="dxa"/>
            <w:vAlign w:val="bottom"/>
            <w:vMerge w:val="restart"/>
            <w:shd w:val="clear" w:color="auto" w:fill="351B3D"/>
          </w:tcPr>
          <w:p>
            <w:pPr>
              <w:spacing w:after="0"/>
              <w:rPr>
                <w:sz w:val="20"/>
                <w:szCs w:val="20"/>
                <w:color w:val="auto"/>
              </w:rPr>
            </w:pPr>
            <w:r>
              <w:rPr>
                <w:rFonts w:ascii="Arial" w:cs="Arial" w:eastAsia="Arial" w:hAnsi="Arial"/>
                <w:sz w:val="16"/>
                <w:szCs w:val="16"/>
                <w:color w:val="FFFFFF"/>
              </w:rPr>
              <w:t>    </w:t>
            </w:r>
          </w:p>
        </w:tc>
        <w:tc>
          <w:tcPr>
            <w:tcW w:w="6080" w:type="dxa"/>
            <w:vAlign w:val="bottom"/>
            <w:vMerge w:val="continue"/>
            <w:shd w:val="clear" w:color="auto" w:fill="351B3D"/>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540" w:type="dxa"/>
            <w:vAlign w:val="bottom"/>
            <w:shd w:val="clear" w:color="auto" w:fill="351B3D"/>
          </w:tcPr>
          <w:p>
            <w:pPr>
              <w:spacing w:after="0"/>
              <w:rPr>
                <w:sz w:val="10"/>
                <w:szCs w:val="10"/>
                <w:color w:val="auto"/>
              </w:rPr>
            </w:pPr>
          </w:p>
        </w:tc>
        <w:tc>
          <w:tcPr>
            <w:tcW w:w="2080" w:type="dxa"/>
            <w:vAlign w:val="bottom"/>
            <w:gridSpan w:val="3"/>
            <w:vMerge w:val="restart"/>
            <w:shd w:val="clear" w:color="auto" w:fill="351B3D"/>
          </w:tcPr>
          <w:p>
            <w:pPr>
              <w:jc w:val="center"/>
              <w:ind w:left="160"/>
              <w:spacing w:after="0"/>
              <w:rPr>
                <w:sz w:val="20"/>
                <w:szCs w:val="20"/>
                <w:color w:val="auto"/>
              </w:rPr>
            </w:pPr>
            <w:r>
              <w:rPr>
                <w:rFonts w:ascii="Arial" w:cs="Arial" w:eastAsia="Arial" w:hAnsi="Arial"/>
                <w:sz w:val="16"/>
                <w:szCs w:val="16"/>
                <w:color w:val="FFFFFF"/>
              </w:rPr>
              <w:t xml:space="preserve">COMPENSATION (1)    </w:t>
            </w:r>
          </w:p>
        </w:tc>
        <w:tc>
          <w:tcPr>
            <w:tcW w:w="240" w:type="dxa"/>
            <w:vAlign w:val="bottom"/>
            <w:vMerge w:val="restart"/>
            <w:shd w:val="clear" w:color="auto" w:fill="351B3D"/>
          </w:tcPr>
          <w:p>
            <w:pPr>
              <w:ind w:left="60"/>
              <w:spacing w:after="0"/>
              <w:rPr>
                <w:sz w:val="20"/>
                <w:szCs w:val="20"/>
                <w:color w:val="auto"/>
              </w:rPr>
            </w:pPr>
            <w:r>
              <w:rPr>
                <w:rFonts w:ascii="Arial" w:cs="Arial" w:eastAsia="Arial" w:hAnsi="Arial"/>
                <w:sz w:val="16"/>
                <w:szCs w:val="16"/>
                <w:color w:val="FFFFFF"/>
              </w:rPr>
              <w:t> </w:t>
            </w:r>
          </w:p>
        </w:tc>
        <w:tc>
          <w:tcPr>
            <w:tcW w:w="700" w:type="dxa"/>
            <w:vAlign w:val="bottom"/>
            <w:gridSpan w:val="2"/>
            <w:vMerge w:val="continue"/>
            <w:shd w:val="clear" w:color="auto" w:fill="351B3D"/>
          </w:tcPr>
          <w:p>
            <w:pPr>
              <w:spacing w:after="0"/>
              <w:rPr>
                <w:sz w:val="10"/>
                <w:szCs w:val="10"/>
                <w:color w:val="auto"/>
              </w:rPr>
            </w:pPr>
          </w:p>
        </w:tc>
        <w:tc>
          <w:tcPr>
            <w:tcW w:w="60" w:type="dxa"/>
            <w:vAlign w:val="bottom"/>
            <w:shd w:val="clear" w:color="auto" w:fill="351B3D"/>
          </w:tcPr>
          <w:p>
            <w:pPr>
              <w:spacing w:after="0"/>
              <w:rPr>
                <w:sz w:val="10"/>
                <w:szCs w:val="10"/>
                <w:color w:val="auto"/>
              </w:rPr>
            </w:pPr>
          </w:p>
        </w:tc>
        <w:tc>
          <w:tcPr>
            <w:tcW w:w="220" w:type="dxa"/>
            <w:vAlign w:val="bottom"/>
            <w:vMerge w:val="continue"/>
            <w:shd w:val="clear" w:color="auto" w:fill="351B3D"/>
          </w:tcPr>
          <w:p>
            <w:pPr>
              <w:spacing w:after="0"/>
              <w:rPr>
                <w:sz w:val="10"/>
                <w:szCs w:val="10"/>
                <w:color w:val="auto"/>
              </w:rPr>
            </w:pPr>
          </w:p>
        </w:tc>
        <w:tc>
          <w:tcPr>
            <w:tcW w:w="6080" w:type="dxa"/>
            <w:vAlign w:val="bottom"/>
            <w:shd w:val="clear" w:color="auto" w:fill="351B3D"/>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540" w:type="dxa"/>
            <w:vAlign w:val="bottom"/>
            <w:tcBorders>
              <w:bottom w:val="single" w:sz="8" w:color="351B3D"/>
            </w:tcBorders>
            <w:shd w:val="clear" w:color="auto" w:fill="351B3D"/>
          </w:tcPr>
          <w:p>
            <w:pPr>
              <w:spacing w:after="0"/>
              <w:rPr>
                <w:sz w:val="11"/>
                <w:szCs w:val="11"/>
                <w:color w:val="auto"/>
              </w:rPr>
            </w:pPr>
          </w:p>
        </w:tc>
        <w:tc>
          <w:tcPr>
            <w:tcW w:w="2080" w:type="dxa"/>
            <w:vAlign w:val="bottom"/>
            <w:tcBorders>
              <w:bottom w:val="single" w:sz="8" w:color="351B3D"/>
            </w:tcBorders>
            <w:gridSpan w:val="3"/>
            <w:vMerge w:val="continue"/>
            <w:shd w:val="clear" w:color="auto" w:fill="351B3D"/>
          </w:tcPr>
          <w:p>
            <w:pPr>
              <w:spacing w:after="0"/>
              <w:rPr>
                <w:sz w:val="11"/>
                <w:szCs w:val="11"/>
                <w:color w:val="auto"/>
              </w:rPr>
            </w:pPr>
          </w:p>
        </w:tc>
        <w:tc>
          <w:tcPr>
            <w:tcW w:w="240" w:type="dxa"/>
            <w:vAlign w:val="bottom"/>
            <w:tcBorders>
              <w:bottom w:val="single" w:sz="8" w:color="351B3D"/>
            </w:tcBorders>
            <w:vMerge w:val="continue"/>
            <w:shd w:val="clear" w:color="auto" w:fill="351B3D"/>
          </w:tcPr>
          <w:p>
            <w:pPr>
              <w:spacing w:after="0"/>
              <w:rPr>
                <w:sz w:val="11"/>
                <w:szCs w:val="11"/>
                <w:color w:val="auto"/>
              </w:rPr>
            </w:pPr>
          </w:p>
        </w:tc>
        <w:tc>
          <w:tcPr>
            <w:tcW w:w="540" w:type="dxa"/>
            <w:vAlign w:val="bottom"/>
            <w:tcBorders>
              <w:bottom w:val="single" w:sz="8" w:color="351B3D"/>
            </w:tcBorders>
            <w:shd w:val="clear" w:color="auto" w:fill="351B3D"/>
          </w:tcPr>
          <w:p>
            <w:pPr>
              <w:spacing w:after="0"/>
              <w:rPr>
                <w:sz w:val="11"/>
                <w:szCs w:val="11"/>
                <w:color w:val="auto"/>
              </w:rPr>
            </w:pPr>
          </w:p>
        </w:tc>
        <w:tc>
          <w:tcPr>
            <w:tcW w:w="160" w:type="dxa"/>
            <w:vAlign w:val="bottom"/>
            <w:tcBorders>
              <w:bottom w:val="single" w:sz="8" w:color="351B3D"/>
            </w:tcBorders>
            <w:shd w:val="clear" w:color="auto" w:fill="351B3D"/>
          </w:tcPr>
          <w:p>
            <w:pPr>
              <w:spacing w:after="0"/>
              <w:rPr>
                <w:sz w:val="11"/>
                <w:szCs w:val="11"/>
                <w:color w:val="auto"/>
              </w:rPr>
            </w:pPr>
          </w:p>
        </w:tc>
        <w:tc>
          <w:tcPr>
            <w:tcW w:w="60" w:type="dxa"/>
            <w:vAlign w:val="bottom"/>
            <w:tcBorders>
              <w:bottom w:val="single" w:sz="8" w:color="351B3D"/>
            </w:tcBorders>
            <w:shd w:val="clear" w:color="auto" w:fill="351B3D"/>
          </w:tcPr>
          <w:p>
            <w:pPr>
              <w:spacing w:after="0"/>
              <w:rPr>
                <w:sz w:val="11"/>
                <w:szCs w:val="11"/>
                <w:color w:val="auto"/>
              </w:rPr>
            </w:pPr>
          </w:p>
        </w:tc>
        <w:tc>
          <w:tcPr>
            <w:tcW w:w="220" w:type="dxa"/>
            <w:vAlign w:val="bottom"/>
            <w:tcBorders>
              <w:bottom w:val="single" w:sz="8" w:color="351B3D"/>
            </w:tcBorders>
            <w:shd w:val="clear" w:color="auto" w:fill="351B3D"/>
          </w:tcPr>
          <w:p>
            <w:pPr>
              <w:spacing w:after="0"/>
              <w:rPr>
                <w:sz w:val="11"/>
                <w:szCs w:val="11"/>
                <w:color w:val="auto"/>
              </w:rPr>
            </w:pPr>
          </w:p>
        </w:tc>
        <w:tc>
          <w:tcPr>
            <w:tcW w:w="6080" w:type="dxa"/>
            <w:vAlign w:val="bottom"/>
            <w:tcBorders>
              <w:bottom w:val="single" w:sz="8" w:color="351B3D"/>
            </w:tcBorders>
            <w:shd w:val="clear" w:color="auto" w:fill="351B3D"/>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1540" w:type="dxa"/>
            <w:vAlign w:val="bottom"/>
            <w:shd w:val="clear" w:color="auto" w:fill="D6D1D8"/>
          </w:tcPr>
          <w:p>
            <w:pPr>
              <w:ind w:left="80"/>
              <w:spacing w:after="0"/>
              <w:rPr>
                <w:sz w:val="20"/>
                <w:szCs w:val="20"/>
                <w:color w:val="auto"/>
              </w:rPr>
            </w:pPr>
            <w:r>
              <w:rPr>
                <w:rFonts w:ascii="Arial" w:cs="Arial" w:eastAsia="Arial" w:hAnsi="Arial"/>
                <w:sz w:val="16"/>
                <w:szCs w:val="16"/>
                <w:color w:val="auto"/>
              </w:rPr>
              <w:t>Base salary</w:t>
            </w:r>
          </w:p>
        </w:tc>
        <w:tc>
          <w:tcPr>
            <w:tcW w:w="1340" w:type="dxa"/>
            <w:vAlign w:val="bottom"/>
            <w:shd w:val="clear" w:color="auto" w:fill="D6D1D8"/>
          </w:tcPr>
          <w:p>
            <w:pPr>
              <w:jc w:val="center"/>
              <w:ind w:left="760"/>
              <w:spacing w:after="0"/>
              <w:rPr>
                <w:sz w:val="20"/>
                <w:szCs w:val="20"/>
                <w:color w:val="auto"/>
              </w:rPr>
            </w:pPr>
            <w:r>
              <w:rPr>
                <w:rFonts w:ascii="Arial" w:cs="Arial" w:eastAsia="Arial" w:hAnsi="Arial"/>
                <w:sz w:val="16"/>
                <w:szCs w:val="16"/>
                <w:color w:val="auto"/>
                <w:w w:val="79"/>
              </w:rPr>
              <w:t>15% </w:t>
            </w:r>
          </w:p>
        </w:tc>
        <w:tc>
          <w:tcPr>
            <w:tcW w:w="300" w:type="dxa"/>
            <w:vAlign w:val="bottom"/>
            <w:shd w:val="clear" w:color="auto" w:fill="D6D1D8"/>
          </w:tcPr>
          <w:p>
            <w:pPr>
              <w:ind w:left="40"/>
              <w:spacing w:after="0"/>
              <w:rPr>
                <w:sz w:val="20"/>
                <w:szCs w:val="20"/>
                <w:color w:val="auto"/>
              </w:rPr>
            </w:pPr>
            <w:r>
              <w:rPr>
                <w:rFonts w:ascii="Arial" w:cs="Arial" w:eastAsia="Arial" w:hAnsi="Arial"/>
                <w:sz w:val="16"/>
                <w:szCs w:val="16"/>
                <w:color w:val="auto"/>
              </w:rPr>
              <w:t> </w:t>
            </w:r>
          </w:p>
        </w:tc>
        <w:tc>
          <w:tcPr>
            <w:tcW w:w="440" w:type="dxa"/>
            <w:vAlign w:val="bottom"/>
            <w:shd w:val="clear" w:color="auto" w:fill="D6D1D8"/>
          </w:tcPr>
          <w:p>
            <w:pPr>
              <w:spacing w:after="0"/>
              <w:rPr>
                <w:sz w:val="20"/>
                <w:szCs w:val="20"/>
                <w:color w:val="auto"/>
              </w:rPr>
            </w:pPr>
          </w:p>
        </w:tc>
        <w:tc>
          <w:tcPr>
            <w:tcW w:w="240" w:type="dxa"/>
            <w:vAlign w:val="bottom"/>
            <w:shd w:val="clear" w:color="auto" w:fill="D6D1D8"/>
          </w:tcPr>
          <w:p>
            <w:pPr>
              <w:spacing w:after="0"/>
              <w:rPr>
                <w:sz w:val="20"/>
                <w:szCs w:val="20"/>
                <w:color w:val="auto"/>
              </w:rPr>
            </w:pPr>
          </w:p>
        </w:tc>
        <w:tc>
          <w:tcPr>
            <w:tcW w:w="540" w:type="dxa"/>
            <w:vAlign w:val="bottom"/>
            <w:shd w:val="clear" w:color="auto" w:fill="D6D1D8"/>
          </w:tcPr>
          <w:p>
            <w:pPr>
              <w:spacing w:after="0"/>
              <w:rPr>
                <w:sz w:val="20"/>
                <w:szCs w:val="20"/>
                <w:color w:val="auto"/>
              </w:rPr>
            </w:pPr>
          </w:p>
        </w:tc>
        <w:tc>
          <w:tcPr>
            <w:tcW w:w="160" w:type="dxa"/>
            <w:vAlign w:val="bottom"/>
            <w:shd w:val="clear" w:color="auto" w:fill="D6D1D8"/>
          </w:tcPr>
          <w:p>
            <w:pPr>
              <w:spacing w:after="0"/>
              <w:rPr>
                <w:sz w:val="20"/>
                <w:szCs w:val="20"/>
                <w:color w:val="auto"/>
              </w:rPr>
            </w:pPr>
          </w:p>
        </w:tc>
        <w:tc>
          <w:tcPr>
            <w:tcW w:w="60" w:type="dxa"/>
            <w:vAlign w:val="bottom"/>
            <w:shd w:val="clear" w:color="auto" w:fill="D6D1D8"/>
          </w:tcPr>
          <w:p>
            <w:pPr>
              <w:spacing w:after="0"/>
              <w:rPr>
                <w:sz w:val="20"/>
                <w:szCs w:val="20"/>
                <w:color w:val="auto"/>
              </w:rPr>
            </w:pPr>
          </w:p>
        </w:tc>
        <w:tc>
          <w:tcPr>
            <w:tcW w:w="220" w:type="dxa"/>
            <w:vAlign w:val="bottom"/>
            <w:shd w:val="clear" w:color="auto" w:fill="D6D1D8"/>
          </w:tcPr>
          <w:p>
            <w:pPr>
              <w:spacing w:after="0"/>
              <w:rPr>
                <w:sz w:val="20"/>
                <w:szCs w:val="20"/>
                <w:color w:val="auto"/>
              </w:rPr>
            </w:pPr>
          </w:p>
        </w:tc>
        <w:tc>
          <w:tcPr>
            <w:tcW w:w="6080" w:type="dxa"/>
            <w:vAlign w:val="bottom"/>
            <w:shd w:val="clear" w:color="auto" w:fill="D6D1D8"/>
          </w:tcPr>
          <w:p>
            <w:pPr>
              <w:ind w:left="40"/>
              <w:spacing w:after="0"/>
              <w:rPr>
                <w:sz w:val="20"/>
                <w:szCs w:val="20"/>
                <w:color w:val="auto"/>
              </w:rPr>
            </w:pPr>
            <w:r>
              <w:rPr>
                <w:rFonts w:ascii="Arial" w:cs="Arial" w:eastAsia="Arial" w:hAnsi="Arial"/>
                <w:sz w:val="16"/>
                <w:szCs w:val="16"/>
                <w:color w:val="auto"/>
              </w:rPr>
              <w:t>Attract and retain top employees and recognize sustained performance, job scope</w:t>
            </w:r>
          </w:p>
        </w:tc>
        <w:tc>
          <w:tcPr>
            <w:tcW w:w="0" w:type="dxa"/>
            <w:vAlign w:val="bottom"/>
          </w:tcPr>
          <w:p>
            <w:pPr>
              <w:spacing w:after="0"/>
              <w:rPr>
                <w:sz w:val="1"/>
                <w:szCs w:val="1"/>
                <w:color w:val="auto"/>
              </w:rPr>
            </w:pPr>
          </w:p>
        </w:tc>
      </w:tr>
      <w:tr>
        <w:trPr>
          <w:trHeight w:val="211"/>
        </w:trPr>
        <w:tc>
          <w:tcPr>
            <w:tcW w:w="1540" w:type="dxa"/>
            <w:vAlign w:val="bottom"/>
            <w:shd w:val="clear" w:color="auto" w:fill="D6D1D8"/>
          </w:tcPr>
          <w:p>
            <w:pPr>
              <w:spacing w:after="0"/>
              <w:rPr>
                <w:sz w:val="18"/>
                <w:szCs w:val="18"/>
                <w:color w:val="auto"/>
              </w:rPr>
            </w:pPr>
          </w:p>
        </w:tc>
        <w:tc>
          <w:tcPr>
            <w:tcW w:w="1340" w:type="dxa"/>
            <w:vAlign w:val="bottom"/>
            <w:shd w:val="clear" w:color="auto" w:fill="D6D1D8"/>
          </w:tcPr>
          <w:p>
            <w:pPr>
              <w:spacing w:after="0"/>
              <w:rPr>
                <w:sz w:val="18"/>
                <w:szCs w:val="18"/>
                <w:color w:val="auto"/>
              </w:rPr>
            </w:pPr>
          </w:p>
        </w:tc>
        <w:tc>
          <w:tcPr>
            <w:tcW w:w="300" w:type="dxa"/>
            <w:vAlign w:val="bottom"/>
            <w:shd w:val="clear" w:color="auto" w:fill="D6D1D8"/>
          </w:tcPr>
          <w:p>
            <w:pPr>
              <w:spacing w:after="0"/>
              <w:rPr>
                <w:sz w:val="18"/>
                <w:szCs w:val="18"/>
                <w:color w:val="auto"/>
              </w:rPr>
            </w:pPr>
          </w:p>
        </w:tc>
        <w:tc>
          <w:tcPr>
            <w:tcW w:w="440" w:type="dxa"/>
            <w:vAlign w:val="bottom"/>
            <w:shd w:val="clear" w:color="auto" w:fill="D6D1D8"/>
          </w:tcPr>
          <w:p>
            <w:pPr>
              <w:spacing w:after="0"/>
              <w:rPr>
                <w:sz w:val="18"/>
                <w:szCs w:val="18"/>
                <w:color w:val="auto"/>
              </w:rPr>
            </w:pPr>
          </w:p>
        </w:tc>
        <w:tc>
          <w:tcPr>
            <w:tcW w:w="240" w:type="dxa"/>
            <w:vAlign w:val="bottom"/>
            <w:shd w:val="clear" w:color="auto" w:fill="D6D1D8"/>
          </w:tcPr>
          <w:p>
            <w:pPr>
              <w:spacing w:after="0"/>
              <w:rPr>
                <w:sz w:val="18"/>
                <w:szCs w:val="18"/>
                <w:color w:val="auto"/>
              </w:rPr>
            </w:pPr>
          </w:p>
        </w:tc>
        <w:tc>
          <w:tcPr>
            <w:tcW w:w="540" w:type="dxa"/>
            <w:vAlign w:val="bottom"/>
            <w:shd w:val="clear" w:color="auto" w:fill="D6D1D8"/>
          </w:tcPr>
          <w:p>
            <w:pPr>
              <w:spacing w:after="0"/>
              <w:rPr>
                <w:sz w:val="18"/>
                <w:szCs w:val="18"/>
                <w:color w:val="auto"/>
              </w:rPr>
            </w:pPr>
          </w:p>
        </w:tc>
        <w:tc>
          <w:tcPr>
            <w:tcW w:w="160" w:type="dxa"/>
            <w:vAlign w:val="bottom"/>
            <w:shd w:val="clear" w:color="auto" w:fill="D6D1D8"/>
          </w:tcPr>
          <w:p>
            <w:pPr>
              <w:spacing w:after="0"/>
              <w:rPr>
                <w:sz w:val="18"/>
                <w:szCs w:val="18"/>
                <w:color w:val="auto"/>
              </w:rPr>
            </w:pPr>
          </w:p>
        </w:tc>
        <w:tc>
          <w:tcPr>
            <w:tcW w:w="60" w:type="dxa"/>
            <w:vAlign w:val="bottom"/>
            <w:shd w:val="clear" w:color="auto" w:fill="D6D1D8"/>
          </w:tcPr>
          <w:p>
            <w:pPr>
              <w:spacing w:after="0"/>
              <w:rPr>
                <w:sz w:val="18"/>
                <w:szCs w:val="18"/>
                <w:color w:val="auto"/>
              </w:rPr>
            </w:pPr>
          </w:p>
        </w:tc>
        <w:tc>
          <w:tcPr>
            <w:tcW w:w="220" w:type="dxa"/>
            <w:vAlign w:val="bottom"/>
            <w:shd w:val="clear" w:color="auto" w:fill="D6D1D8"/>
          </w:tcPr>
          <w:p>
            <w:pPr>
              <w:spacing w:after="0"/>
              <w:rPr>
                <w:sz w:val="18"/>
                <w:szCs w:val="18"/>
                <w:color w:val="auto"/>
              </w:rPr>
            </w:pPr>
          </w:p>
        </w:tc>
        <w:tc>
          <w:tcPr>
            <w:tcW w:w="6080" w:type="dxa"/>
            <w:vAlign w:val="bottom"/>
            <w:shd w:val="clear" w:color="auto" w:fill="D6D1D8"/>
          </w:tcPr>
          <w:p>
            <w:pPr>
              <w:ind w:left="40"/>
              <w:spacing w:after="0"/>
              <w:rPr>
                <w:sz w:val="20"/>
                <w:szCs w:val="20"/>
                <w:color w:val="auto"/>
              </w:rPr>
            </w:pPr>
            <w:r>
              <w:rPr>
                <w:rFonts w:ascii="Arial" w:cs="Arial" w:eastAsia="Arial" w:hAnsi="Arial"/>
                <w:sz w:val="16"/>
                <w:szCs w:val="16"/>
                <w:color w:val="auto"/>
              </w:rPr>
              <w:t>and experience</w:t>
            </w:r>
          </w:p>
        </w:tc>
        <w:tc>
          <w:tcPr>
            <w:tcW w:w="0" w:type="dxa"/>
            <w:vAlign w:val="bottom"/>
          </w:tcPr>
          <w:p>
            <w:pPr>
              <w:spacing w:after="0"/>
              <w:rPr>
                <w:sz w:val="1"/>
                <w:szCs w:val="1"/>
                <w:color w:val="auto"/>
              </w:rPr>
            </w:pPr>
          </w:p>
        </w:tc>
      </w:tr>
      <w:tr>
        <w:trPr>
          <w:trHeight w:val="70"/>
        </w:trPr>
        <w:tc>
          <w:tcPr>
            <w:tcW w:w="1540" w:type="dxa"/>
            <w:vAlign w:val="bottom"/>
            <w:shd w:val="clear" w:color="auto" w:fill="D6D1D8"/>
          </w:tcPr>
          <w:p>
            <w:pPr>
              <w:spacing w:after="0"/>
              <w:rPr>
                <w:sz w:val="6"/>
                <w:szCs w:val="6"/>
                <w:color w:val="auto"/>
              </w:rPr>
            </w:pPr>
          </w:p>
        </w:tc>
        <w:tc>
          <w:tcPr>
            <w:tcW w:w="1340" w:type="dxa"/>
            <w:vAlign w:val="bottom"/>
            <w:shd w:val="clear" w:color="auto" w:fill="D6D1D8"/>
          </w:tcPr>
          <w:p>
            <w:pPr>
              <w:spacing w:after="0"/>
              <w:rPr>
                <w:sz w:val="6"/>
                <w:szCs w:val="6"/>
                <w:color w:val="auto"/>
              </w:rPr>
            </w:pPr>
          </w:p>
        </w:tc>
        <w:tc>
          <w:tcPr>
            <w:tcW w:w="300" w:type="dxa"/>
            <w:vAlign w:val="bottom"/>
            <w:shd w:val="clear" w:color="auto" w:fill="D6D1D8"/>
          </w:tcPr>
          <w:p>
            <w:pPr>
              <w:spacing w:after="0"/>
              <w:rPr>
                <w:sz w:val="6"/>
                <w:szCs w:val="6"/>
                <w:color w:val="auto"/>
              </w:rPr>
            </w:pPr>
          </w:p>
        </w:tc>
        <w:tc>
          <w:tcPr>
            <w:tcW w:w="440" w:type="dxa"/>
            <w:vAlign w:val="bottom"/>
            <w:shd w:val="clear" w:color="auto" w:fill="D6D1D8"/>
          </w:tcPr>
          <w:p>
            <w:pPr>
              <w:spacing w:after="0"/>
              <w:rPr>
                <w:sz w:val="6"/>
                <w:szCs w:val="6"/>
                <w:color w:val="auto"/>
              </w:rPr>
            </w:pPr>
          </w:p>
        </w:tc>
        <w:tc>
          <w:tcPr>
            <w:tcW w:w="240" w:type="dxa"/>
            <w:vAlign w:val="bottom"/>
            <w:shd w:val="clear" w:color="auto" w:fill="D6D1D8"/>
          </w:tcPr>
          <w:p>
            <w:pPr>
              <w:spacing w:after="0"/>
              <w:rPr>
                <w:sz w:val="6"/>
                <w:szCs w:val="6"/>
                <w:color w:val="auto"/>
              </w:rPr>
            </w:pPr>
          </w:p>
        </w:tc>
        <w:tc>
          <w:tcPr>
            <w:tcW w:w="540" w:type="dxa"/>
            <w:vAlign w:val="bottom"/>
            <w:shd w:val="clear" w:color="auto" w:fill="D6D1D8"/>
          </w:tcPr>
          <w:p>
            <w:pPr>
              <w:spacing w:after="0"/>
              <w:rPr>
                <w:sz w:val="6"/>
                <w:szCs w:val="6"/>
                <w:color w:val="auto"/>
              </w:rPr>
            </w:pPr>
          </w:p>
        </w:tc>
        <w:tc>
          <w:tcPr>
            <w:tcW w:w="160" w:type="dxa"/>
            <w:vAlign w:val="bottom"/>
            <w:shd w:val="clear" w:color="auto" w:fill="D6D1D8"/>
          </w:tcPr>
          <w:p>
            <w:pPr>
              <w:spacing w:after="0"/>
              <w:rPr>
                <w:sz w:val="6"/>
                <w:szCs w:val="6"/>
                <w:color w:val="auto"/>
              </w:rPr>
            </w:pPr>
          </w:p>
        </w:tc>
        <w:tc>
          <w:tcPr>
            <w:tcW w:w="60" w:type="dxa"/>
            <w:vAlign w:val="bottom"/>
            <w:shd w:val="clear" w:color="auto" w:fill="D6D1D8"/>
          </w:tcPr>
          <w:p>
            <w:pPr>
              <w:spacing w:after="0"/>
              <w:rPr>
                <w:sz w:val="6"/>
                <w:szCs w:val="6"/>
                <w:color w:val="auto"/>
              </w:rPr>
            </w:pPr>
          </w:p>
        </w:tc>
        <w:tc>
          <w:tcPr>
            <w:tcW w:w="220" w:type="dxa"/>
            <w:vAlign w:val="bottom"/>
            <w:shd w:val="clear" w:color="auto" w:fill="D6D1D8"/>
          </w:tcPr>
          <w:p>
            <w:pPr>
              <w:spacing w:after="0"/>
              <w:rPr>
                <w:sz w:val="6"/>
                <w:szCs w:val="6"/>
                <w:color w:val="auto"/>
              </w:rPr>
            </w:pPr>
          </w:p>
        </w:tc>
        <w:tc>
          <w:tcPr>
            <w:tcW w:w="6080" w:type="dxa"/>
            <w:vAlign w:val="bottom"/>
            <w:shd w:val="clear" w:color="auto" w:fill="D6D1D8"/>
          </w:tcPr>
          <w:p>
            <w:pPr>
              <w:spacing w:after="0"/>
              <w:rPr>
                <w:sz w:val="6"/>
                <w:szCs w:val="6"/>
                <w:color w:val="auto"/>
              </w:rPr>
            </w:pPr>
          </w:p>
        </w:tc>
        <w:tc>
          <w:tcPr>
            <w:tcW w:w="0" w:type="dxa"/>
            <w:vAlign w:val="bottom"/>
          </w:tcPr>
          <w:p>
            <w:pPr>
              <w:spacing w:after="0"/>
              <w:rPr>
                <w:sz w:val="1"/>
                <w:szCs w:val="1"/>
                <w:color w:val="auto"/>
              </w:rPr>
            </w:pPr>
          </w:p>
        </w:tc>
      </w:tr>
      <w:tr>
        <w:trPr>
          <w:trHeight w:val="288"/>
        </w:trPr>
        <w:tc>
          <w:tcPr>
            <w:tcW w:w="1540" w:type="dxa"/>
            <w:vAlign w:val="bottom"/>
          </w:tcPr>
          <w:p>
            <w:pPr>
              <w:ind w:left="80"/>
              <w:spacing w:after="0"/>
              <w:rPr>
                <w:sz w:val="20"/>
                <w:szCs w:val="20"/>
                <w:color w:val="auto"/>
              </w:rPr>
            </w:pPr>
            <w:r>
              <w:rPr>
                <w:rFonts w:ascii="Arial" w:cs="Arial" w:eastAsia="Arial" w:hAnsi="Arial"/>
                <w:sz w:val="16"/>
                <w:szCs w:val="16"/>
                <w:color w:val="auto"/>
              </w:rPr>
              <w:t>Annual incentives</w:t>
            </w:r>
          </w:p>
        </w:tc>
        <w:tc>
          <w:tcPr>
            <w:tcW w:w="1340" w:type="dxa"/>
            <w:vAlign w:val="bottom"/>
          </w:tcPr>
          <w:p>
            <w:pPr>
              <w:jc w:val="center"/>
              <w:ind w:left="760"/>
              <w:spacing w:after="0"/>
              <w:rPr>
                <w:sz w:val="20"/>
                <w:szCs w:val="20"/>
                <w:color w:val="auto"/>
              </w:rPr>
            </w:pPr>
            <w:r>
              <w:rPr>
                <w:rFonts w:ascii="Arial" w:cs="Arial" w:eastAsia="Arial" w:hAnsi="Arial"/>
                <w:sz w:val="16"/>
                <w:szCs w:val="16"/>
                <w:color w:val="auto"/>
                <w:w w:val="79"/>
              </w:rPr>
              <w:t>37% </w:t>
            </w:r>
          </w:p>
        </w:tc>
        <w:tc>
          <w:tcPr>
            <w:tcW w:w="300" w:type="dxa"/>
            <w:vAlign w:val="bottom"/>
          </w:tcPr>
          <w:p>
            <w:pPr>
              <w:ind w:left="40"/>
              <w:spacing w:after="0"/>
              <w:rPr>
                <w:sz w:val="20"/>
                <w:szCs w:val="20"/>
                <w:color w:val="auto"/>
              </w:rPr>
            </w:pPr>
            <w:r>
              <w:rPr>
                <w:rFonts w:ascii="Arial" w:cs="Arial" w:eastAsia="Arial" w:hAnsi="Arial"/>
                <w:sz w:val="16"/>
                <w:szCs w:val="16"/>
                <w:color w:val="auto"/>
              </w:rPr>
              <w:t> </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ind w:left="2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160" w:type="dxa"/>
            <w:vAlign w:val="bottom"/>
          </w:tcPr>
          <w:p>
            <w:pPr>
              <w:spacing w:after="0"/>
              <w:rPr>
                <w:sz w:val="20"/>
                <w:szCs w:val="20"/>
                <w:color w:val="auto"/>
              </w:rPr>
            </w:pPr>
            <w:r>
              <w:rPr>
                <w:rFonts w:ascii="Arial" w:cs="Arial" w:eastAsia="Arial" w:hAnsi="Arial"/>
                <w:sz w:val="16"/>
                <w:szCs w:val="16"/>
                <w:color w:val="auto"/>
              </w:rPr>
              <w:t xml:space="preserve">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80" w:type="dxa"/>
            <w:vAlign w:val="bottom"/>
          </w:tcPr>
          <w:p>
            <w:pPr>
              <w:ind w:left="40"/>
              <w:spacing w:after="0"/>
              <w:rPr>
                <w:sz w:val="20"/>
                <w:szCs w:val="20"/>
                <w:color w:val="auto"/>
              </w:rPr>
            </w:pPr>
            <w:r>
              <w:rPr>
                <w:rFonts w:ascii="Arial" w:cs="Arial" w:eastAsia="Arial" w:hAnsi="Arial"/>
                <w:sz w:val="16"/>
                <w:szCs w:val="16"/>
                <w:color w:val="auto"/>
              </w:rPr>
              <w:t>Utilize multiple metrics with pre-set goals</w:t>
            </w:r>
          </w:p>
        </w:tc>
        <w:tc>
          <w:tcPr>
            <w:tcW w:w="0" w:type="dxa"/>
            <w:vAlign w:val="bottom"/>
          </w:tcPr>
          <w:p>
            <w:pPr>
              <w:spacing w:after="0"/>
              <w:rPr>
                <w:sz w:val="1"/>
                <w:szCs w:val="1"/>
                <w:color w:val="auto"/>
              </w:rPr>
            </w:pPr>
          </w:p>
        </w:tc>
      </w:tr>
      <w:tr>
        <w:trPr>
          <w:trHeight w:val="260"/>
        </w:trPr>
        <w:tc>
          <w:tcPr>
            <w:tcW w:w="15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80" w:type="dxa"/>
            <w:vAlign w:val="bottom"/>
          </w:tcPr>
          <w:p>
            <w:pPr>
              <w:ind w:left="40"/>
              <w:spacing w:after="0"/>
              <w:rPr>
                <w:sz w:val="20"/>
                <w:szCs w:val="20"/>
                <w:color w:val="auto"/>
              </w:rPr>
            </w:pPr>
            <w:r>
              <w:rPr>
                <w:rFonts w:ascii="Arial" w:cs="Arial" w:eastAsia="Arial" w:hAnsi="Arial"/>
                <w:sz w:val="16"/>
                <w:szCs w:val="16"/>
                <w:color w:val="auto"/>
              </w:rPr>
              <w:t>Incentivize executives, enforce accountability and motivate and reward achievement</w:t>
            </w:r>
          </w:p>
        </w:tc>
        <w:tc>
          <w:tcPr>
            <w:tcW w:w="0" w:type="dxa"/>
            <w:vAlign w:val="bottom"/>
          </w:tcPr>
          <w:p>
            <w:pPr>
              <w:spacing w:after="0"/>
              <w:rPr>
                <w:sz w:val="1"/>
                <w:szCs w:val="1"/>
                <w:color w:val="auto"/>
              </w:rPr>
            </w:pPr>
          </w:p>
        </w:tc>
      </w:tr>
      <w:tr>
        <w:trPr>
          <w:trHeight w:val="211"/>
        </w:trPr>
        <w:tc>
          <w:tcPr>
            <w:tcW w:w="1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80" w:type="dxa"/>
            <w:vAlign w:val="bottom"/>
          </w:tcPr>
          <w:p>
            <w:pPr>
              <w:ind w:left="40"/>
              <w:spacing w:after="0"/>
              <w:rPr>
                <w:sz w:val="20"/>
                <w:szCs w:val="20"/>
                <w:color w:val="auto"/>
              </w:rPr>
            </w:pPr>
            <w:r>
              <w:rPr>
                <w:rFonts w:ascii="Arial" w:cs="Arial" w:eastAsia="Arial" w:hAnsi="Arial"/>
                <w:sz w:val="16"/>
                <w:szCs w:val="16"/>
                <w:color w:val="auto"/>
              </w:rPr>
              <w:t>of annual goals</w:t>
            </w:r>
          </w:p>
        </w:tc>
        <w:tc>
          <w:tcPr>
            <w:tcW w:w="0" w:type="dxa"/>
            <w:vAlign w:val="bottom"/>
          </w:tcPr>
          <w:p>
            <w:pPr>
              <w:spacing w:after="0"/>
              <w:rPr>
                <w:sz w:val="1"/>
                <w:szCs w:val="1"/>
                <w:color w:val="auto"/>
              </w:rPr>
            </w:pPr>
          </w:p>
        </w:tc>
      </w:tr>
      <w:tr>
        <w:trPr>
          <w:trHeight w:val="284"/>
        </w:trPr>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80" w:type="dxa"/>
            <w:vAlign w:val="bottom"/>
          </w:tcPr>
          <w:p>
            <w:pPr>
              <w:ind w:left="40"/>
              <w:spacing w:after="0"/>
              <w:rPr>
                <w:sz w:val="20"/>
                <w:szCs w:val="20"/>
                <w:color w:val="auto"/>
              </w:rPr>
            </w:pPr>
            <w:r>
              <w:rPr>
                <w:rFonts w:ascii="Arial" w:cs="Arial" w:eastAsia="Arial" w:hAnsi="Arial"/>
                <w:sz w:val="16"/>
                <w:szCs w:val="16"/>
                <w:color w:val="auto"/>
              </w:rPr>
              <w:t>50% of annual incentive awards paid in stock and subject to NEO stock ownership</w:t>
            </w:r>
          </w:p>
        </w:tc>
        <w:tc>
          <w:tcPr>
            <w:tcW w:w="0" w:type="dxa"/>
            <w:vAlign w:val="bottom"/>
          </w:tcPr>
          <w:p>
            <w:pPr>
              <w:spacing w:after="0"/>
              <w:rPr>
                <w:sz w:val="1"/>
                <w:szCs w:val="1"/>
                <w:color w:val="auto"/>
              </w:rPr>
            </w:pPr>
          </w:p>
        </w:tc>
      </w:tr>
      <w:tr>
        <w:trPr>
          <w:trHeight w:val="211"/>
        </w:trPr>
        <w:tc>
          <w:tcPr>
            <w:tcW w:w="1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80" w:type="dxa"/>
            <w:vAlign w:val="bottom"/>
          </w:tcPr>
          <w:p>
            <w:pPr>
              <w:ind w:left="40"/>
              <w:spacing w:after="0"/>
              <w:rPr>
                <w:sz w:val="20"/>
                <w:szCs w:val="20"/>
                <w:color w:val="auto"/>
              </w:rPr>
            </w:pPr>
            <w:r>
              <w:rPr>
                <w:rFonts w:ascii="Arial" w:cs="Arial" w:eastAsia="Arial" w:hAnsi="Arial"/>
                <w:sz w:val="16"/>
                <w:szCs w:val="16"/>
                <w:color w:val="auto"/>
              </w:rPr>
              <w:t>requirements, further aligning executive and long-term shareholder interests</w:t>
            </w:r>
          </w:p>
        </w:tc>
        <w:tc>
          <w:tcPr>
            <w:tcW w:w="0" w:type="dxa"/>
            <w:vAlign w:val="bottom"/>
          </w:tcPr>
          <w:p>
            <w:pPr>
              <w:spacing w:after="0"/>
              <w:rPr>
                <w:sz w:val="1"/>
                <w:szCs w:val="1"/>
                <w:color w:val="auto"/>
              </w:rPr>
            </w:pPr>
          </w:p>
        </w:tc>
      </w:tr>
      <w:tr>
        <w:trPr>
          <w:trHeight w:val="84"/>
        </w:trPr>
        <w:tc>
          <w:tcPr>
            <w:tcW w:w="15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1540" w:type="dxa"/>
            <w:vAlign w:val="bottom"/>
            <w:shd w:val="clear" w:color="auto" w:fill="D6D1D8"/>
          </w:tcPr>
          <w:p>
            <w:pPr>
              <w:ind w:left="80"/>
              <w:spacing w:after="0"/>
              <w:rPr>
                <w:sz w:val="20"/>
                <w:szCs w:val="20"/>
                <w:color w:val="auto"/>
              </w:rPr>
            </w:pPr>
            <w:r>
              <w:rPr>
                <w:rFonts w:ascii="Arial" w:cs="Arial" w:eastAsia="Arial" w:hAnsi="Arial"/>
                <w:sz w:val="16"/>
                <w:szCs w:val="16"/>
                <w:color w:val="auto"/>
              </w:rPr>
              <w:t>Long-term</w:t>
            </w:r>
          </w:p>
        </w:tc>
        <w:tc>
          <w:tcPr>
            <w:tcW w:w="1340" w:type="dxa"/>
            <w:vAlign w:val="bottom"/>
            <w:shd w:val="clear" w:color="auto" w:fill="D6D1D8"/>
          </w:tcPr>
          <w:p>
            <w:pPr>
              <w:jc w:val="center"/>
              <w:ind w:left="760"/>
              <w:spacing w:after="0"/>
              <w:rPr>
                <w:sz w:val="20"/>
                <w:szCs w:val="20"/>
                <w:color w:val="auto"/>
              </w:rPr>
            </w:pPr>
            <w:r>
              <w:rPr>
                <w:rFonts w:ascii="Arial" w:cs="Arial" w:eastAsia="Arial" w:hAnsi="Arial"/>
                <w:sz w:val="16"/>
                <w:szCs w:val="16"/>
                <w:color w:val="auto"/>
                <w:w w:val="79"/>
              </w:rPr>
              <w:t>14% </w:t>
            </w:r>
          </w:p>
        </w:tc>
        <w:tc>
          <w:tcPr>
            <w:tcW w:w="300" w:type="dxa"/>
            <w:vAlign w:val="bottom"/>
            <w:shd w:val="clear" w:color="auto" w:fill="D6D1D8"/>
          </w:tcPr>
          <w:p>
            <w:pPr>
              <w:ind w:left="40"/>
              <w:spacing w:after="0"/>
              <w:rPr>
                <w:sz w:val="20"/>
                <w:szCs w:val="20"/>
                <w:color w:val="auto"/>
              </w:rPr>
            </w:pPr>
            <w:r>
              <w:rPr>
                <w:rFonts w:ascii="Arial" w:cs="Arial" w:eastAsia="Arial" w:hAnsi="Arial"/>
                <w:sz w:val="16"/>
                <w:szCs w:val="16"/>
                <w:color w:val="auto"/>
              </w:rPr>
              <w:t> </w:t>
            </w:r>
          </w:p>
        </w:tc>
        <w:tc>
          <w:tcPr>
            <w:tcW w:w="440" w:type="dxa"/>
            <w:vAlign w:val="bottom"/>
            <w:shd w:val="clear" w:color="auto" w:fill="D6D1D8"/>
          </w:tcPr>
          <w:p>
            <w:pPr>
              <w:spacing w:after="0"/>
              <w:rPr>
                <w:sz w:val="20"/>
                <w:szCs w:val="20"/>
                <w:color w:val="auto"/>
              </w:rPr>
            </w:pPr>
          </w:p>
        </w:tc>
        <w:tc>
          <w:tcPr>
            <w:tcW w:w="240" w:type="dxa"/>
            <w:vAlign w:val="bottom"/>
            <w:shd w:val="clear" w:color="auto" w:fill="D6D1D8"/>
          </w:tcPr>
          <w:p>
            <w:pPr>
              <w:spacing w:after="0"/>
              <w:rPr>
                <w:sz w:val="20"/>
                <w:szCs w:val="20"/>
                <w:color w:val="auto"/>
              </w:rPr>
            </w:pPr>
          </w:p>
        </w:tc>
        <w:tc>
          <w:tcPr>
            <w:tcW w:w="540" w:type="dxa"/>
            <w:vAlign w:val="bottom"/>
            <w:shd w:val="clear" w:color="auto" w:fill="D6D1D8"/>
          </w:tcPr>
          <w:p>
            <w:pPr>
              <w:ind w:left="2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160" w:type="dxa"/>
            <w:vAlign w:val="bottom"/>
            <w:shd w:val="clear" w:color="auto" w:fill="D6D1D8"/>
          </w:tcPr>
          <w:p>
            <w:pPr>
              <w:spacing w:after="0"/>
              <w:rPr>
                <w:sz w:val="20"/>
                <w:szCs w:val="20"/>
                <w:color w:val="auto"/>
              </w:rPr>
            </w:pPr>
            <w:r>
              <w:rPr>
                <w:rFonts w:ascii="Arial" w:cs="Arial" w:eastAsia="Arial" w:hAnsi="Arial"/>
                <w:sz w:val="16"/>
                <w:szCs w:val="16"/>
                <w:color w:val="auto"/>
                <w:w w:val="87"/>
              </w:rPr>
              <w:t> </w:t>
            </w:r>
          </w:p>
        </w:tc>
        <w:tc>
          <w:tcPr>
            <w:tcW w:w="60" w:type="dxa"/>
            <w:vAlign w:val="bottom"/>
            <w:shd w:val="clear" w:color="auto" w:fill="D6D1D8"/>
          </w:tcPr>
          <w:p>
            <w:pPr>
              <w:jc w:val="center"/>
              <w:spacing w:after="0"/>
              <w:rPr>
                <w:sz w:val="20"/>
                <w:szCs w:val="20"/>
                <w:color w:val="auto"/>
              </w:rPr>
            </w:pPr>
            <w:r>
              <w:rPr>
                <w:rFonts w:ascii="Arial" w:cs="Arial" w:eastAsia="Arial" w:hAnsi="Arial"/>
                <w:sz w:val="16"/>
                <w:szCs w:val="16"/>
                <w:color w:val="auto"/>
                <w:w w:val="74"/>
              </w:rPr>
              <w:t> </w:t>
            </w:r>
          </w:p>
        </w:tc>
        <w:tc>
          <w:tcPr>
            <w:tcW w:w="220" w:type="dxa"/>
            <w:vAlign w:val="bottom"/>
            <w:shd w:val="clear" w:color="auto" w:fill="D6D1D8"/>
          </w:tcPr>
          <w:p>
            <w:pPr>
              <w:spacing w:after="0"/>
              <w:rPr>
                <w:sz w:val="20"/>
                <w:szCs w:val="20"/>
                <w:color w:val="auto"/>
              </w:rPr>
            </w:pPr>
          </w:p>
        </w:tc>
        <w:tc>
          <w:tcPr>
            <w:tcW w:w="6080" w:type="dxa"/>
            <w:vAlign w:val="bottom"/>
            <w:shd w:val="clear" w:color="auto" w:fill="D6D1D8"/>
          </w:tcPr>
          <w:p>
            <w:pPr>
              <w:ind w:left="40"/>
              <w:spacing w:after="0"/>
              <w:rPr>
                <w:sz w:val="20"/>
                <w:szCs w:val="20"/>
                <w:color w:val="auto"/>
              </w:rPr>
            </w:pPr>
            <w:r>
              <w:rPr>
                <w:rFonts w:ascii="Arial" w:cs="Arial" w:eastAsia="Arial" w:hAnsi="Arial"/>
                <w:sz w:val="16"/>
                <w:szCs w:val="16"/>
                <w:color w:val="auto"/>
              </w:rPr>
              <w:t>Performance-based restricted stock awards that vest solely based on Company</w:t>
            </w:r>
          </w:p>
        </w:tc>
        <w:tc>
          <w:tcPr>
            <w:tcW w:w="0" w:type="dxa"/>
            <w:vAlign w:val="bottom"/>
          </w:tcPr>
          <w:p>
            <w:pPr>
              <w:spacing w:after="0"/>
              <w:rPr>
                <w:sz w:val="1"/>
                <w:szCs w:val="1"/>
                <w:color w:val="auto"/>
              </w:rPr>
            </w:pPr>
          </w:p>
        </w:tc>
      </w:tr>
      <w:tr>
        <w:trPr>
          <w:trHeight w:val="187"/>
        </w:trPr>
        <w:tc>
          <w:tcPr>
            <w:tcW w:w="1540" w:type="dxa"/>
            <w:vAlign w:val="bottom"/>
            <w:shd w:val="clear" w:color="auto" w:fill="D6D1D8"/>
          </w:tcPr>
          <w:p>
            <w:pPr>
              <w:ind w:left="80"/>
              <w:spacing w:after="0"/>
              <w:rPr>
                <w:sz w:val="20"/>
                <w:szCs w:val="20"/>
                <w:color w:val="auto"/>
              </w:rPr>
            </w:pPr>
            <w:r>
              <w:rPr>
                <w:rFonts w:ascii="Arial" w:cs="Arial" w:eastAsia="Arial" w:hAnsi="Arial"/>
                <w:sz w:val="16"/>
                <w:szCs w:val="16"/>
                <w:color w:val="auto"/>
              </w:rPr>
              <w:t>incentives:</w:t>
            </w:r>
          </w:p>
        </w:tc>
        <w:tc>
          <w:tcPr>
            <w:tcW w:w="1340" w:type="dxa"/>
            <w:vAlign w:val="bottom"/>
            <w:shd w:val="clear" w:color="auto" w:fill="D6D1D8"/>
          </w:tcPr>
          <w:p>
            <w:pPr>
              <w:spacing w:after="0"/>
              <w:rPr>
                <w:sz w:val="16"/>
                <w:szCs w:val="16"/>
                <w:color w:val="auto"/>
              </w:rPr>
            </w:pPr>
          </w:p>
        </w:tc>
        <w:tc>
          <w:tcPr>
            <w:tcW w:w="300" w:type="dxa"/>
            <w:vAlign w:val="bottom"/>
            <w:shd w:val="clear" w:color="auto" w:fill="D6D1D8"/>
          </w:tcPr>
          <w:p>
            <w:pPr>
              <w:spacing w:after="0"/>
              <w:rPr>
                <w:sz w:val="16"/>
                <w:szCs w:val="16"/>
                <w:color w:val="auto"/>
              </w:rPr>
            </w:pPr>
          </w:p>
        </w:tc>
        <w:tc>
          <w:tcPr>
            <w:tcW w:w="440" w:type="dxa"/>
            <w:vAlign w:val="bottom"/>
            <w:shd w:val="clear" w:color="auto" w:fill="D6D1D8"/>
          </w:tcPr>
          <w:p>
            <w:pPr>
              <w:spacing w:after="0"/>
              <w:rPr>
                <w:sz w:val="16"/>
                <w:szCs w:val="16"/>
                <w:color w:val="auto"/>
              </w:rPr>
            </w:pPr>
          </w:p>
        </w:tc>
        <w:tc>
          <w:tcPr>
            <w:tcW w:w="240" w:type="dxa"/>
            <w:vAlign w:val="bottom"/>
            <w:shd w:val="clear" w:color="auto" w:fill="D6D1D8"/>
          </w:tcPr>
          <w:p>
            <w:pPr>
              <w:spacing w:after="0"/>
              <w:rPr>
                <w:sz w:val="16"/>
                <w:szCs w:val="16"/>
                <w:color w:val="auto"/>
              </w:rPr>
            </w:pPr>
          </w:p>
        </w:tc>
        <w:tc>
          <w:tcPr>
            <w:tcW w:w="540" w:type="dxa"/>
            <w:vAlign w:val="bottom"/>
            <w:shd w:val="clear" w:color="auto" w:fill="D6D1D8"/>
          </w:tcPr>
          <w:p>
            <w:pPr>
              <w:spacing w:after="0"/>
              <w:rPr>
                <w:sz w:val="16"/>
                <w:szCs w:val="16"/>
                <w:color w:val="auto"/>
              </w:rPr>
            </w:pPr>
          </w:p>
        </w:tc>
        <w:tc>
          <w:tcPr>
            <w:tcW w:w="160" w:type="dxa"/>
            <w:vAlign w:val="bottom"/>
            <w:shd w:val="clear" w:color="auto" w:fill="D6D1D8"/>
          </w:tcPr>
          <w:p>
            <w:pPr>
              <w:spacing w:after="0"/>
              <w:rPr>
                <w:sz w:val="16"/>
                <w:szCs w:val="16"/>
                <w:color w:val="auto"/>
              </w:rPr>
            </w:pPr>
          </w:p>
        </w:tc>
        <w:tc>
          <w:tcPr>
            <w:tcW w:w="60" w:type="dxa"/>
            <w:vAlign w:val="bottom"/>
            <w:shd w:val="clear" w:color="auto" w:fill="D6D1D8"/>
          </w:tcPr>
          <w:p>
            <w:pPr>
              <w:spacing w:after="0"/>
              <w:rPr>
                <w:sz w:val="16"/>
                <w:szCs w:val="16"/>
                <w:color w:val="auto"/>
              </w:rPr>
            </w:pPr>
          </w:p>
        </w:tc>
        <w:tc>
          <w:tcPr>
            <w:tcW w:w="220" w:type="dxa"/>
            <w:vAlign w:val="bottom"/>
            <w:shd w:val="clear" w:color="auto" w:fill="D6D1D8"/>
          </w:tcPr>
          <w:p>
            <w:pPr>
              <w:spacing w:after="0"/>
              <w:rPr>
                <w:sz w:val="16"/>
                <w:szCs w:val="16"/>
                <w:color w:val="auto"/>
              </w:rPr>
            </w:pPr>
          </w:p>
        </w:tc>
        <w:tc>
          <w:tcPr>
            <w:tcW w:w="6080" w:type="dxa"/>
            <w:vAlign w:val="bottom"/>
            <w:shd w:val="clear" w:color="auto" w:fill="D6D1D8"/>
          </w:tcPr>
          <w:p>
            <w:pPr>
              <w:ind w:left="40"/>
              <w:spacing w:after="0"/>
              <w:rPr>
                <w:sz w:val="20"/>
                <w:szCs w:val="20"/>
                <w:color w:val="auto"/>
              </w:rPr>
            </w:pPr>
            <w:r>
              <w:rPr>
                <w:rFonts w:ascii="Arial" w:cs="Arial" w:eastAsia="Arial" w:hAnsi="Arial"/>
                <w:sz w:val="16"/>
                <w:szCs w:val="16"/>
                <w:color w:val="auto"/>
              </w:rPr>
              <w:t>performance against preset goals over a three-year performance period, linking the</w:t>
            </w:r>
          </w:p>
        </w:tc>
        <w:tc>
          <w:tcPr>
            <w:tcW w:w="0" w:type="dxa"/>
            <w:vAlign w:val="bottom"/>
          </w:tcPr>
          <w:p>
            <w:pPr>
              <w:spacing w:after="0"/>
              <w:rPr>
                <w:sz w:val="1"/>
                <w:szCs w:val="1"/>
                <w:color w:val="auto"/>
              </w:rPr>
            </w:pPr>
          </w:p>
        </w:tc>
      </w:tr>
      <w:tr>
        <w:trPr>
          <w:trHeight w:val="187"/>
        </w:trPr>
        <w:tc>
          <w:tcPr>
            <w:tcW w:w="1540" w:type="dxa"/>
            <w:vAlign w:val="bottom"/>
            <w:shd w:val="clear" w:color="auto" w:fill="D6D1D8"/>
          </w:tcPr>
          <w:p>
            <w:pPr>
              <w:ind w:left="80"/>
              <w:spacing w:after="0"/>
              <w:rPr>
                <w:sz w:val="20"/>
                <w:szCs w:val="20"/>
                <w:color w:val="auto"/>
              </w:rPr>
            </w:pPr>
            <w:r>
              <w:rPr>
                <w:rFonts w:ascii="Arial" w:cs="Arial" w:eastAsia="Arial" w:hAnsi="Arial"/>
                <w:sz w:val="16"/>
                <w:szCs w:val="16"/>
                <w:color w:val="auto"/>
              </w:rPr>
              <w:t>Performance-based</w:t>
            </w:r>
          </w:p>
        </w:tc>
        <w:tc>
          <w:tcPr>
            <w:tcW w:w="1340" w:type="dxa"/>
            <w:vAlign w:val="bottom"/>
            <w:shd w:val="clear" w:color="auto" w:fill="D6D1D8"/>
          </w:tcPr>
          <w:p>
            <w:pPr>
              <w:spacing w:after="0"/>
              <w:rPr>
                <w:sz w:val="16"/>
                <w:szCs w:val="16"/>
                <w:color w:val="auto"/>
              </w:rPr>
            </w:pPr>
          </w:p>
        </w:tc>
        <w:tc>
          <w:tcPr>
            <w:tcW w:w="300" w:type="dxa"/>
            <w:vAlign w:val="bottom"/>
            <w:shd w:val="clear" w:color="auto" w:fill="D6D1D8"/>
          </w:tcPr>
          <w:p>
            <w:pPr>
              <w:spacing w:after="0"/>
              <w:rPr>
                <w:sz w:val="16"/>
                <w:szCs w:val="16"/>
                <w:color w:val="auto"/>
              </w:rPr>
            </w:pPr>
          </w:p>
        </w:tc>
        <w:tc>
          <w:tcPr>
            <w:tcW w:w="440" w:type="dxa"/>
            <w:vAlign w:val="bottom"/>
            <w:shd w:val="clear" w:color="auto" w:fill="D6D1D8"/>
          </w:tcPr>
          <w:p>
            <w:pPr>
              <w:spacing w:after="0"/>
              <w:rPr>
                <w:sz w:val="16"/>
                <w:szCs w:val="16"/>
                <w:color w:val="auto"/>
              </w:rPr>
            </w:pPr>
          </w:p>
        </w:tc>
        <w:tc>
          <w:tcPr>
            <w:tcW w:w="240" w:type="dxa"/>
            <w:vAlign w:val="bottom"/>
            <w:shd w:val="clear" w:color="auto" w:fill="D6D1D8"/>
          </w:tcPr>
          <w:p>
            <w:pPr>
              <w:spacing w:after="0"/>
              <w:rPr>
                <w:sz w:val="16"/>
                <w:szCs w:val="16"/>
                <w:color w:val="auto"/>
              </w:rPr>
            </w:pPr>
          </w:p>
        </w:tc>
        <w:tc>
          <w:tcPr>
            <w:tcW w:w="540" w:type="dxa"/>
            <w:vAlign w:val="bottom"/>
            <w:shd w:val="clear" w:color="auto" w:fill="D6D1D8"/>
          </w:tcPr>
          <w:p>
            <w:pPr>
              <w:spacing w:after="0"/>
              <w:rPr>
                <w:sz w:val="16"/>
                <w:szCs w:val="16"/>
                <w:color w:val="auto"/>
              </w:rPr>
            </w:pPr>
          </w:p>
        </w:tc>
        <w:tc>
          <w:tcPr>
            <w:tcW w:w="160" w:type="dxa"/>
            <w:vAlign w:val="bottom"/>
            <w:shd w:val="clear" w:color="auto" w:fill="D6D1D8"/>
          </w:tcPr>
          <w:p>
            <w:pPr>
              <w:spacing w:after="0"/>
              <w:rPr>
                <w:sz w:val="16"/>
                <w:szCs w:val="16"/>
                <w:color w:val="auto"/>
              </w:rPr>
            </w:pPr>
          </w:p>
        </w:tc>
        <w:tc>
          <w:tcPr>
            <w:tcW w:w="60" w:type="dxa"/>
            <w:vAlign w:val="bottom"/>
            <w:shd w:val="clear" w:color="auto" w:fill="D6D1D8"/>
          </w:tcPr>
          <w:p>
            <w:pPr>
              <w:spacing w:after="0"/>
              <w:rPr>
                <w:sz w:val="16"/>
                <w:szCs w:val="16"/>
                <w:color w:val="auto"/>
              </w:rPr>
            </w:pPr>
          </w:p>
        </w:tc>
        <w:tc>
          <w:tcPr>
            <w:tcW w:w="220" w:type="dxa"/>
            <w:vAlign w:val="bottom"/>
            <w:shd w:val="clear" w:color="auto" w:fill="D6D1D8"/>
          </w:tcPr>
          <w:p>
            <w:pPr>
              <w:spacing w:after="0"/>
              <w:rPr>
                <w:sz w:val="16"/>
                <w:szCs w:val="16"/>
                <w:color w:val="auto"/>
              </w:rPr>
            </w:pPr>
          </w:p>
        </w:tc>
        <w:tc>
          <w:tcPr>
            <w:tcW w:w="6080" w:type="dxa"/>
            <w:vAlign w:val="bottom"/>
            <w:shd w:val="clear" w:color="auto" w:fill="D6D1D8"/>
          </w:tcPr>
          <w:p>
            <w:pPr>
              <w:ind w:left="40"/>
              <w:spacing w:after="0"/>
              <w:rPr>
                <w:sz w:val="20"/>
                <w:szCs w:val="20"/>
                <w:color w:val="auto"/>
              </w:rPr>
            </w:pPr>
            <w:r>
              <w:rPr>
                <w:rFonts w:ascii="Arial" w:cs="Arial" w:eastAsia="Arial" w:hAnsi="Arial"/>
                <w:sz w:val="16"/>
                <w:szCs w:val="16"/>
                <w:color w:val="auto"/>
              </w:rPr>
              <w:t>creation of shareholder value to incentives earned</w:t>
            </w:r>
          </w:p>
        </w:tc>
        <w:tc>
          <w:tcPr>
            <w:tcW w:w="0" w:type="dxa"/>
            <w:vAlign w:val="bottom"/>
          </w:tcPr>
          <w:p>
            <w:pPr>
              <w:spacing w:after="0"/>
              <w:rPr>
                <w:sz w:val="1"/>
                <w:szCs w:val="1"/>
                <w:color w:val="auto"/>
              </w:rPr>
            </w:pPr>
          </w:p>
        </w:tc>
      </w:tr>
      <w:tr>
        <w:trPr>
          <w:trHeight w:val="187"/>
        </w:trPr>
        <w:tc>
          <w:tcPr>
            <w:tcW w:w="1540" w:type="dxa"/>
            <w:vAlign w:val="bottom"/>
            <w:shd w:val="clear" w:color="auto" w:fill="D6D1D8"/>
          </w:tcPr>
          <w:p>
            <w:pPr>
              <w:ind w:left="80"/>
              <w:spacing w:after="0"/>
              <w:rPr>
                <w:sz w:val="20"/>
                <w:szCs w:val="20"/>
                <w:color w:val="auto"/>
              </w:rPr>
            </w:pPr>
            <w:r>
              <w:rPr>
                <w:rFonts w:ascii="Arial" w:cs="Arial" w:eastAsia="Arial" w:hAnsi="Arial"/>
                <w:sz w:val="16"/>
                <w:szCs w:val="16"/>
                <w:color w:val="auto"/>
              </w:rPr>
              <w:t>restricted stock</w:t>
            </w:r>
          </w:p>
        </w:tc>
        <w:tc>
          <w:tcPr>
            <w:tcW w:w="1340" w:type="dxa"/>
            <w:vAlign w:val="bottom"/>
            <w:shd w:val="clear" w:color="auto" w:fill="D6D1D8"/>
          </w:tcPr>
          <w:p>
            <w:pPr>
              <w:spacing w:after="0"/>
              <w:rPr>
                <w:sz w:val="16"/>
                <w:szCs w:val="16"/>
                <w:color w:val="auto"/>
              </w:rPr>
            </w:pPr>
          </w:p>
        </w:tc>
        <w:tc>
          <w:tcPr>
            <w:tcW w:w="300" w:type="dxa"/>
            <w:vAlign w:val="bottom"/>
            <w:shd w:val="clear" w:color="auto" w:fill="D6D1D8"/>
          </w:tcPr>
          <w:p>
            <w:pPr>
              <w:spacing w:after="0"/>
              <w:rPr>
                <w:sz w:val="16"/>
                <w:szCs w:val="16"/>
                <w:color w:val="auto"/>
              </w:rPr>
            </w:pPr>
          </w:p>
        </w:tc>
        <w:tc>
          <w:tcPr>
            <w:tcW w:w="440" w:type="dxa"/>
            <w:vAlign w:val="bottom"/>
            <w:shd w:val="clear" w:color="auto" w:fill="D6D1D8"/>
          </w:tcPr>
          <w:p>
            <w:pPr>
              <w:spacing w:after="0"/>
              <w:rPr>
                <w:sz w:val="16"/>
                <w:szCs w:val="16"/>
                <w:color w:val="auto"/>
              </w:rPr>
            </w:pPr>
          </w:p>
        </w:tc>
        <w:tc>
          <w:tcPr>
            <w:tcW w:w="240" w:type="dxa"/>
            <w:vAlign w:val="bottom"/>
            <w:shd w:val="clear" w:color="auto" w:fill="D6D1D8"/>
          </w:tcPr>
          <w:p>
            <w:pPr>
              <w:spacing w:after="0"/>
              <w:rPr>
                <w:sz w:val="16"/>
                <w:szCs w:val="16"/>
                <w:color w:val="auto"/>
              </w:rPr>
            </w:pPr>
          </w:p>
        </w:tc>
        <w:tc>
          <w:tcPr>
            <w:tcW w:w="540" w:type="dxa"/>
            <w:vAlign w:val="bottom"/>
            <w:shd w:val="clear" w:color="auto" w:fill="D6D1D8"/>
          </w:tcPr>
          <w:p>
            <w:pPr>
              <w:spacing w:after="0"/>
              <w:rPr>
                <w:sz w:val="16"/>
                <w:szCs w:val="16"/>
                <w:color w:val="auto"/>
              </w:rPr>
            </w:pPr>
          </w:p>
        </w:tc>
        <w:tc>
          <w:tcPr>
            <w:tcW w:w="160" w:type="dxa"/>
            <w:vAlign w:val="bottom"/>
            <w:shd w:val="clear" w:color="auto" w:fill="D6D1D8"/>
          </w:tcPr>
          <w:p>
            <w:pPr>
              <w:spacing w:after="0"/>
              <w:rPr>
                <w:sz w:val="16"/>
                <w:szCs w:val="16"/>
                <w:color w:val="auto"/>
              </w:rPr>
            </w:pPr>
          </w:p>
        </w:tc>
        <w:tc>
          <w:tcPr>
            <w:tcW w:w="60" w:type="dxa"/>
            <w:vAlign w:val="bottom"/>
            <w:shd w:val="clear" w:color="auto" w:fill="D6D1D8"/>
          </w:tcPr>
          <w:p>
            <w:pPr>
              <w:spacing w:after="0"/>
              <w:rPr>
                <w:sz w:val="16"/>
                <w:szCs w:val="16"/>
                <w:color w:val="auto"/>
              </w:rPr>
            </w:pPr>
          </w:p>
        </w:tc>
        <w:tc>
          <w:tcPr>
            <w:tcW w:w="220" w:type="dxa"/>
            <w:vAlign w:val="bottom"/>
            <w:shd w:val="clear" w:color="auto" w:fill="D6D1D8"/>
          </w:tcPr>
          <w:p>
            <w:pPr>
              <w:spacing w:after="0"/>
              <w:rPr>
                <w:sz w:val="16"/>
                <w:szCs w:val="16"/>
                <w:color w:val="auto"/>
              </w:rPr>
            </w:pPr>
          </w:p>
        </w:tc>
        <w:tc>
          <w:tcPr>
            <w:tcW w:w="6080" w:type="dxa"/>
            <w:vAlign w:val="bottom"/>
            <w:shd w:val="clear" w:color="auto" w:fill="D6D1D8"/>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540" w:type="dxa"/>
            <w:vAlign w:val="bottom"/>
            <w:shd w:val="clear" w:color="auto" w:fill="D6D1D8"/>
          </w:tcPr>
          <w:p>
            <w:pPr>
              <w:ind w:left="80"/>
              <w:spacing w:after="0"/>
              <w:rPr>
                <w:sz w:val="20"/>
                <w:szCs w:val="20"/>
                <w:color w:val="auto"/>
              </w:rPr>
            </w:pPr>
            <w:r>
              <w:rPr>
                <w:rFonts w:ascii="Arial" w:cs="Arial" w:eastAsia="Arial" w:hAnsi="Arial"/>
                <w:sz w:val="16"/>
                <w:szCs w:val="16"/>
                <w:color w:val="auto"/>
              </w:rPr>
              <w:t>awards</w:t>
            </w:r>
          </w:p>
        </w:tc>
        <w:tc>
          <w:tcPr>
            <w:tcW w:w="1340" w:type="dxa"/>
            <w:vAlign w:val="bottom"/>
            <w:shd w:val="clear" w:color="auto" w:fill="D6D1D8"/>
          </w:tcPr>
          <w:p>
            <w:pPr>
              <w:spacing w:after="0"/>
              <w:rPr>
                <w:sz w:val="18"/>
                <w:szCs w:val="18"/>
                <w:color w:val="auto"/>
              </w:rPr>
            </w:pPr>
          </w:p>
        </w:tc>
        <w:tc>
          <w:tcPr>
            <w:tcW w:w="300" w:type="dxa"/>
            <w:vAlign w:val="bottom"/>
            <w:shd w:val="clear" w:color="auto" w:fill="D6D1D8"/>
          </w:tcPr>
          <w:p>
            <w:pPr>
              <w:spacing w:after="0"/>
              <w:rPr>
                <w:sz w:val="18"/>
                <w:szCs w:val="18"/>
                <w:color w:val="auto"/>
              </w:rPr>
            </w:pPr>
          </w:p>
        </w:tc>
        <w:tc>
          <w:tcPr>
            <w:tcW w:w="440" w:type="dxa"/>
            <w:vAlign w:val="bottom"/>
            <w:shd w:val="clear" w:color="auto" w:fill="D6D1D8"/>
          </w:tcPr>
          <w:p>
            <w:pPr>
              <w:spacing w:after="0"/>
              <w:rPr>
                <w:sz w:val="18"/>
                <w:szCs w:val="18"/>
                <w:color w:val="auto"/>
              </w:rPr>
            </w:pPr>
          </w:p>
        </w:tc>
        <w:tc>
          <w:tcPr>
            <w:tcW w:w="240" w:type="dxa"/>
            <w:vAlign w:val="bottom"/>
            <w:shd w:val="clear" w:color="auto" w:fill="D6D1D8"/>
          </w:tcPr>
          <w:p>
            <w:pPr>
              <w:spacing w:after="0"/>
              <w:rPr>
                <w:sz w:val="18"/>
                <w:szCs w:val="18"/>
                <w:color w:val="auto"/>
              </w:rPr>
            </w:pPr>
          </w:p>
        </w:tc>
        <w:tc>
          <w:tcPr>
            <w:tcW w:w="540" w:type="dxa"/>
            <w:vAlign w:val="bottom"/>
            <w:shd w:val="clear" w:color="auto" w:fill="D6D1D8"/>
          </w:tcPr>
          <w:p>
            <w:pPr>
              <w:spacing w:after="0"/>
              <w:rPr>
                <w:sz w:val="18"/>
                <w:szCs w:val="18"/>
                <w:color w:val="auto"/>
              </w:rPr>
            </w:pPr>
          </w:p>
        </w:tc>
        <w:tc>
          <w:tcPr>
            <w:tcW w:w="160" w:type="dxa"/>
            <w:vAlign w:val="bottom"/>
            <w:shd w:val="clear" w:color="auto" w:fill="D6D1D8"/>
          </w:tcPr>
          <w:p>
            <w:pPr>
              <w:spacing w:after="0"/>
              <w:rPr>
                <w:sz w:val="18"/>
                <w:szCs w:val="18"/>
                <w:color w:val="auto"/>
              </w:rPr>
            </w:pPr>
          </w:p>
        </w:tc>
        <w:tc>
          <w:tcPr>
            <w:tcW w:w="60" w:type="dxa"/>
            <w:vAlign w:val="bottom"/>
            <w:shd w:val="clear" w:color="auto" w:fill="D6D1D8"/>
          </w:tcPr>
          <w:p>
            <w:pPr>
              <w:spacing w:after="0"/>
              <w:rPr>
                <w:sz w:val="18"/>
                <w:szCs w:val="18"/>
                <w:color w:val="auto"/>
              </w:rPr>
            </w:pPr>
          </w:p>
        </w:tc>
        <w:tc>
          <w:tcPr>
            <w:tcW w:w="220" w:type="dxa"/>
            <w:vAlign w:val="bottom"/>
            <w:shd w:val="clear" w:color="auto" w:fill="D6D1D8"/>
          </w:tcPr>
          <w:p>
            <w:pPr>
              <w:spacing w:after="0"/>
              <w:rPr>
                <w:sz w:val="18"/>
                <w:szCs w:val="18"/>
                <w:color w:val="auto"/>
              </w:rPr>
            </w:pPr>
          </w:p>
        </w:tc>
        <w:tc>
          <w:tcPr>
            <w:tcW w:w="6080" w:type="dxa"/>
            <w:vAlign w:val="bottom"/>
            <w:shd w:val="clear" w:color="auto" w:fill="D6D1D8"/>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1540" w:type="dxa"/>
            <w:vAlign w:val="bottom"/>
            <w:shd w:val="clear" w:color="auto" w:fill="D6D1D8"/>
          </w:tcPr>
          <w:p>
            <w:pPr>
              <w:spacing w:after="0"/>
              <w:rPr>
                <w:sz w:val="7"/>
                <w:szCs w:val="7"/>
                <w:color w:val="auto"/>
              </w:rPr>
            </w:pPr>
          </w:p>
        </w:tc>
        <w:tc>
          <w:tcPr>
            <w:tcW w:w="1340" w:type="dxa"/>
            <w:vAlign w:val="bottom"/>
            <w:shd w:val="clear" w:color="auto" w:fill="D6D1D8"/>
          </w:tcPr>
          <w:p>
            <w:pPr>
              <w:spacing w:after="0"/>
              <w:rPr>
                <w:sz w:val="7"/>
                <w:szCs w:val="7"/>
                <w:color w:val="auto"/>
              </w:rPr>
            </w:pPr>
          </w:p>
        </w:tc>
        <w:tc>
          <w:tcPr>
            <w:tcW w:w="300" w:type="dxa"/>
            <w:vAlign w:val="bottom"/>
            <w:shd w:val="clear" w:color="auto" w:fill="D6D1D8"/>
          </w:tcPr>
          <w:p>
            <w:pPr>
              <w:spacing w:after="0"/>
              <w:rPr>
                <w:sz w:val="7"/>
                <w:szCs w:val="7"/>
                <w:color w:val="auto"/>
              </w:rPr>
            </w:pPr>
          </w:p>
        </w:tc>
        <w:tc>
          <w:tcPr>
            <w:tcW w:w="440" w:type="dxa"/>
            <w:vAlign w:val="bottom"/>
            <w:shd w:val="clear" w:color="auto" w:fill="D6D1D8"/>
          </w:tcPr>
          <w:p>
            <w:pPr>
              <w:spacing w:after="0"/>
              <w:rPr>
                <w:sz w:val="7"/>
                <w:szCs w:val="7"/>
                <w:color w:val="auto"/>
              </w:rPr>
            </w:pPr>
          </w:p>
        </w:tc>
        <w:tc>
          <w:tcPr>
            <w:tcW w:w="240" w:type="dxa"/>
            <w:vAlign w:val="bottom"/>
            <w:shd w:val="clear" w:color="auto" w:fill="D6D1D8"/>
          </w:tcPr>
          <w:p>
            <w:pPr>
              <w:spacing w:after="0"/>
              <w:rPr>
                <w:sz w:val="7"/>
                <w:szCs w:val="7"/>
                <w:color w:val="auto"/>
              </w:rPr>
            </w:pPr>
          </w:p>
        </w:tc>
        <w:tc>
          <w:tcPr>
            <w:tcW w:w="540" w:type="dxa"/>
            <w:vAlign w:val="bottom"/>
            <w:shd w:val="clear" w:color="auto" w:fill="D6D1D8"/>
          </w:tcPr>
          <w:p>
            <w:pPr>
              <w:spacing w:after="0"/>
              <w:rPr>
                <w:sz w:val="7"/>
                <w:szCs w:val="7"/>
                <w:color w:val="auto"/>
              </w:rPr>
            </w:pPr>
          </w:p>
        </w:tc>
        <w:tc>
          <w:tcPr>
            <w:tcW w:w="160" w:type="dxa"/>
            <w:vAlign w:val="bottom"/>
            <w:shd w:val="clear" w:color="auto" w:fill="D6D1D8"/>
          </w:tcPr>
          <w:p>
            <w:pPr>
              <w:spacing w:after="0"/>
              <w:rPr>
                <w:sz w:val="7"/>
                <w:szCs w:val="7"/>
                <w:color w:val="auto"/>
              </w:rPr>
            </w:pPr>
          </w:p>
        </w:tc>
        <w:tc>
          <w:tcPr>
            <w:tcW w:w="60" w:type="dxa"/>
            <w:vAlign w:val="bottom"/>
            <w:shd w:val="clear" w:color="auto" w:fill="D6D1D8"/>
          </w:tcPr>
          <w:p>
            <w:pPr>
              <w:spacing w:after="0"/>
              <w:rPr>
                <w:sz w:val="7"/>
                <w:szCs w:val="7"/>
                <w:color w:val="auto"/>
              </w:rPr>
            </w:pPr>
          </w:p>
        </w:tc>
        <w:tc>
          <w:tcPr>
            <w:tcW w:w="220" w:type="dxa"/>
            <w:vAlign w:val="bottom"/>
            <w:shd w:val="clear" w:color="auto" w:fill="D6D1D8"/>
          </w:tcPr>
          <w:p>
            <w:pPr>
              <w:spacing w:after="0"/>
              <w:rPr>
                <w:sz w:val="7"/>
                <w:szCs w:val="7"/>
                <w:color w:val="auto"/>
              </w:rPr>
            </w:pPr>
          </w:p>
        </w:tc>
        <w:tc>
          <w:tcPr>
            <w:tcW w:w="6080" w:type="dxa"/>
            <w:vAlign w:val="bottom"/>
            <w:shd w:val="clear" w:color="auto" w:fill="D6D1D8"/>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1540" w:type="dxa"/>
            <w:vAlign w:val="bottom"/>
          </w:tcPr>
          <w:p>
            <w:pPr>
              <w:ind w:left="80"/>
              <w:spacing w:after="0"/>
              <w:rPr>
                <w:sz w:val="20"/>
                <w:szCs w:val="20"/>
                <w:color w:val="auto"/>
              </w:rPr>
            </w:pPr>
            <w:r>
              <w:rPr>
                <w:rFonts w:ascii="Arial" w:cs="Arial" w:eastAsia="Arial" w:hAnsi="Arial"/>
                <w:sz w:val="16"/>
                <w:szCs w:val="16"/>
                <w:color w:val="auto"/>
              </w:rPr>
              <w:t>Long-term</w:t>
            </w:r>
          </w:p>
        </w:tc>
        <w:tc>
          <w:tcPr>
            <w:tcW w:w="1340" w:type="dxa"/>
            <w:vAlign w:val="bottom"/>
          </w:tcPr>
          <w:p>
            <w:pPr>
              <w:jc w:val="center"/>
              <w:ind w:left="760"/>
              <w:spacing w:after="0"/>
              <w:rPr>
                <w:sz w:val="20"/>
                <w:szCs w:val="20"/>
                <w:color w:val="auto"/>
              </w:rPr>
            </w:pPr>
            <w:r>
              <w:rPr>
                <w:rFonts w:ascii="Arial" w:cs="Arial" w:eastAsia="Arial" w:hAnsi="Arial"/>
                <w:sz w:val="16"/>
                <w:szCs w:val="16"/>
                <w:color w:val="auto"/>
                <w:w w:val="79"/>
              </w:rPr>
              <w:t>10% </w:t>
            </w:r>
          </w:p>
        </w:tc>
        <w:tc>
          <w:tcPr>
            <w:tcW w:w="300" w:type="dxa"/>
            <w:vAlign w:val="bottom"/>
          </w:tcPr>
          <w:p>
            <w:pPr>
              <w:ind w:left="40"/>
              <w:spacing w:after="0"/>
              <w:rPr>
                <w:sz w:val="20"/>
                <w:szCs w:val="20"/>
                <w:color w:val="auto"/>
              </w:rPr>
            </w:pPr>
            <w:r>
              <w:rPr>
                <w:rFonts w:ascii="Arial" w:cs="Arial" w:eastAsia="Arial" w:hAnsi="Arial"/>
                <w:sz w:val="16"/>
                <w:szCs w:val="16"/>
                <w:color w:val="auto"/>
              </w:rPr>
              <w:t> </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ind w:left="2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160" w:type="dxa"/>
            <w:vAlign w:val="bottom"/>
          </w:tcPr>
          <w:p>
            <w:pPr>
              <w:spacing w:after="0"/>
              <w:rPr>
                <w:sz w:val="20"/>
                <w:szCs w:val="20"/>
                <w:color w:val="auto"/>
              </w:rPr>
            </w:pPr>
            <w:r>
              <w:rPr>
                <w:rFonts w:ascii="Arial" w:cs="Arial" w:eastAsia="Arial" w:hAnsi="Arial"/>
                <w:sz w:val="16"/>
                <w:szCs w:val="16"/>
                <w:color w:val="auto"/>
                <w:w w:val="87"/>
              </w:rPr>
              <w:t> </w:t>
            </w:r>
          </w:p>
        </w:tc>
        <w:tc>
          <w:tcPr>
            <w:tcW w:w="60" w:type="dxa"/>
            <w:vAlign w:val="bottom"/>
          </w:tcPr>
          <w:p>
            <w:pPr>
              <w:jc w:val="center"/>
              <w:spacing w:after="0"/>
              <w:rPr>
                <w:sz w:val="20"/>
                <w:szCs w:val="20"/>
                <w:color w:val="auto"/>
              </w:rPr>
            </w:pPr>
            <w:r>
              <w:rPr>
                <w:rFonts w:ascii="Arial" w:cs="Arial" w:eastAsia="Arial" w:hAnsi="Arial"/>
                <w:sz w:val="16"/>
                <w:szCs w:val="16"/>
                <w:color w:val="auto"/>
                <w:w w:val="74"/>
              </w:rPr>
              <w:t> </w:t>
            </w:r>
          </w:p>
        </w:tc>
        <w:tc>
          <w:tcPr>
            <w:tcW w:w="220" w:type="dxa"/>
            <w:vAlign w:val="bottom"/>
          </w:tcPr>
          <w:p>
            <w:pPr>
              <w:spacing w:after="0"/>
              <w:rPr>
                <w:sz w:val="20"/>
                <w:szCs w:val="20"/>
                <w:color w:val="auto"/>
              </w:rPr>
            </w:pPr>
          </w:p>
        </w:tc>
        <w:tc>
          <w:tcPr>
            <w:tcW w:w="6080" w:type="dxa"/>
            <w:vAlign w:val="bottom"/>
          </w:tcPr>
          <w:p>
            <w:pPr>
              <w:ind w:left="40"/>
              <w:spacing w:after="0"/>
              <w:rPr>
                <w:sz w:val="20"/>
                <w:szCs w:val="20"/>
                <w:color w:val="auto"/>
              </w:rPr>
            </w:pPr>
            <w:r>
              <w:rPr>
                <w:rFonts w:ascii="Arial" w:cs="Arial" w:eastAsia="Arial" w:hAnsi="Arial"/>
                <w:sz w:val="16"/>
                <w:szCs w:val="16"/>
                <w:color w:val="auto"/>
              </w:rPr>
              <w:t>For the CEO and CFO, performance share units that vest solely on a three-year</w:t>
            </w:r>
          </w:p>
        </w:tc>
        <w:tc>
          <w:tcPr>
            <w:tcW w:w="0" w:type="dxa"/>
            <w:vAlign w:val="bottom"/>
          </w:tcPr>
          <w:p>
            <w:pPr>
              <w:spacing w:after="0"/>
              <w:rPr>
                <w:sz w:val="1"/>
                <w:szCs w:val="1"/>
                <w:color w:val="auto"/>
              </w:rPr>
            </w:pPr>
          </w:p>
        </w:tc>
      </w:tr>
      <w:tr>
        <w:trPr>
          <w:trHeight w:val="187"/>
        </w:trPr>
        <w:tc>
          <w:tcPr>
            <w:tcW w:w="1540" w:type="dxa"/>
            <w:vAlign w:val="bottom"/>
          </w:tcPr>
          <w:p>
            <w:pPr>
              <w:ind w:left="80"/>
              <w:spacing w:after="0"/>
              <w:rPr>
                <w:sz w:val="20"/>
                <w:szCs w:val="20"/>
                <w:color w:val="auto"/>
              </w:rPr>
            </w:pPr>
            <w:r>
              <w:rPr>
                <w:rFonts w:ascii="Arial" w:cs="Arial" w:eastAsia="Arial" w:hAnsi="Arial"/>
                <w:sz w:val="16"/>
                <w:szCs w:val="16"/>
                <w:color w:val="auto"/>
              </w:rPr>
              <w:t>incentives:</w:t>
            </w: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80" w:type="dxa"/>
            <w:vAlign w:val="bottom"/>
          </w:tcPr>
          <w:p>
            <w:pPr>
              <w:ind w:left="40"/>
              <w:spacing w:after="0"/>
              <w:rPr>
                <w:sz w:val="20"/>
                <w:szCs w:val="20"/>
                <w:color w:val="auto"/>
              </w:rPr>
            </w:pPr>
            <w:r>
              <w:rPr>
                <w:rFonts w:ascii="Arial" w:cs="Arial" w:eastAsia="Arial" w:hAnsi="Arial"/>
                <w:sz w:val="16"/>
                <w:szCs w:val="16"/>
                <w:color w:val="auto"/>
              </w:rPr>
              <w:t>absolute total shareholder return hurdle rate, linking the creation of shareholder</w:t>
            </w:r>
          </w:p>
        </w:tc>
        <w:tc>
          <w:tcPr>
            <w:tcW w:w="0" w:type="dxa"/>
            <w:vAlign w:val="bottom"/>
          </w:tcPr>
          <w:p>
            <w:pPr>
              <w:spacing w:after="0"/>
              <w:rPr>
                <w:sz w:val="1"/>
                <w:szCs w:val="1"/>
                <w:color w:val="auto"/>
              </w:rPr>
            </w:pPr>
          </w:p>
        </w:tc>
      </w:tr>
      <w:tr>
        <w:trPr>
          <w:trHeight w:val="187"/>
        </w:trPr>
        <w:tc>
          <w:tcPr>
            <w:tcW w:w="1540" w:type="dxa"/>
            <w:vAlign w:val="bottom"/>
          </w:tcPr>
          <w:p>
            <w:pPr>
              <w:ind w:left="80"/>
              <w:spacing w:after="0"/>
              <w:rPr>
                <w:sz w:val="20"/>
                <w:szCs w:val="20"/>
                <w:color w:val="auto"/>
              </w:rPr>
            </w:pPr>
            <w:r>
              <w:rPr>
                <w:rFonts w:ascii="Arial" w:cs="Arial" w:eastAsia="Arial" w:hAnsi="Arial"/>
                <w:sz w:val="16"/>
                <w:szCs w:val="16"/>
                <w:color w:val="auto"/>
              </w:rPr>
              <w:t>Performance share</w:t>
            </w: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80" w:type="dxa"/>
            <w:vAlign w:val="bottom"/>
          </w:tcPr>
          <w:p>
            <w:pPr>
              <w:ind w:left="40"/>
              <w:spacing w:after="0"/>
              <w:rPr>
                <w:sz w:val="20"/>
                <w:szCs w:val="20"/>
                <w:color w:val="auto"/>
              </w:rPr>
            </w:pPr>
            <w:r>
              <w:rPr>
                <w:rFonts w:ascii="Arial" w:cs="Arial" w:eastAsia="Arial" w:hAnsi="Arial"/>
                <w:sz w:val="16"/>
                <w:szCs w:val="16"/>
                <w:color w:val="auto"/>
              </w:rPr>
              <w:t>value to incentives earned. In 2025, Ms. Krum, newly appointed Executive Vice</w:t>
            </w:r>
          </w:p>
        </w:tc>
        <w:tc>
          <w:tcPr>
            <w:tcW w:w="0" w:type="dxa"/>
            <w:vAlign w:val="bottom"/>
          </w:tcPr>
          <w:p>
            <w:pPr>
              <w:spacing w:after="0"/>
              <w:rPr>
                <w:sz w:val="1"/>
                <w:szCs w:val="1"/>
                <w:color w:val="auto"/>
              </w:rPr>
            </w:pPr>
          </w:p>
        </w:tc>
      </w:tr>
      <w:tr>
        <w:trPr>
          <w:trHeight w:val="187"/>
        </w:trPr>
        <w:tc>
          <w:tcPr>
            <w:tcW w:w="1540" w:type="dxa"/>
            <w:vAlign w:val="bottom"/>
          </w:tcPr>
          <w:p>
            <w:pPr>
              <w:ind w:left="80"/>
              <w:spacing w:after="0"/>
              <w:rPr>
                <w:sz w:val="20"/>
                <w:szCs w:val="20"/>
                <w:color w:val="auto"/>
              </w:rPr>
            </w:pPr>
            <w:r>
              <w:rPr>
                <w:rFonts w:ascii="Arial" w:cs="Arial" w:eastAsia="Arial" w:hAnsi="Arial"/>
                <w:sz w:val="16"/>
                <w:szCs w:val="16"/>
                <w:color w:val="auto"/>
              </w:rPr>
              <w:t>units</w:t>
            </w: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80" w:type="dxa"/>
            <w:vAlign w:val="bottom"/>
          </w:tcPr>
          <w:p>
            <w:pPr>
              <w:ind w:left="40"/>
              <w:spacing w:after="0"/>
              <w:rPr>
                <w:sz w:val="20"/>
                <w:szCs w:val="20"/>
                <w:color w:val="auto"/>
              </w:rPr>
            </w:pPr>
            <w:r>
              <w:rPr>
                <w:rFonts w:ascii="Arial" w:cs="Arial" w:eastAsia="Arial" w:hAnsi="Arial"/>
                <w:sz w:val="16"/>
                <w:szCs w:val="16"/>
                <w:color w:val="auto"/>
              </w:rPr>
              <w:t>President, General Counsel, and Secretary was also granted performance share</w:t>
            </w:r>
          </w:p>
        </w:tc>
        <w:tc>
          <w:tcPr>
            <w:tcW w:w="0" w:type="dxa"/>
            <w:vAlign w:val="bottom"/>
          </w:tcPr>
          <w:p>
            <w:pPr>
              <w:spacing w:after="0"/>
              <w:rPr>
                <w:sz w:val="1"/>
                <w:szCs w:val="1"/>
                <w:color w:val="auto"/>
              </w:rPr>
            </w:pPr>
          </w:p>
        </w:tc>
      </w:tr>
      <w:tr>
        <w:trPr>
          <w:trHeight w:val="211"/>
        </w:trPr>
        <w:tc>
          <w:tcPr>
            <w:tcW w:w="1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80" w:type="dxa"/>
            <w:vAlign w:val="bottom"/>
          </w:tcPr>
          <w:p>
            <w:pPr>
              <w:ind w:left="40"/>
              <w:spacing w:after="0"/>
              <w:rPr>
                <w:sz w:val="20"/>
                <w:szCs w:val="20"/>
                <w:color w:val="auto"/>
              </w:rPr>
            </w:pPr>
            <w:r>
              <w:rPr>
                <w:rFonts w:ascii="Arial" w:cs="Arial" w:eastAsia="Arial" w:hAnsi="Arial"/>
                <w:sz w:val="16"/>
                <w:szCs w:val="16"/>
                <w:color w:val="auto"/>
              </w:rPr>
              <w:t>units</w:t>
            </w:r>
          </w:p>
        </w:tc>
        <w:tc>
          <w:tcPr>
            <w:tcW w:w="0" w:type="dxa"/>
            <w:vAlign w:val="bottom"/>
          </w:tcPr>
          <w:p>
            <w:pPr>
              <w:spacing w:after="0"/>
              <w:rPr>
                <w:sz w:val="1"/>
                <w:szCs w:val="1"/>
                <w:color w:val="auto"/>
              </w:rPr>
            </w:pPr>
          </w:p>
        </w:tc>
      </w:tr>
      <w:tr>
        <w:trPr>
          <w:trHeight w:val="70"/>
        </w:trPr>
        <w:tc>
          <w:tcPr>
            <w:tcW w:w="1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1540" w:type="dxa"/>
            <w:vAlign w:val="bottom"/>
            <w:shd w:val="clear" w:color="auto" w:fill="D6D1D8"/>
          </w:tcPr>
          <w:p>
            <w:pPr>
              <w:ind w:left="80"/>
              <w:spacing w:after="0"/>
              <w:rPr>
                <w:sz w:val="20"/>
                <w:szCs w:val="20"/>
                <w:color w:val="auto"/>
              </w:rPr>
            </w:pPr>
            <w:r>
              <w:rPr>
                <w:rFonts w:ascii="Arial" w:cs="Arial" w:eastAsia="Arial" w:hAnsi="Arial"/>
                <w:sz w:val="16"/>
                <w:szCs w:val="16"/>
                <w:color w:val="auto"/>
              </w:rPr>
              <w:t>Long-term</w:t>
            </w:r>
          </w:p>
        </w:tc>
        <w:tc>
          <w:tcPr>
            <w:tcW w:w="1340" w:type="dxa"/>
            <w:vAlign w:val="bottom"/>
            <w:shd w:val="clear" w:color="auto" w:fill="D6D1D8"/>
          </w:tcPr>
          <w:p>
            <w:pPr>
              <w:jc w:val="center"/>
              <w:ind w:left="760"/>
              <w:spacing w:after="0"/>
              <w:rPr>
                <w:sz w:val="20"/>
                <w:szCs w:val="20"/>
                <w:color w:val="auto"/>
              </w:rPr>
            </w:pPr>
            <w:r>
              <w:rPr>
                <w:rFonts w:ascii="Arial" w:cs="Arial" w:eastAsia="Arial" w:hAnsi="Arial"/>
                <w:sz w:val="16"/>
                <w:szCs w:val="16"/>
                <w:color w:val="auto"/>
                <w:w w:val="79"/>
              </w:rPr>
              <w:t>24% </w:t>
            </w:r>
          </w:p>
        </w:tc>
        <w:tc>
          <w:tcPr>
            <w:tcW w:w="300" w:type="dxa"/>
            <w:vAlign w:val="bottom"/>
            <w:shd w:val="clear" w:color="auto" w:fill="D6D1D8"/>
          </w:tcPr>
          <w:p>
            <w:pPr>
              <w:ind w:left="40"/>
              <w:spacing w:after="0"/>
              <w:rPr>
                <w:sz w:val="20"/>
                <w:szCs w:val="20"/>
                <w:color w:val="auto"/>
              </w:rPr>
            </w:pPr>
            <w:r>
              <w:rPr>
                <w:rFonts w:ascii="Arial" w:cs="Arial" w:eastAsia="Arial" w:hAnsi="Arial"/>
                <w:sz w:val="16"/>
                <w:szCs w:val="16"/>
                <w:color w:val="auto"/>
              </w:rPr>
              <w:t> </w:t>
            </w:r>
          </w:p>
        </w:tc>
        <w:tc>
          <w:tcPr>
            <w:tcW w:w="440" w:type="dxa"/>
            <w:vAlign w:val="bottom"/>
            <w:shd w:val="clear" w:color="auto" w:fill="D6D1D8"/>
          </w:tcPr>
          <w:p>
            <w:pPr>
              <w:spacing w:after="0"/>
              <w:rPr>
                <w:sz w:val="20"/>
                <w:szCs w:val="20"/>
                <w:color w:val="auto"/>
              </w:rPr>
            </w:pPr>
          </w:p>
        </w:tc>
        <w:tc>
          <w:tcPr>
            <w:tcW w:w="240" w:type="dxa"/>
            <w:vAlign w:val="bottom"/>
            <w:shd w:val="clear" w:color="auto" w:fill="D6D1D8"/>
          </w:tcPr>
          <w:p>
            <w:pPr>
              <w:spacing w:after="0"/>
              <w:rPr>
                <w:sz w:val="20"/>
                <w:szCs w:val="20"/>
                <w:color w:val="auto"/>
              </w:rPr>
            </w:pPr>
          </w:p>
        </w:tc>
        <w:tc>
          <w:tcPr>
            <w:tcW w:w="540" w:type="dxa"/>
            <w:vAlign w:val="bottom"/>
            <w:shd w:val="clear" w:color="auto" w:fill="D6D1D8"/>
          </w:tcPr>
          <w:p>
            <w:pPr>
              <w:ind w:left="2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160" w:type="dxa"/>
            <w:vAlign w:val="bottom"/>
            <w:shd w:val="clear" w:color="auto" w:fill="D6D1D8"/>
          </w:tcPr>
          <w:p>
            <w:pPr>
              <w:spacing w:after="0"/>
              <w:rPr>
                <w:sz w:val="20"/>
                <w:szCs w:val="20"/>
                <w:color w:val="auto"/>
              </w:rPr>
            </w:pPr>
            <w:r>
              <w:rPr>
                <w:rFonts w:ascii="Arial" w:cs="Arial" w:eastAsia="Arial" w:hAnsi="Arial"/>
                <w:sz w:val="16"/>
                <w:szCs w:val="16"/>
                <w:color w:val="auto"/>
                <w:w w:val="87"/>
              </w:rPr>
              <w:t> </w:t>
            </w:r>
          </w:p>
        </w:tc>
        <w:tc>
          <w:tcPr>
            <w:tcW w:w="60" w:type="dxa"/>
            <w:vAlign w:val="bottom"/>
            <w:shd w:val="clear" w:color="auto" w:fill="D6D1D8"/>
          </w:tcPr>
          <w:p>
            <w:pPr>
              <w:jc w:val="center"/>
              <w:spacing w:after="0"/>
              <w:rPr>
                <w:sz w:val="20"/>
                <w:szCs w:val="20"/>
                <w:color w:val="auto"/>
              </w:rPr>
            </w:pPr>
            <w:r>
              <w:rPr>
                <w:rFonts w:ascii="Arial" w:cs="Arial" w:eastAsia="Arial" w:hAnsi="Arial"/>
                <w:sz w:val="16"/>
                <w:szCs w:val="16"/>
                <w:color w:val="auto"/>
                <w:w w:val="74"/>
              </w:rPr>
              <w:t> </w:t>
            </w:r>
          </w:p>
        </w:tc>
        <w:tc>
          <w:tcPr>
            <w:tcW w:w="220" w:type="dxa"/>
            <w:vAlign w:val="bottom"/>
            <w:shd w:val="clear" w:color="auto" w:fill="D6D1D8"/>
          </w:tcPr>
          <w:p>
            <w:pPr>
              <w:spacing w:after="0"/>
              <w:rPr>
                <w:sz w:val="20"/>
                <w:szCs w:val="20"/>
                <w:color w:val="auto"/>
              </w:rPr>
            </w:pPr>
          </w:p>
        </w:tc>
        <w:tc>
          <w:tcPr>
            <w:tcW w:w="6080" w:type="dxa"/>
            <w:vAlign w:val="bottom"/>
            <w:shd w:val="clear" w:color="auto" w:fill="D6D1D8"/>
          </w:tcPr>
          <w:p>
            <w:pPr>
              <w:ind w:left="40"/>
              <w:spacing w:after="0"/>
              <w:rPr>
                <w:sz w:val="20"/>
                <w:szCs w:val="20"/>
                <w:color w:val="auto"/>
              </w:rPr>
            </w:pPr>
            <w:r>
              <w:rPr>
                <w:rFonts w:ascii="Arial" w:cs="Arial" w:eastAsia="Arial" w:hAnsi="Arial"/>
                <w:sz w:val="16"/>
                <w:szCs w:val="16"/>
                <w:color w:val="auto"/>
              </w:rPr>
              <w:t>Ensure focus on long-term value creation, align executive and long-term</w:t>
            </w:r>
          </w:p>
        </w:tc>
        <w:tc>
          <w:tcPr>
            <w:tcW w:w="0" w:type="dxa"/>
            <w:vAlign w:val="bottom"/>
          </w:tcPr>
          <w:p>
            <w:pPr>
              <w:spacing w:after="0"/>
              <w:rPr>
                <w:sz w:val="1"/>
                <w:szCs w:val="1"/>
                <w:color w:val="auto"/>
              </w:rPr>
            </w:pPr>
          </w:p>
        </w:tc>
      </w:tr>
      <w:tr>
        <w:trPr>
          <w:trHeight w:val="187"/>
        </w:trPr>
        <w:tc>
          <w:tcPr>
            <w:tcW w:w="1540" w:type="dxa"/>
            <w:vAlign w:val="bottom"/>
            <w:shd w:val="clear" w:color="auto" w:fill="D6D1D8"/>
          </w:tcPr>
          <w:p>
            <w:pPr>
              <w:ind w:left="80"/>
              <w:spacing w:after="0"/>
              <w:rPr>
                <w:sz w:val="20"/>
                <w:szCs w:val="20"/>
                <w:color w:val="auto"/>
              </w:rPr>
            </w:pPr>
            <w:r>
              <w:rPr>
                <w:rFonts w:ascii="Arial" w:cs="Arial" w:eastAsia="Arial" w:hAnsi="Arial"/>
                <w:sz w:val="16"/>
                <w:szCs w:val="16"/>
                <w:color w:val="auto"/>
              </w:rPr>
              <w:t>incentives:</w:t>
            </w:r>
          </w:p>
        </w:tc>
        <w:tc>
          <w:tcPr>
            <w:tcW w:w="1340" w:type="dxa"/>
            <w:vAlign w:val="bottom"/>
            <w:shd w:val="clear" w:color="auto" w:fill="D6D1D8"/>
          </w:tcPr>
          <w:p>
            <w:pPr>
              <w:spacing w:after="0"/>
              <w:rPr>
                <w:sz w:val="16"/>
                <w:szCs w:val="16"/>
                <w:color w:val="auto"/>
              </w:rPr>
            </w:pPr>
          </w:p>
        </w:tc>
        <w:tc>
          <w:tcPr>
            <w:tcW w:w="300" w:type="dxa"/>
            <w:vAlign w:val="bottom"/>
            <w:shd w:val="clear" w:color="auto" w:fill="D6D1D8"/>
          </w:tcPr>
          <w:p>
            <w:pPr>
              <w:spacing w:after="0"/>
              <w:rPr>
                <w:sz w:val="16"/>
                <w:szCs w:val="16"/>
                <w:color w:val="auto"/>
              </w:rPr>
            </w:pPr>
          </w:p>
        </w:tc>
        <w:tc>
          <w:tcPr>
            <w:tcW w:w="440" w:type="dxa"/>
            <w:vAlign w:val="bottom"/>
            <w:shd w:val="clear" w:color="auto" w:fill="D6D1D8"/>
          </w:tcPr>
          <w:p>
            <w:pPr>
              <w:spacing w:after="0"/>
              <w:rPr>
                <w:sz w:val="16"/>
                <w:szCs w:val="16"/>
                <w:color w:val="auto"/>
              </w:rPr>
            </w:pPr>
          </w:p>
        </w:tc>
        <w:tc>
          <w:tcPr>
            <w:tcW w:w="240" w:type="dxa"/>
            <w:vAlign w:val="bottom"/>
            <w:shd w:val="clear" w:color="auto" w:fill="D6D1D8"/>
          </w:tcPr>
          <w:p>
            <w:pPr>
              <w:spacing w:after="0"/>
              <w:rPr>
                <w:sz w:val="16"/>
                <w:szCs w:val="16"/>
                <w:color w:val="auto"/>
              </w:rPr>
            </w:pPr>
          </w:p>
        </w:tc>
        <w:tc>
          <w:tcPr>
            <w:tcW w:w="540" w:type="dxa"/>
            <w:vAlign w:val="bottom"/>
            <w:shd w:val="clear" w:color="auto" w:fill="D6D1D8"/>
          </w:tcPr>
          <w:p>
            <w:pPr>
              <w:spacing w:after="0"/>
              <w:rPr>
                <w:sz w:val="16"/>
                <w:szCs w:val="16"/>
                <w:color w:val="auto"/>
              </w:rPr>
            </w:pPr>
          </w:p>
        </w:tc>
        <w:tc>
          <w:tcPr>
            <w:tcW w:w="160" w:type="dxa"/>
            <w:vAlign w:val="bottom"/>
            <w:shd w:val="clear" w:color="auto" w:fill="D6D1D8"/>
          </w:tcPr>
          <w:p>
            <w:pPr>
              <w:spacing w:after="0"/>
              <w:rPr>
                <w:sz w:val="16"/>
                <w:szCs w:val="16"/>
                <w:color w:val="auto"/>
              </w:rPr>
            </w:pPr>
          </w:p>
        </w:tc>
        <w:tc>
          <w:tcPr>
            <w:tcW w:w="60" w:type="dxa"/>
            <w:vAlign w:val="bottom"/>
            <w:shd w:val="clear" w:color="auto" w:fill="D6D1D8"/>
          </w:tcPr>
          <w:p>
            <w:pPr>
              <w:spacing w:after="0"/>
              <w:rPr>
                <w:sz w:val="16"/>
                <w:szCs w:val="16"/>
                <w:color w:val="auto"/>
              </w:rPr>
            </w:pPr>
          </w:p>
        </w:tc>
        <w:tc>
          <w:tcPr>
            <w:tcW w:w="220" w:type="dxa"/>
            <w:vAlign w:val="bottom"/>
            <w:shd w:val="clear" w:color="auto" w:fill="D6D1D8"/>
          </w:tcPr>
          <w:p>
            <w:pPr>
              <w:spacing w:after="0"/>
              <w:rPr>
                <w:sz w:val="16"/>
                <w:szCs w:val="16"/>
                <w:color w:val="auto"/>
              </w:rPr>
            </w:pPr>
          </w:p>
        </w:tc>
        <w:tc>
          <w:tcPr>
            <w:tcW w:w="6080" w:type="dxa"/>
            <w:vAlign w:val="bottom"/>
            <w:shd w:val="clear" w:color="auto" w:fill="D6D1D8"/>
          </w:tcPr>
          <w:p>
            <w:pPr>
              <w:ind w:left="40"/>
              <w:spacing w:after="0"/>
              <w:rPr>
                <w:sz w:val="20"/>
                <w:szCs w:val="20"/>
                <w:color w:val="auto"/>
              </w:rPr>
            </w:pPr>
            <w:r>
              <w:rPr>
                <w:rFonts w:ascii="Arial" w:cs="Arial" w:eastAsia="Arial" w:hAnsi="Arial"/>
                <w:sz w:val="16"/>
                <w:szCs w:val="16"/>
                <w:color w:val="auto"/>
              </w:rPr>
              <w:t>shareholder interests, promote retention, and minimize compensation risk</w:t>
            </w:r>
          </w:p>
        </w:tc>
        <w:tc>
          <w:tcPr>
            <w:tcW w:w="0" w:type="dxa"/>
            <w:vAlign w:val="bottom"/>
          </w:tcPr>
          <w:p>
            <w:pPr>
              <w:spacing w:after="0"/>
              <w:rPr>
                <w:sz w:val="1"/>
                <w:szCs w:val="1"/>
                <w:color w:val="auto"/>
              </w:rPr>
            </w:pPr>
          </w:p>
        </w:tc>
      </w:tr>
      <w:tr>
        <w:trPr>
          <w:trHeight w:val="187"/>
        </w:trPr>
        <w:tc>
          <w:tcPr>
            <w:tcW w:w="1540" w:type="dxa"/>
            <w:vAlign w:val="bottom"/>
            <w:shd w:val="clear" w:color="auto" w:fill="D6D1D8"/>
          </w:tcPr>
          <w:p>
            <w:pPr>
              <w:ind w:left="80"/>
              <w:spacing w:after="0"/>
              <w:rPr>
                <w:sz w:val="20"/>
                <w:szCs w:val="20"/>
                <w:color w:val="auto"/>
              </w:rPr>
            </w:pPr>
            <w:r>
              <w:rPr>
                <w:rFonts w:ascii="Arial" w:cs="Arial" w:eastAsia="Arial" w:hAnsi="Arial"/>
                <w:sz w:val="16"/>
                <w:szCs w:val="16"/>
                <w:color w:val="auto"/>
              </w:rPr>
              <w:t>Time-based</w:t>
            </w:r>
          </w:p>
        </w:tc>
        <w:tc>
          <w:tcPr>
            <w:tcW w:w="1340" w:type="dxa"/>
            <w:vAlign w:val="bottom"/>
            <w:shd w:val="clear" w:color="auto" w:fill="D6D1D8"/>
          </w:tcPr>
          <w:p>
            <w:pPr>
              <w:spacing w:after="0"/>
              <w:rPr>
                <w:sz w:val="16"/>
                <w:szCs w:val="16"/>
                <w:color w:val="auto"/>
              </w:rPr>
            </w:pPr>
          </w:p>
        </w:tc>
        <w:tc>
          <w:tcPr>
            <w:tcW w:w="300" w:type="dxa"/>
            <w:vAlign w:val="bottom"/>
            <w:shd w:val="clear" w:color="auto" w:fill="D6D1D8"/>
          </w:tcPr>
          <w:p>
            <w:pPr>
              <w:spacing w:after="0"/>
              <w:rPr>
                <w:sz w:val="16"/>
                <w:szCs w:val="16"/>
                <w:color w:val="auto"/>
              </w:rPr>
            </w:pPr>
          </w:p>
        </w:tc>
        <w:tc>
          <w:tcPr>
            <w:tcW w:w="440" w:type="dxa"/>
            <w:vAlign w:val="bottom"/>
            <w:shd w:val="clear" w:color="auto" w:fill="D6D1D8"/>
          </w:tcPr>
          <w:p>
            <w:pPr>
              <w:spacing w:after="0"/>
              <w:rPr>
                <w:sz w:val="16"/>
                <w:szCs w:val="16"/>
                <w:color w:val="auto"/>
              </w:rPr>
            </w:pPr>
          </w:p>
        </w:tc>
        <w:tc>
          <w:tcPr>
            <w:tcW w:w="240" w:type="dxa"/>
            <w:vAlign w:val="bottom"/>
            <w:shd w:val="clear" w:color="auto" w:fill="D6D1D8"/>
          </w:tcPr>
          <w:p>
            <w:pPr>
              <w:spacing w:after="0"/>
              <w:rPr>
                <w:sz w:val="16"/>
                <w:szCs w:val="16"/>
                <w:color w:val="auto"/>
              </w:rPr>
            </w:pPr>
          </w:p>
        </w:tc>
        <w:tc>
          <w:tcPr>
            <w:tcW w:w="540" w:type="dxa"/>
            <w:vAlign w:val="bottom"/>
            <w:shd w:val="clear" w:color="auto" w:fill="D6D1D8"/>
          </w:tcPr>
          <w:p>
            <w:pPr>
              <w:spacing w:after="0"/>
              <w:rPr>
                <w:sz w:val="16"/>
                <w:szCs w:val="16"/>
                <w:color w:val="auto"/>
              </w:rPr>
            </w:pPr>
          </w:p>
        </w:tc>
        <w:tc>
          <w:tcPr>
            <w:tcW w:w="160" w:type="dxa"/>
            <w:vAlign w:val="bottom"/>
            <w:shd w:val="clear" w:color="auto" w:fill="D6D1D8"/>
          </w:tcPr>
          <w:p>
            <w:pPr>
              <w:spacing w:after="0"/>
              <w:rPr>
                <w:sz w:val="16"/>
                <w:szCs w:val="16"/>
                <w:color w:val="auto"/>
              </w:rPr>
            </w:pPr>
          </w:p>
        </w:tc>
        <w:tc>
          <w:tcPr>
            <w:tcW w:w="60" w:type="dxa"/>
            <w:vAlign w:val="bottom"/>
            <w:shd w:val="clear" w:color="auto" w:fill="D6D1D8"/>
          </w:tcPr>
          <w:p>
            <w:pPr>
              <w:spacing w:after="0"/>
              <w:rPr>
                <w:sz w:val="16"/>
                <w:szCs w:val="16"/>
                <w:color w:val="auto"/>
              </w:rPr>
            </w:pPr>
          </w:p>
        </w:tc>
        <w:tc>
          <w:tcPr>
            <w:tcW w:w="220" w:type="dxa"/>
            <w:vAlign w:val="bottom"/>
            <w:shd w:val="clear" w:color="auto" w:fill="D6D1D8"/>
          </w:tcPr>
          <w:p>
            <w:pPr>
              <w:spacing w:after="0"/>
              <w:rPr>
                <w:sz w:val="16"/>
                <w:szCs w:val="16"/>
                <w:color w:val="auto"/>
              </w:rPr>
            </w:pPr>
          </w:p>
        </w:tc>
        <w:tc>
          <w:tcPr>
            <w:tcW w:w="6080" w:type="dxa"/>
            <w:vAlign w:val="bottom"/>
            <w:shd w:val="clear" w:color="auto" w:fill="D6D1D8"/>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540" w:type="dxa"/>
            <w:vAlign w:val="bottom"/>
            <w:shd w:val="clear" w:color="auto" w:fill="D6D1D8"/>
          </w:tcPr>
          <w:p>
            <w:pPr>
              <w:ind w:left="80"/>
              <w:spacing w:after="0"/>
              <w:rPr>
                <w:sz w:val="20"/>
                <w:szCs w:val="20"/>
                <w:color w:val="auto"/>
              </w:rPr>
            </w:pPr>
            <w:r>
              <w:rPr>
                <w:rFonts w:ascii="Arial" w:cs="Arial" w:eastAsia="Arial" w:hAnsi="Arial"/>
                <w:sz w:val="16"/>
                <w:szCs w:val="16"/>
                <w:color w:val="auto"/>
              </w:rPr>
              <w:t>restricted stock</w:t>
            </w:r>
          </w:p>
        </w:tc>
        <w:tc>
          <w:tcPr>
            <w:tcW w:w="1340" w:type="dxa"/>
            <w:vAlign w:val="bottom"/>
            <w:shd w:val="clear" w:color="auto" w:fill="D6D1D8"/>
          </w:tcPr>
          <w:p>
            <w:pPr>
              <w:spacing w:after="0"/>
              <w:rPr>
                <w:sz w:val="18"/>
                <w:szCs w:val="18"/>
                <w:color w:val="auto"/>
              </w:rPr>
            </w:pPr>
          </w:p>
        </w:tc>
        <w:tc>
          <w:tcPr>
            <w:tcW w:w="300" w:type="dxa"/>
            <w:vAlign w:val="bottom"/>
            <w:shd w:val="clear" w:color="auto" w:fill="D6D1D8"/>
          </w:tcPr>
          <w:p>
            <w:pPr>
              <w:spacing w:after="0"/>
              <w:rPr>
                <w:sz w:val="18"/>
                <w:szCs w:val="18"/>
                <w:color w:val="auto"/>
              </w:rPr>
            </w:pPr>
          </w:p>
        </w:tc>
        <w:tc>
          <w:tcPr>
            <w:tcW w:w="440" w:type="dxa"/>
            <w:vAlign w:val="bottom"/>
            <w:shd w:val="clear" w:color="auto" w:fill="D6D1D8"/>
          </w:tcPr>
          <w:p>
            <w:pPr>
              <w:spacing w:after="0"/>
              <w:rPr>
                <w:sz w:val="18"/>
                <w:szCs w:val="18"/>
                <w:color w:val="auto"/>
              </w:rPr>
            </w:pPr>
          </w:p>
        </w:tc>
        <w:tc>
          <w:tcPr>
            <w:tcW w:w="240" w:type="dxa"/>
            <w:vAlign w:val="bottom"/>
            <w:shd w:val="clear" w:color="auto" w:fill="D6D1D8"/>
          </w:tcPr>
          <w:p>
            <w:pPr>
              <w:spacing w:after="0"/>
              <w:rPr>
                <w:sz w:val="18"/>
                <w:szCs w:val="18"/>
                <w:color w:val="auto"/>
              </w:rPr>
            </w:pPr>
          </w:p>
        </w:tc>
        <w:tc>
          <w:tcPr>
            <w:tcW w:w="540" w:type="dxa"/>
            <w:vAlign w:val="bottom"/>
            <w:shd w:val="clear" w:color="auto" w:fill="D6D1D8"/>
          </w:tcPr>
          <w:p>
            <w:pPr>
              <w:spacing w:after="0"/>
              <w:rPr>
                <w:sz w:val="18"/>
                <w:szCs w:val="18"/>
                <w:color w:val="auto"/>
              </w:rPr>
            </w:pPr>
          </w:p>
        </w:tc>
        <w:tc>
          <w:tcPr>
            <w:tcW w:w="160" w:type="dxa"/>
            <w:vAlign w:val="bottom"/>
            <w:shd w:val="clear" w:color="auto" w:fill="D6D1D8"/>
          </w:tcPr>
          <w:p>
            <w:pPr>
              <w:spacing w:after="0"/>
              <w:rPr>
                <w:sz w:val="18"/>
                <w:szCs w:val="18"/>
                <w:color w:val="auto"/>
              </w:rPr>
            </w:pPr>
          </w:p>
        </w:tc>
        <w:tc>
          <w:tcPr>
            <w:tcW w:w="60" w:type="dxa"/>
            <w:vAlign w:val="bottom"/>
            <w:shd w:val="clear" w:color="auto" w:fill="D6D1D8"/>
          </w:tcPr>
          <w:p>
            <w:pPr>
              <w:spacing w:after="0"/>
              <w:rPr>
                <w:sz w:val="18"/>
                <w:szCs w:val="18"/>
                <w:color w:val="auto"/>
              </w:rPr>
            </w:pPr>
          </w:p>
        </w:tc>
        <w:tc>
          <w:tcPr>
            <w:tcW w:w="220" w:type="dxa"/>
            <w:vAlign w:val="bottom"/>
            <w:shd w:val="clear" w:color="auto" w:fill="D6D1D8"/>
          </w:tcPr>
          <w:p>
            <w:pPr>
              <w:spacing w:after="0"/>
              <w:rPr>
                <w:sz w:val="18"/>
                <w:szCs w:val="18"/>
                <w:color w:val="auto"/>
              </w:rPr>
            </w:pPr>
          </w:p>
        </w:tc>
        <w:tc>
          <w:tcPr>
            <w:tcW w:w="6080" w:type="dxa"/>
            <w:vAlign w:val="bottom"/>
            <w:shd w:val="clear" w:color="auto" w:fill="D6D1D8"/>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1540" w:type="dxa"/>
            <w:vAlign w:val="bottom"/>
            <w:shd w:val="clear" w:color="auto" w:fill="D6D1D8"/>
          </w:tcPr>
          <w:p>
            <w:pPr>
              <w:spacing w:after="0"/>
              <w:rPr>
                <w:sz w:val="7"/>
                <w:szCs w:val="7"/>
                <w:color w:val="auto"/>
              </w:rPr>
            </w:pPr>
          </w:p>
        </w:tc>
        <w:tc>
          <w:tcPr>
            <w:tcW w:w="1340" w:type="dxa"/>
            <w:vAlign w:val="bottom"/>
            <w:shd w:val="clear" w:color="auto" w:fill="D6D1D8"/>
          </w:tcPr>
          <w:p>
            <w:pPr>
              <w:spacing w:after="0"/>
              <w:rPr>
                <w:sz w:val="7"/>
                <w:szCs w:val="7"/>
                <w:color w:val="auto"/>
              </w:rPr>
            </w:pPr>
          </w:p>
        </w:tc>
        <w:tc>
          <w:tcPr>
            <w:tcW w:w="300" w:type="dxa"/>
            <w:vAlign w:val="bottom"/>
            <w:shd w:val="clear" w:color="auto" w:fill="D6D1D8"/>
          </w:tcPr>
          <w:p>
            <w:pPr>
              <w:spacing w:after="0"/>
              <w:rPr>
                <w:sz w:val="7"/>
                <w:szCs w:val="7"/>
                <w:color w:val="auto"/>
              </w:rPr>
            </w:pPr>
          </w:p>
        </w:tc>
        <w:tc>
          <w:tcPr>
            <w:tcW w:w="440" w:type="dxa"/>
            <w:vAlign w:val="bottom"/>
            <w:shd w:val="clear" w:color="auto" w:fill="D6D1D8"/>
          </w:tcPr>
          <w:p>
            <w:pPr>
              <w:spacing w:after="0"/>
              <w:rPr>
                <w:sz w:val="7"/>
                <w:szCs w:val="7"/>
                <w:color w:val="auto"/>
              </w:rPr>
            </w:pPr>
          </w:p>
        </w:tc>
        <w:tc>
          <w:tcPr>
            <w:tcW w:w="240" w:type="dxa"/>
            <w:vAlign w:val="bottom"/>
            <w:shd w:val="clear" w:color="auto" w:fill="D6D1D8"/>
          </w:tcPr>
          <w:p>
            <w:pPr>
              <w:spacing w:after="0"/>
              <w:rPr>
                <w:sz w:val="7"/>
                <w:szCs w:val="7"/>
                <w:color w:val="auto"/>
              </w:rPr>
            </w:pPr>
          </w:p>
        </w:tc>
        <w:tc>
          <w:tcPr>
            <w:tcW w:w="540" w:type="dxa"/>
            <w:vAlign w:val="bottom"/>
            <w:shd w:val="clear" w:color="auto" w:fill="D6D1D8"/>
          </w:tcPr>
          <w:p>
            <w:pPr>
              <w:spacing w:after="0"/>
              <w:rPr>
                <w:sz w:val="7"/>
                <w:szCs w:val="7"/>
                <w:color w:val="auto"/>
              </w:rPr>
            </w:pPr>
          </w:p>
        </w:tc>
        <w:tc>
          <w:tcPr>
            <w:tcW w:w="160" w:type="dxa"/>
            <w:vAlign w:val="bottom"/>
            <w:shd w:val="clear" w:color="auto" w:fill="D6D1D8"/>
          </w:tcPr>
          <w:p>
            <w:pPr>
              <w:spacing w:after="0"/>
              <w:rPr>
                <w:sz w:val="7"/>
                <w:szCs w:val="7"/>
                <w:color w:val="auto"/>
              </w:rPr>
            </w:pPr>
          </w:p>
        </w:tc>
        <w:tc>
          <w:tcPr>
            <w:tcW w:w="60" w:type="dxa"/>
            <w:vAlign w:val="bottom"/>
            <w:shd w:val="clear" w:color="auto" w:fill="D6D1D8"/>
          </w:tcPr>
          <w:p>
            <w:pPr>
              <w:spacing w:after="0"/>
              <w:rPr>
                <w:sz w:val="7"/>
                <w:szCs w:val="7"/>
                <w:color w:val="auto"/>
              </w:rPr>
            </w:pPr>
          </w:p>
        </w:tc>
        <w:tc>
          <w:tcPr>
            <w:tcW w:w="220" w:type="dxa"/>
            <w:vAlign w:val="bottom"/>
            <w:shd w:val="clear" w:color="auto" w:fill="D6D1D8"/>
          </w:tcPr>
          <w:p>
            <w:pPr>
              <w:spacing w:after="0"/>
              <w:rPr>
                <w:sz w:val="7"/>
                <w:szCs w:val="7"/>
                <w:color w:val="auto"/>
              </w:rPr>
            </w:pPr>
          </w:p>
        </w:tc>
        <w:tc>
          <w:tcPr>
            <w:tcW w:w="6080" w:type="dxa"/>
            <w:vAlign w:val="bottom"/>
            <w:shd w:val="clear" w:color="auto" w:fill="D6D1D8"/>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2458720</wp:posOffset>
            </wp:positionH>
            <wp:positionV relativeFrom="paragraph">
              <wp:posOffset>-576580</wp:posOffset>
            </wp:positionV>
            <wp:extent cx="8255" cy="5772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577215"/>
                    </a:xfrm>
                    <a:prstGeom prst="rect">
                      <a:avLst/>
                    </a:prstGeom>
                    <a:noFill/>
                  </pic:spPr>
                </pic:pic>
              </a:graphicData>
            </a:graphic>
          </wp:anchor>
        </w:drawing>
      </w:r>
    </w:p>
    <w:p>
      <w:pPr>
        <w:spacing w:after="0" w:line="69" w:lineRule="exact"/>
        <w:rPr>
          <w:sz w:val="20"/>
          <w:szCs w:val="20"/>
          <w:color w:val="auto"/>
        </w:rPr>
      </w:pPr>
    </w:p>
    <w:p>
      <w:pPr>
        <w:jc w:val="both"/>
        <w:ind w:left="160" w:right="600" w:firstLine="7"/>
        <w:spacing w:after="0" w:line="279" w:lineRule="auto"/>
        <w:tabs>
          <w:tab w:leader="none" w:pos="347" w:val="left"/>
        </w:tabs>
        <w:numPr>
          <w:ilvl w:val="0"/>
          <w:numId w:val="23"/>
        </w:numPr>
        <w:rPr>
          <w:rFonts w:ascii="Arial" w:cs="Arial" w:eastAsia="Arial" w:hAnsi="Arial"/>
          <w:sz w:val="12"/>
          <w:szCs w:val="12"/>
          <w:color w:val="auto"/>
        </w:rPr>
      </w:pPr>
      <w:r>
        <w:rPr>
          <w:rFonts w:ascii="Arial" w:cs="Arial" w:eastAsia="Arial" w:hAnsi="Arial"/>
          <w:sz w:val="12"/>
          <w:szCs w:val="12"/>
          <w:color w:val="auto"/>
        </w:rPr>
        <w:t>Represents the aggregate average percentage of total annual compensation for fiscal year 2024 for all of our NEOs, including Ms. Krum’s (i) compensation prior to her promotion to the Company’s Executive Vice President, General Counsel and Secretary effective as of December 1, 2024 and (ii) one-time restricted stock award granted in connection with such promotion.</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2"/>
          <w:szCs w:val="12"/>
          <w:color w:val="351B3D"/>
        </w:rPr>
        <w:t>34</w:t>
      </w:r>
    </w:p>
    <w:p>
      <w:pPr>
        <w:sectPr>
          <w:pgSz w:w="11900" w:h="16838" w:orient="portrait"/>
          <w:cols w:equalWidth="0" w:num="1">
            <w:col w:w="11080"/>
          </w:cols>
          <w:pgMar w:left="320" w:top="478"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HOW OUR EXECUTIVE COMPENSATION PHILOSOPHY DRIVES CEO PAY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163830</wp:posOffset>
            </wp:positionV>
            <wp:extent cx="6743065" cy="26073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43065" cy="2607310"/>
                    </a:xfrm>
                    <a:prstGeom prst="rect">
                      <a:avLst/>
                    </a:prstGeom>
                    <a:noFill/>
                  </pic:spPr>
                </pic:pic>
              </a:graphicData>
            </a:graphic>
          </wp:anchor>
        </w:drawing>
      </w:r>
    </w:p>
    <w:p>
      <w:pPr>
        <w:spacing w:after="0" w:line="238"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300" w:type="dxa"/>
            <w:vAlign w:val="bottom"/>
            <w:shd w:val="clear" w:color="auto" w:fill="351B3D"/>
          </w:tcPr>
          <w:p>
            <w:pPr>
              <w:spacing w:after="0"/>
              <w:rPr>
                <w:sz w:val="19"/>
                <w:szCs w:val="19"/>
                <w:color w:val="auto"/>
              </w:rPr>
            </w:pPr>
          </w:p>
        </w:tc>
        <w:tc>
          <w:tcPr>
            <w:tcW w:w="3300" w:type="dxa"/>
            <w:vAlign w:val="bottom"/>
            <w:shd w:val="clear" w:color="auto" w:fill="351B3D"/>
          </w:tcPr>
          <w:p>
            <w:pPr>
              <w:spacing w:after="0"/>
              <w:rPr>
                <w:sz w:val="19"/>
                <w:szCs w:val="19"/>
                <w:color w:val="auto"/>
              </w:rPr>
            </w:pPr>
          </w:p>
        </w:tc>
        <w:tc>
          <w:tcPr>
            <w:tcW w:w="152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w w:val="96"/>
              </w:rPr>
              <w:t>PAY FOR</w:t>
            </w:r>
          </w:p>
        </w:tc>
        <w:tc>
          <w:tcPr>
            <w:tcW w:w="1500" w:type="dxa"/>
            <w:vAlign w:val="bottom"/>
            <w:shd w:val="clear" w:color="auto" w:fill="351B3D"/>
          </w:tcPr>
          <w:p>
            <w:pPr>
              <w:spacing w:after="0"/>
              <w:rPr>
                <w:sz w:val="19"/>
                <w:szCs w:val="19"/>
                <w:color w:val="auto"/>
              </w:rPr>
            </w:pPr>
          </w:p>
        </w:tc>
        <w:tc>
          <w:tcPr>
            <w:tcW w:w="1540" w:type="dxa"/>
            <w:vAlign w:val="bottom"/>
            <w:shd w:val="clear" w:color="auto" w:fill="351B3D"/>
          </w:tcPr>
          <w:p>
            <w:pPr>
              <w:jc w:val="center"/>
              <w:spacing w:after="0"/>
              <w:rPr>
                <w:sz w:val="20"/>
                <w:szCs w:val="20"/>
                <w:color w:val="auto"/>
              </w:rPr>
            </w:pPr>
            <w:r>
              <w:rPr>
                <w:rFonts w:ascii="Arial" w:cs="Arial" w:eastAsia="Arial" w:hAnsi="Arial"/>
                <w:sz w:val="16"/>
                <w:szCs w:val="16"/>
                <w:color w:val="FFFFFF"/>
                <w:w w:val="99"/>
              </w:rPr>
              <w:t>FOCUS ON</w:t>
            </w:r>
          </w:p>
        </w:tc>
        <w:tc>
          <w:tcPr>
            <w:tcW w:w="1320" w:type="dxa"/>
            <w:vAlign w:val="bottom"/>
            <w:shd w:val="clear" w:color="auto" w:fill="351B3D"/>
          </w:tcPr>
          <w:p>
            <w:pPr>
              <w:spacing w:after="0"/>
              <w:rPr>
                <w:sz w:val="19"/>
                <w:szCs w:val="19"/>
                <w:color w:val="auto"/>
              </w:rPr>
            </w:pPr>
          </w:p>
        </w:tc>
        <w:tc>
          <w:tcPr>
            <w:tcW w:w="144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w w:val="97"/>
              </w:rPr>
              <w:t> ATTRACT AND</w:t>
            </w:r>
          </w:p>
        </w:tc>
        <w:tc>
          <w:tcPr>
            <w:tcW w:w="0" w:type="dxa"/>
            <w:vAlign w:val="bottom"/>
          </w:tcPr>
          <w:p>
            <w:pPr>
              <w:spacing w:after="0"/>
              <w:rPr>
                <w:sz w:val="1"/>
                <w:szCs w:val="1"/>
                <w:color w:val="auto"/>
              </w:rPr>
            </w:pPr>
          </w:p>
        </w:tc>
      </w:tr>
      <w:tr>
        <w:trPr>
          <w:trHeight w:val="94"/>
        </w:trPr>
        <w:tc>
          <w:tcPr>
            <w:tcW w:w="300" w:type="dxa"/>
            <w:vAlign w:val="bottom"/>
            <w:shd w:val="clear" w:color="auto" w:fill="351B3D"/>
          </w:tcPr>
          <w:p>
            <w:pPr>
              <w:spacing w:after="0"/>
              <w:rPr>
                <w:sz w:val="8"/>
                <w:szCs w:val="8"/>
                <w:color w:val="auto"/>
              </w:rPr>
            </w:pPr>
          </w:p>
        </w:tc>
        <w:tc>
          <w:tcPr>
            <w:tcW w:w="3300" w:type="dxa"/>
            <w:vAlign w:val="bottom"/>
            <w:shd w:val="clear" w:color="auto" w:fill="351B3D"/>
          </w:tcPr>
          <w:p>
            <w:pPr>
              <w:spacing w:after="0"/>
              <w:rPr>
                <w:sz w:val="8"/>
                <w:szCs w:val="8"/>
                <w:color w:val="auto"/>
              </w:rPr>
            </w:pPr>
          </w:p>
        </w:tc>
        <w:tc>
          <w:tcPr>
            <w:tcW w:w="1520" w:type="dxa"/>
            <w:vAlign w:val="bottom"/>
            <w:vMerge w:val="continue"/>
            <w:shd w:val="clear" w:color="auto" w:fill="351B3D"/>
          </w:tcPr>
          <w:p>
            <w:pPr>
              <w:spacing w:after="0"/>
              <w:rPr>
                <w:sz w:val="8"/>
                <w:szCs w:val="8"/>
                <w:color w:val="auto"/>
              </w:rPr>
            </w:pPr>
          </w:p>
        </w:tc>
        <w:tc>
          <w:tcPr>
            <w:tcW w:w="150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w w:val="99"/>
              </w:rPr>
              <w:t> SHAREHOLDER</w:t>
            </w:r>
          </w:p>
        </w:tc>
        <w:tc>
          <w:tcPr>
            <w:tcW w:w="154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w w:val="99"/>
              </w:rPr>
              <w:t> COMPENSATION</w:t>
            </w:r>
          </w:p>
        </w:tc>
        <w:tc>
          <w:tcPr>
            <w:tcW w:w="132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w w:val="98"/>
              </w:rPr>
              <w:t>SIMPLICITY</w:t>
            </w:r>
          </w:p>
        </w:tc>
        <w:tc>
          <w:tcPr>
            <w:tcW w:w="1440" w:type="dxa"/>
            <w:vAlign w:val="bottom"/>
            <w:vMerge w:val="continue"/>
            <w:shd w:val="clear" w:color="auto" w:fill="351B3D"/>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00" w:type="dxa"/>
            <w:vAlign w:val="bottom"/>
            <w:shd w:val="clear" w:color="auto" w:fill="351B3D"/>
          </w:tcPr>
          <w:p>
            <w:pPr>
              <w:spacing w:after="0"/>
              <w:rPr>
                <w:sz w:val="8"/>
                <w:szCs w:val="8"/>
                <w:color w:val="auto"/>
              </w:rPr>
            </w:pPr>
          </w:p>
        </w:tc>
        <w:tc>
          <w:tcPr>
            <w:tcW w:w="3300" w:type="dxa"/>
            <w:vAlign w:val="bottom"/>
            <w:shd w:val="clear" w:color="auto" w:fill="351B3D"/>
          </w:tcPr>
          <w:p>
            <w:pPr>
              <w:spacing w:after="0"/>
              <w:rPr>
                <w:sz w:val="8"/>
                <w:szCs w:val="8"/>
                <w:color w:val="auto"/>
              </w:rPr>
            </w:pPr>
          </w:p>
        </w:tc>
        <w:tc>
          <w:tcPr>
            <w:tcW w:w="152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w w:val="99"/>
              </w:rPr>
              <w:t>SUSTAINABLE</w:t>
            </w:r>
          </w:p>
        </w:tc>
        <w:tc>
          <w:tcPr>
            <w:tcW w:w="1500" w:type="dxa"/>
            <w:vAlign w:val="bottom"/>
            <w:vMerge w:val="continue"/>
            <w:shd w:val="clear" w:color="auto" w:fill="351B3D"/>
          </w:tcPr>
          <w:p>
            <w:pPr>
              <w:spacing w:after="0"/>
              <w:rPr>
                <w:sz w:val="8"/>
                <w:szCs w:val="8"/>
                <w:color w:val="auto"/>
              </w:rPr>
            </w:pPr>
          </w:p>
        </w:tc>
        <w:tc>
          <w:tcPr>
            <w:tcW w:w="1540" w:type="dxa"/>
            <w:vAlign w:val="bottom"/>
            <w:vMerge w:val="continue"/>
            <w:shd w:val="clear" w:color="auto" w:fill="351B3D"/>
          </w:tcPr>
          <w:p>
            <w:pPr>
              <w:spacing w:after="0"/>
              <w:rPr>
                <w:sz w:val="8"/>
                <w:szCs w:val="8"/>
                <w:color w:val="auto"/>
              </w:rPr>
            </w:pPr>
          </w:p>
        </w:tc>
        <w:tc>
          <w:tcPr>
            <w:tcW w:w="1320" w:type="dxa"/>
            <w:vAlign w:val="bottom"/>
            <w:vMerge w:val="continue"/>
            <w:shd w:val="clear" w:color="auto" w:fill="351B3D"/>
          </w:tcPr>
          <w:p>
            <w:pPr>
              <w:spacing w:after="0"/>
              <w:rPr>
                <w:sz w:val="8"/>
                <w:szCs w:val="8"/>
                <w:color w:val="auto"/>
              </w:rPr>
            </w:pPr>
          </w:p>
        </w:tc>
        <w:tc>
          <w:tcPr>
            <w:tcW w:w="144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w w:val="98"/>
              </w:rPr>
              <w:t> RETAIN TOP</w:t>
            </w:r>
          </w:p>
        </w:tc>
        <w:tc>
          <w:tcPr>
            <w:tcW w:w="0" w:type="dxa"/>
            <w:vAlign w:val="bottom"/>
          </w:tcPr>
          <w:p>
            <w:pPr>
              <w:spacing w:after="0"/>
              <w:rPr>
                <w:sz w:val="1"/>
                <w:szCs w:val="1"/>
                <w:color w:val="auto"/>
              </w:rPr>
            </w:pPr>
          </w:p>
        </w:tc>
      </w:tr>
      <w:tr>
        <w:trPr>
          <w:trHeight w:val="94"/>
        </w:trPr>
        <w:tc>
          <w:tcPr>
            <w:tcW w:w="300" w:type="dxa"/>
            <w:vAlign w:val="bottom"/>
            <w:shd w:val="clear" w:color="auto" w:fill="351B3D"/>
          </w:tcPr>
          <w:p>
            <w:pPr>
              <w:spacing w:after="0"/>
              <w:rPr>
                <w:sz w:val="8"/>
                <w:szCs w:val="8"/>
                <w:color w:val="auto"/>
              </w:rPr>
            </w:pPr>
          </w:p>
        </w:tc>
        <w:tc>
          <w:tcPr>
            <w:tcW w:w="3300" w:type="dxa"/>
            <w:vAlign w:val="bottom"/>
            <w:shd w:val="clear" w:color="auto" w:fill="351B3D"/>
          </w:tcPr>
          <w:p>
            <w:pPr>
              <w:spacing w:after="0"/>
              <w:rPr>
                <w:sz w:val="8"/>
                <w:szCs w:val="8"/>
                <w:color w:val="auto"/>
              </w:rPr>
            </w:pPr>
          </w:p>
        </w:tc>
        <w:tc>
          <w:tcPr>
            <w:tcW w:w="1520" w:type="dxa"/>
            <w:vAlign w:val="bottom"/>
            <w:vMerge w:val="continue"/>
            <w:shd w:val="clear" w:color="auto" w:fill="351B3D"/>
          </w:tcPr>
          <w:p>
            <w:pPr>
              <w:spacing w:after="0"/>
              <w:rPr>
                <w:sz w:val="8"/>
                <w:szCs w:val="8"/>
                <w:color w:val="auto"/>
              </w:rPr>
            </w:pPr>
          </w:p>
        </w:tc>
        <w:tc>
          <w:tcPr>
            <w:tcW w:w="150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w w:val="99"/>
              </w:rPr>
              <w:t> ALIGNMENT</w:t>
            </w:r>
          </w:p>
        </w:tc>
        <w:tc>
          <w:tcPr>
            <w:tcW w:w="154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w w:val="98"/>
              </w:rPr>
              <w:t> TOTALS AND</w:t>
            </w:r>
          </w:p>
        </w:tc>
        <w:tc>
          <w:tcPr>
            <w:tcW w:w="132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w w:val="99"/>
              </w:rPr>
              <w:t> AND CLARITY</w:t>
            </w:r>
          </w:p>
        </w:tc>
        <w:tc>
          <w:tcPr>
            <w:tcW w:w="1440" w:type="dxa"/>
            <w:vAlign w:val="bottom"/>
            <w:vMerge w:val="continue"/>
            <w:shd w:val="clear" w:color="auto" w:fill="351B3D"/>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00" w:type="dxa"/>
            <w:vAlign w:val="bottom"/>
            <w:shd w:val="clear" w:color="auto" w:fill="351B3D"/>
          </w:tcPr>
          <w:p>
            <w:pPr>
              <w:spacing w:after="0"/>
              <w:rPr>
                <w:sz w:val="8"/>
                <w:szCs w:val="8"/>
                <w:color w:val="auto"/>
              </w:rPr>
            </w:pPr>
          </w:p>
        </w:tc>
        <w:tc>
          <w:tcPr>
            <w:tcW w:w="3300" w:type="dxa"/>
            <w:vAlign w:val="bottom"/>
            <w:shd w:val="clear" w:color="auto" w:fill="351B3D"/>
          </w:tcPr>
          <w:p>
            <w:pPr>
              <w:spacing w:after="0"/>
              <w:rPr>
                <w:sz w:val="8"/>
                <w:szCs w:val="8"/>
                <w:color w:val="auto"/>
              </w:rPr>
            </w:pPr>
          </w:p>
        </w:tc>
        <w:tc>
          <w:tcPr>
            <w:tcW w:w="152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rPr>
              <w:t> PERFORMANCE</w:t>
            </w:r>
          </w:p>
        </w:tc>
        <w:tc>
          <w:tcPr>
            <w:tcW w:w="1500" w:type="dxa"/>
            <w:vAlign w:val="bottom"/>
            <w:vMerge w:val="continue"/>
            <w:shd w:val="clear" w:color="auto" w:fill="351B3D"/>
          </w:tcPr>
          <w:p>
            <w:pPr>
              <w:spacing w:after="0"/>
              <w:rPr>
                <w:sz w:val="8"/>
                <w:szCs w:val="8"/>
                <w:color w:val="auto"/>
              </w:rPr>
            </w:pPr>
          </w:p>
        </w:tc>
        <w:tc>
          <w:tcPr>
            <w:tcW w:w="1540" w:type="dxa"/>
            <w:vAlign w:val="bottom"/>
            <w:vMerge w:val="continue"/>
            <w:shd w:val="clear" w:color="auto" w:fill="351B3D"/>
          </w:tcPr>
          <w:p>
            <w:pPr>
              <w:spacing w:after="0"/>
              <w:rPr>
                <w:sz w:val="8"/>
                <w:szCs w:val="8"/>
                <w:color w:val="auto"/>
              </w:rPr>
            </w:pPr>
          </w:p>
        </w:tc>
        <w:tc>
          <w:tcPr>
            <w:tcW w:w="1320" w:type="dxa"/>
            <w:vAlign w:val="bottom"/>
            <w:vMerge w:val="continue"/>
            <w:shd w:val="clear" w:color="auto" w:fill="351B3D"/>
          </w:tcPr>
          <w:p>
            <w:pPr>
              <w:spacing w:after="0"/>
              <w:rPr>
                <w:sz w:val="8"/>
                <w:szCs w:val="8"/>
                <w:color w:val="auto"/>
              </w:rPr>
            </w:pPr>
          </w:p>
        </w:tc>
        <w:tc>
          <w:tcPr>
            <w:tcW w:w="144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w w:val="97"/>
              </w:rPr>
              <w:t>TALENT</w:t>
            </w:r>
          </w:p>
        </w:tc>
        <w:tc>
          <w:tcPr>
            <w:tcW w:w="0" w:type="dxa"/>
            <w:vAlign w:val="bottom"/>
          </w:tcPr>
          <w:p>
            <w:pPr>
              <w:spacing w:after="0"/>
              <w:rPr>
                <w:sz w:val="1"/>
                <w:szCs w:val="1"/>
                <w:color w:val="auto"/>
              </w:rPr>
            </w:pPr>
          </w:p>
        </w:tc>
      </w:tr>
      <w:tr>
        <w:trPr>
          <w:trHeight w:val="118"/>
        </w:trPr>
        <w:tc>
          <w:tcPr>
            <w:tcW w:w="300" w:type="dxa"/>
            <w:vAlign w:val="bottom"/>
            <w:shd w:val="clear" w:color="auto" w:fill="351B3D"/>
          </w:tcPr>
          <w:p>
            <w:pPr>
              <w:spacing w:after="0"/>
              <w:rPr>
                <w:sz w:val="10"/>
                <w:szCs w:val="10"/>
                <w:color w:val="auto"/>
              </w:rPr>
            </w:pPr>
          </w:p>
        </w:tc>
        <w:tc>
          <w:tcPr>
            <w:tcW w:w="3300" w:type="dxa"/>
            <w:vAlign w:val="bottom"/>
            <w:shd w:val="clear" w:color="auto" w:fill="351B3D"/>
          </w:tcPr>
          <w:p>
            <w:pPr>
              <w:spacing w:after="0"/>
              <w:rPr>
                <w:sz w:val="10"/>
                <w:szCs w:val="10"/>
                <w:color w:val="auto"/>
              </w:rPr>
            </w:pPr>
          </w:p>
        </w:tc>
        <w:tc>
          <w:tcPr>
            <w:tcW w:w="1520" w:type="dxa"/>
            <w:vAlign w:val="bottom"/>
            <w:vMerge w:val="continue"/>
            <w:shd w:val="clear" w:color="auto" w:fill="351B3D"/>
          </w:tcPr>
          <w:p>
            <w:pPr>
              <w:spacing w:after="0"/>
              <w:rPr>
                <w:sz w:val="10"/>
                <w:szCs w:val="10"/>
                <w:color w:val="auto"/>
              </w:rPr>
            </w:pPr>
          </w:p>
        </w:tc>
        <w:tc>
          <w:tcPr>
            <w:tcW w:w="1500" w:type="dxa"/>
            <w:vAlign w:val="bottom"/>
            <w:shd w:val="clear" w:color="auto" w:fill="351B3D"/>
          </w:tcPr>
          <w:p>
            <w:pPr>
              <w:spacing w:after="0"/>
              <w:rPr>
                <w:sz w:val="10"/>
                <w:szCs w:val="10"/>
                <w:color w:val="auto"/>
              </w:rPr>
            </w:pPr>
          </w:p>
        </w:tc>
        <w:tc>
          <w:tcPr>
            <w:tcW w:w="154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w w:val="96"/>
              </w:rPr>
              <w:t>PARITY</w:t>
            </w:r>
          </w:p>
        </w:tc>
        <w:tc>
          <w:tcPr>
            <w:tcW w:w="1320" w:type="dxa"/>
            <w:vAlign w:val="bottom"/>
            <w:shd w:val="clear" w:color="auto" w:fill="351B3D"/>
          </w:tcPr>
          <w:p>
            <w:pPr>
              <w:spacing w:after="0"/>
              <w:rPr>
                <w:sz w:val="10"/>
                <w:szCs w:val="10"/>
                <w:color w:val="auto"/>
              </w:rPr>
            </w:pPr>
          </w:p>
        </w:tc>
        <w:tc>
          <w:tcPr>
            <w:tcW w:w="1440" w:type="dxa"/>
            <w:vAlign w:val="bottom"/>
            <w:vMerge w:val="continue"/>
            <w:shd w:val="clear" w:color="auto" w:fill="351B3D"/>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00" w:type="dxa"/>
            <w:vAlign w:val="bottom"/>
            <w:tcBorders>
              <w:bottom w:val="single" w:sz="8" w:color="351B3D"/>
            </w:tcBorders>
            <w:shd w:val="clear" w:color="auto" w:fill="351B3D"/>
          </w:tcPr>
          <w:p>
            <w:pPr>
              <w:spacing w:after="0"/>
              <w:rPr>
                <w:sz w:val="10"/>
                <w:szCs w:val="10"/>
                <w:color w:val="auto"/>
              </w:rPr>
            </w:pPr>
          </w:p>
        </w:tc>
        <w:tc>
          <w:tcPr>
            <w:tcW w:w="3300" w:type="dxa"/>
            <w:vAlign w:val="bottom"/>
            <w:tcBorders>
              <w:bottom w:val="single" w:sz="8" w:color="351B3D"/>
            </w:tcBorders>
            <w:shd w:val="clear" w:color="auto" w:fill="351B3D"/>
          </w:tcPr>
          <w:p>
            <w:pPr>
              <w:spacing w:after="0"/>
              <w:rPr>
                <w:sz w:val="10"/>
                <w:szCs w:val="10"/>
                <w:color w:val="auto"/>
              </w:rPr>
            </w:pPr>
          </w:p>
        </w:tc>
        <w:tc>
          <w:tcPr>
            <w:tcW w:w="1520" w:type="dxa"/>
            <w:vAlign w:val="bottom"/>
            <w:tcBorders>
              <w:bottom w:val="single" w:sz="8" w:color="351B3D"/>
            </w:tcBorders>
            <w:shd w:val="clear" w:color="auto" w:fill="351B3D"/>
          </w:tcPr>
          <w:p>
            <w:pPr>
              <w:spacing w:after="0"/>
              <w:rPr>
                <w:sz w:val="10"/>
                <w:szCs w:val="10"/>
                <w:color w:val="auto"/>
              </w:rPr>
            </w:pPr>
          </w:p>
        </w:tc>
        <w:tc>
          <w:tcPr>
            <w:tcW w:w="1500" w:type="dxa"/>
            <w:vAlign w:val="bottom"/>
            <w:tcBorders>
              <w:bottom w:val="single" w:sz="8" w:color="351B3D"/>
            </w:tcBorders>
            <w:shd w:val="clear" w:color="auto" w:fill="351B3D"/>
          </w:tcPr>
          <w:p>
            <w:pPr>
              <w:spacing w:after="0"/>
              <w:rPr>
                <w:sz w:val="10"/>
                <w:szCs w:val="10"/>
                <w:color w:val="auto"/>
              </w:rPr>
            </w:pPr>
          </w:p>
        </w:tc>
        <w:tc>
          <w:tcPr>
            <w:tcW w:w="1540" w:type="dxa"/>
            <w:vAlign w:val="bottom"/>
            <w:tcBorders>
              <w:bottom w:val="single" w:sz="8" w:color="351B3D"/>
            </w:tcBorders>
            <w:vMerge w:val="continue"/>
            <w:shd w:val="clear" w:color="auto" w:fill="351B3D"/>
          </w:tcPr>
          <w:p>
            <w:pPr>
              <w:spacing w:after="0"/>
              <w:rPr>
                <w:sz w:val="10"/>
                <w:szCs w:val="10"/>
                <w:color w:val="auto"/>
              </w:rPr>
            </w:pPr>
          </w:p>
        </w:tc>
        <w:tc>
          <w:tcPr>
            <w:tcW w:w="1320" w:type="dxa"/>
            <w:vAlign w:val="bottom"/>
            <w:tcBorders>
              <w:bottom w:val="single" w:sz="8" w:color="351B3D"/>
            </w:tcBorders>
            <w:shd w:val="clear" w:color="auto" w:fill="351B3D"/>
          </w:tcPr>
          <w:p>
            <w:pPr>
              <w:spacing w:after="0"/>
              <w:rPr>
                <w:sz w:val="10"/>
                <w:szCs w:val="10"/>
                <w:color w:val="auto"/>
              </w:rPr>
            </w:pPr>
          </w:p>
        </w:tc>
        <w:tc>
          <w:tcPr>
            <w:tcW w:w="1440" w:type="dxa"/>
            <w:vAlign w:val="bottom"/>
            <w:tcBorders>
              <w:bottom w:val="single" w:sz="8" w:color="351B3D"/>
            </w:tcBorders>
            <w:shd w:val="clear" w:color="auto" w:fill="351B3D"/>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300" w:type="dxa"/>
            <w:vAlign w:val="bottom"/>
          </w:tcPr>
          <w:p>
            <w:pPr>
              <w:spacing w:after="0"/>
              <w:rPr>
                <w:sz w:val="5"/>
                <w:szCs w:val="5"/>
                <w:color w:val="auto"/>
              </w:rPr>
            </w:pPr>
          </w:p>
        </w:tc>
        <w:tc>
          <w:tcPr>
            <w:tcW w:w="3300" w:type="dxa"/>
            <w:vAlign w:val="bottom"/>
            <w:shd w:val="clear" w:color="auto" w:fill="D6D1D8"/>
          </w:tcPr>
          <w:p>
            <w:pPr>
              <w:spacing w:after="0"/>
              <w:rPr>
                <w:sz w:val="5"/>
                <w:szCs w:val="5"/>
                <w:color w:val="auto"/>
              </w:rPr>
            </w:pPr>
          </w:p>
        </w:tc>
        <w:tc>
          <w:tcPr>
            <w:tcW w:w="1520" w:type="dxa"/>
            <w:vAlign w:val="bottom"/>
            <w:shd w:val="clear" w:color="auto" w:fill="D6D1D8"/>
          </w:tcPr>
          <w:p>
            <w:pPr>
              <w:spacing w:after="0"/>
              <w:rPr>
                <w:sz w:val="5"/>
                <w:szCs w:val="5"/>
                <w:color w:val="auto"/>
              </w:rPr>
            </w:pPr>
          </w:p>
        </w:tc>
        <w:tc>
          <w:tcPr>
            <w:tcW w:w="1500" w:type="dxa"/>
            <w:vAlign w:val="bottom"/>
            <w:shd w:val="clear" w:color="auto" w:fill="D6D1D8"/>
          </w:tcPr>
          <w:p>
            <w:pPr>
              <w:spacing w:after="0"/>
              <w:rPr>
                <w:sz w:val="5"/>
                <w:szCs w:val="5"/>
                <w:color w:val="auto"/>
              </w:rPr>
            </w:pPr>
          </w:p>
        </w:tc>
        <w:tc>
          <w:tcPr>
            <w:tcW w:w="1540" w:type="dxa"/>
            <w:vAlign w:val="bottom"/>
            <w:shd w:val="clear" w:color="auto" w:fill="D6D1D8"/>
          </w:tcPr>
          <w:p>
            <w:pPr>
              <w:spacing w:after="0"/>
              <w:rPr>
                <w:sz w:val="5"/>
                <w:szCs w:val="5"/>
                <w:color w:val="auto"/>
              </w:rPr>
            </w:pPr>
          </w:p>
        </w:tc>
        <w:tc>
          <w:tcPr>
            <w:tcW w:w="1320" w:type="dxa"/>
            <w:vAlign w:val="bottom"/>
            <w:shd w:val="clear" w:color="auto" w:fill="D6D1D8"/>
          </w:tcPr>
          <w:p>
            <w:pPr>
              <w:spacing w:after="0"/>
              <w:rPr>
                <w:sz w:val="5"/>
                <w:szCs w:val="5"/>
                <w:color w:val="auto"/>
              </w:rPr>
            </w:pPr>
          </w:p>
        </w:tc>
        <w:tc>
          <w:tcPr>
            <w:tcW w:w="1440" w:type="dxa"/>
            <w:vAlign w:val="bottom"/>
            <w:shd w:val="clear" w:color="auto" w:fill="D6D1D8"/>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3600" w:type="dxa"/>
            <w:vAlign w:val="bottom"/>
            <w:gridSpan w:val="2"/>
          </w:tcPr>
          <w:p>
            <w:pPr>
              <w:ind w:left="80"/>
              <w:spacing w:after="0" w:line="173"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85% of total direct NEO compensation is</w:t>
            </w:r>
          </w:p>
        </w:tc>
        <w:tc>
          <w:tcPr>
            <w:tcW w:w="152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0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540" w:type="dxa"/>
            <w:vAlign w:val="bottom"/>
          </w:tcPr>
          <w:p>
            <w:pPr>
              <w:spacing w:after="0"/>
              <w:rPr>
                <w:sz w:val="15"/>
                <w:szCs w:val="15"/>
                <w:color w:val="auto"/>
              </w:rPr>
            </w:pPr>
          </w:p>
        </w:tc>
        <w:tc>
          <w:tcPr>
            <w:tcW w:w="132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3300" w:type="dxa"/>
            <w:vAlign w:val="bottom"/>
          </w:tcPr>
          <w:p>
            <w:pPr>
              <w:ind w:left="60"/>
              <w:spacing w:after="0"/>
              <w:rPr>
                <w:sz w:val="20"/>
                <w:szCs w:val="20"/>
                <w:color w:val="auto"/>
              </w:rPr>
            </w:pPr>
            <w:r>
              <w:rPr>
                <w:rFonts w:ascii="Arial" w:cs="Arial" w:eastAsia="Arial" w:hAnsi="Arial"/>
                <w:sz w:val="16"/>
                <w:szCs w:val="16"/>
                <w:color w:val="auto"/>
              </w:rPr>
              <w:t>at-risk (1)</w:t>
            </w:r>
          </w:p>
        </w:tc>
        <w:tc>
          <w:tcPr>
            <w:tcW w:w="1520" w:type="dxa"/>
            <w:vAlign w:val="bottom"/>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3600" w:type="dxa"/>
            <w:vAlign w:val="bottom"/>
            <w:gridSpan w:val="2"/>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Annual incentives are 100% performance</w:t>
            </w:r>
          </w:p>
        </w:tc>
        <w:tc>
          <w:tcPr>
            <w:tcW w:w="152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0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54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2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44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3300" w:type="dxa"/>
            <w:vAlign w:val="bottom"/>
          </w:tcPr>
          <w:p>
            <w:pPr>
              <w:ind w:left="60"/>
              <w:spacing w:after="0"/>
              <w:rPr>
                <w:sz w:val="20"/>
                <w:szCs w:val="20"/>
                <w:color w:val="auto"/>
              </w:rPr>
            </w:pPr>
            <w:r>
              <w:rPr>
                <w:rFonts w:ascii="Arial" w:cs="Arial" w:eastAsia="Arial" w:hAnsi="Arial"/>
                <w:sz w:val="16"/>
                <w:szCs w:val="16"/>
                <w:color w:val="auto"/>
              </w:rPr>
              <w:t>based</w:t>
            </w:r>
          </w:p>
        </w:tc>
        <w:tc>
          <w:tcPr>
            <w:tcW w:w="1520" w:type="dxa"/>
            <w:vAlign w:val="bottom"/>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3600" w:type="dxa"/>
            <w:vAlign w:val="bottom"/>
            <w:gridSpan w:val="2"/>
          </w:tcPr>
          <w:p>
            <w:pPr>
              <w:spacing w:after="0"/>
              <w:rPr>
                <w:sz w:val="4"/>
                <w:szCs w:val="4"/>
                <w:color w:val="auto"/>
              </w:rPr>
            </w:pPr>
          </w:p>
        </w:tc>
        <w:tc>
          <w:tcPr>
            <w:tcW w:w="15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7"/>
        </w:trPr>
        <w:tc>
          <w:tcPr>
            <w:tcW w:w="300" w:type="dxa"/>
            <w:vAlign w:val="bottom"/>
          </w:tcPr>
          <w:p>
            <w:pPr>
              <w:spacing w:after="0"/>
              <w:rPr>
                <w:sz w:val="5"/>
                <w:szCs w:val="5"/>
                <w:color w:val="auto"/>
              </w:rPr>
            </w:pPr>
          </w:p>
        </w:tc>
        <w:tc>
          <w:tcPr>
            <w:tcW w:w="3300" w:type="dxa"/>
            <w:vAlign w:val="bottom"/>
            <w:shd w:val="clear" w:color="auto" w:fill="D6D1D8"/>
          </w:tcPr>
          <w:p>
            <w:pPr>
              <w:spacing w:after="0"/>
              <w:rPr>
                <w:sz w:val="5"/>
                <w:szCs w:val="5"/>
                <w:color w:val="auto"/>
              </w:rPr>
            </w:pPr>
          </w:p>
        </w:tc>
        <w:tc>
          <w:tcPr>
            <w:tcW w:w="1520" w:type="dxa"/>
            <w:vAlign w:val="bottom"/>
            <w:shd w:val="clear" w:color="auto" w:fill="D6D1D8"/>
          </w:tcPr>
          <w:p>
            <w:pPr>
              <w:spacing w:after="0"/>
              <w:rPr>
                <w:sz w:val="5"/>
                <w:szCs w:val="5"/>
                <w:color w:val="auto"/>
              </w:rPr>
            </w:pPr>
          </w:p>
        </w:tc>
        <w:tc>
          <w:tcPr>
            <w:tcW w:w="1500" w:type="dxa"/>
            <w:vAlign w:val="bottom"/>
            <w:shd w:val="clear" w:color="auto" w:fill="D6D1D8"/>
          </w:tcPr>
          <w:p>
            <w:pPr>
              <w:spacing w:after="0"/>
              <w:rPr>
                <w:sz w:val="5"/>
                <w:szCs w:val="5"/>
                <w:color w:val="auto"/>
              </w:rPr>
            </w:pPr>
          </w:p>
        </w:tc>
        <w:tc>
          <w:tcPr>
            <w:tcW w:w="1540" w:type="dxa"/>
            <w:vAlign w:val="bottom"/>
            <w:shd w:val="clear" w:color="auto" w:fill="D6D1D8"/>
          </w:tcPr>
          <w:p>
            <w:pPr>
              <w:spacing w:after="0"/>
              <w:rPr>
                <w:sz w:val="5"/>
                <w:szCs w:val="5"/>
                <w:color w:val="auto"/>
              </w:rPr>
            </w:pPr>
          </w:p>
        </w:tc>
        <w:tc>
          <w:tcPr>
            <w:tcW w:w="1320" w:type="dxa"/>
            <w:vAlign w:val="bottom"/>
            <w:shd w:val="clear" w:color="auto" w:fill="D6D1D8"/>
          </w:tcPr>
          <w:p>
            <w:pPr>
              <w:spacing w:after="0"/>
              <w:rPr>
                <w:sz w:val="5"/>
                <w:szCs w:val="5"/>
                <w:color w:val="auto"/>
              </w:rPr>
            </w:pPr>
          </w:p>
        </w:tc>
        <w:tc>
          <w:tcPr>
            <w:tcW w:w="1440" w:type="dxa"/>
            <w:vAlign w:val="bottom"/>
            <w:shd w:val="clear" w:color="auto" w:fill="D6D1D8"/>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3600" w:type="dxa"/>
            <w:vAlign w:val="bottom"/>
            <w:gridSpan w:val="2"/>
          </w:tcPr>
          <w:p>
            <w:pPr>
              <w:ind w:left="80"/>
              <w:spacing w:after="0" w:line="173"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Performance-based equity comprise 55% of</w:t>
            </w: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00" w:type="dxa"/>
            <w:vAlign w:val="bottom"/>
          </w:tcPr>
          <w:p>
            <w:pPr>
              <w:spacing w:after="0"/>
              <w:rPr>
                <w:sz w:val="16"/>
                <w:szCs w:val="16"/>
                <w:color w:val="auto"/>
              </w:rPr>
            </w:pPr>
          </w:p>
        </w:tc>
        <w:tc>
          <w:tcPr>
            <w:tcW w:w="3300" w:type="dxa"/>
            <w:vAlign w:val="bottom"/>
          </w:tcPr>
          <w:p>
            <w:pPr>
              <w:ind w:left="60"/>
              <w:spacing w:after="0"/>
              <w:rPr>
                <w:sz w:val="20"/>
                <w:szCs w:val="20"/>
                <w:color w:val="auto"/>
              </w:rPr>
            </w:pPr>
            <w:r>
              <w:rPr>
                <w:rFonts w:ascii="Arial" w:cs="Arial" w:eastAsia="Arial" w:hAnsi="Arial"/>
                <w:sz w:val="16"/>
                <w:szCs w:val="16"/>
                <w:color w:val="auto"/>
              </w:rPr>
              <w:t>long-term incentives, including 25% subject</w:t>
            </w:r>
          </w:p>
        </w:tc>
        <w:tc>
          <w:tcPr>
            <w:tcW w:w="15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00" w:type="dxa"/>
            <w:vAlign w:val="bottom"/>
          </w:tcPr>
          <w:p>
            <w:pPr>
              <w:spacing w:after="0"/>
              <w:rPr>
                <w:sz w:val="16"/>
                <w:szCs w:val="16"/>
                <w:color w:val="auto"/>
              </w:rPr>
            </w:pPr>
          </w:p>
        </w:tc>
        <w:tc>
          <w:tcPr>
            <w:tcW w:w="3300" w:type="dxa"/>
            <w:vAlign w:val="bottom"/>
          </w:tcPr>
          <w:p>
            <w:pPr>
              <w:ind w:left="60"/>
              <w:spacing w:after="0"/>
              <w:rPr>
                <w:sz w:val="20"/>
                <w:szCs w:val="20"/>
                <w:color w:val="auto"/>
              </w:rPr>
            </w:pPr>
            <w:r>
              <w:rPr>
                <w:rFonts w:ascii="Arial" w:cs="Arial" w:eastAsia="Arial" w:hAnsi="Arial"/>
                <w:sz w:val="16"/>
                <w:szCs w:val="16"/>
                <w:color w:val="auto"/>
              </w:rPr>
              <w:t>to a three-year absolute TSR hurdle rate for</w:t>
            </w:r>
          </w:p>
        </w:tc>
        <w:tc>
          <w:tcPr>
            <w:tcW w:w="152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0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54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2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44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3300" w:type="dxa"/>
            <w:vAlign w:val="bottom"/>
          </w:tcPr>
          <w:p>
            <w:pPr>
              <w:ind w:left="60"/>
              <w:spacing w:after="0"/>
              <w:rPr>
                <w:sz w:val="20"/>
                <w:szCs w:val="20"/>
                <w:color w:val="auto"/>
              </w:rPr>
            </w:pPr>
            <w:r>
              <w:rPr>
                <w:rFonts w:ascii="Arial" w:cs="Arial" w:eastAsia="Arial" w:hAnsi="Arial"/>
                <w:sz w:val="16"/>
                <w:szCs w:val="16"/>
                <w:color w:val="auto"/>
              </w:rPr>
              <w:t>the CEO and CFO</w:t>
            </w:r>
          </w:p>
        </w:tc>
        <w:tc>
          <w:tcPr>
            <w:tcW w:w="1520" w:type="dxa"/>
            <w:vAlign w:val="bottom"/>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3600" w:type="dxa"/>
            <w:vAlign w:val="bottom"/>
            <w:gridSpan w:val="2"/>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Annual incentives subject to negative Board</w:t>
            </w:r>
          </w:p>
        </w:tc>
        <w:tc>
          <w:tcPr>
            <w:tcW w:w="152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0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540" w:type="dxa"/>
            <w:vAlign w:val="bottom"/>
          </w:tcPr>
          <w:p>
            <w:pPr>
              <w:spacing w:after="0"/>
              <w:rPr>
                <w:sz w:val="24"/>
                <w:szCs w:val="24"/>
                <w:color w:val="auto"/>
              </w:rPr>
            </w:pPr>
          </w:p>
        </w:tc>
        <w:tc>
          <w:tcPr>
            <w:tcW w:w="132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3300" w:type="dxa"/>
            <w:vAlign w:val="bottom"/>
          </w:tcPr>
          <w:p>
            <w:pPr>
              <w:ind w:left="60"/>
              <w:spacing w:after="0"/>
              <w:rPr>
                <w:sz w:val="20"/>
                <w:szCs w:val="20"/>
                <w:color w:val="auto"/>
              </w:rPr>
            </w:pPr>
            <w:r>
              <w:rPr>
                <w:rFonts w:ascii="Arial" w:cs="Arial" w:eastAsia="Arial" w:hAnsi="Arial"/>
                <w:sz w:val="16"/>
                <w:szCs w:val="16"/>
                <w:color w:val="auto"/>
              </w:rPr>
              <w:t>discretion</w:t>
            </w:r>
          </w:p>
        </w:tc>
        <w:tc>
          <w:tcPr>
            <w:tcW w:w="1520" w:type="dxa"/>
            <w:vAlign w:val="bottom"/>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3600" w:type="dxa"/>
            <w:vAlign w:val="bottom"/>
            <w:gridSpan w:val="2"/>
          </w:tcPr>
          <w:p>
            <w:pPr>
              <w:spacing w:after="0"/>
              <w:rPr>
                <w:sz w:val="4"/>
                <w:szCs w:val="4"/>
                <w:color w:val="auto"/>
              </w:rPr>
            </w:pPr>
          </w:p>
        </w:tc>
        <w:tc>
          <w:tcPr>
            <w:tcW w:w="15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7"/>
        </w:trPr>
        <w:tc>
          <w:tcPr>
            <w:tcW w:w="300" w:type="dxa"/>
            <w:vAlign w:val="bottom"/>
          </w:tcPr>
          <w:p>
            <w:pPr>
              <w:spacing w:after="0"/>
              <w:rPr>
                <w:sz w:val="5"/>
                <w:szCs w:val="5"/>
                <w:color w:val="auto"/>
              </w:rPr>
            </w:pPr>
          </w:p>
        </w:tc>
        <w:tc>
          <w:tcPr>
            <w:tcW w:w="3300" w:type="dxa"/>
            <w:vAlign w:val="bottom"/>
            <w:shd w:val="clear" w:color="auto" w:fill="D6D1D8"/>
          </w:tcPr>
          <w:p>
            <w:pPr>
              <w:spacing w:after="0"/>
              <w:rPr>
                <w:sz w:val="5"/>
                <w:szCs w:val="5"/>
                <w:color w:val="auto"/>
              </w:rPr>
            </w:pPr>
          </w:p>
        </w:tc>
        <w:tc>
          <w:tcPr>
            <w:tcW w:w="1520" w:type="dxa"/>
            <w:vAlign w:val="bottom"/>
            <w:shd w:val="clear" w:color="auto" w:fill="D6D1D8"/>
          </w:tcPr>
          <w:p>
            <w:pPr>
              <w:spacing w:after="0"/>
              <w:rPr>
                <w:sz w:val="5"/>
                <w:szCs w:val="5"/>
                <w:color w:val="auto"/>
              </w:rPr>
            </w:pPr>
          </w:p>
        </w:tc>
        <w:tc>
          <w:tcPr>
            <w:tcW w:w="1500" w:type="dxa"/>
            <w:vAlign w:val="bottom"/>
            <w:shd w:val="clear" w:color="auto" w:fill="D6D1D8"/>
          </w:tcPr>
          <w:p>
            <w:pPr>
              <w:spacing w:after="0"/>
              <w:rPr>
                <w:sz w:val="5"/>
                <w:szCs w:val="5"/>
                <w:color w:val="auto"/>
              </w:rPr>
            </w:pPr>
          </w:p>
        </w:tc>
        <w:tc>
          <w:tcPr>
            <w:tcW w:w="1540" w:type="dxa"/>
            <w:vAlign w:val="bottom"/>
            <w:shd w:val="clear" w:color="auto" w:fill="D6D1D8"/>
          </w:tcPr>
          <w:p>
            <w:pPr>
              <w:spacing w:after="0"/>
              <w:rPr>
                <w:sz w:val="5"/>
                <w:szCs w:val="5"/>
                <w:color w:val="auto"/>
              </w:rPr>
            </w:pPr>
          </w:p>
        </w:tc>
        <w:tc>
          <w:tcPr>
            <w:tcW w:w="1320" w:type="dxa"/>
            <w:vAlign w:val="bottom"/>
            <w:shd w:val="clear" w:color="auto" w:fill="D6D1D8"/>
          </w:tcPr>
          <w:p>
            <w:pPr>
              <w:spacing w:after="0"/>
              <w:rPr>
                <w:sz w:val="5"/>
                <w:szCs w:val="5"/>
                <w:color w:val="auto"/>
              </w:rPr>
            </w:pPr>
          </w:p>
        </w:tc>
        <w:tc>
          <w:tcPr>
            <w:tcW w:w="1440" w:type="dxa"/>
            <w:vAlign w:val="bottom"/>
            <w:shd w:val="clear" w:color="auto" w:fill="D6D1D8"/>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3600" w:type="dxa"/>
            <w:vAlign w:val="bottom"/>
            <w:gridSpan w:val="2"/>
          </w:tcPr>
          <w:p>
            <w:pPr>
              <w:ind w:left="80"/>
              <w:spacing w:after="0" w:line="173"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Benchmarking CEO at Median of Peer</w:t>
            </w:r>
          </w:p>
        </w:tc>
        <w:tc>
          <w:tcPr>
            <w:tcW w:w="1520" w:type="dxa"/>
            <w:vAlign w:val="bottom"/>
          </w:tcPr>
          <w:p>
            <w:pPr>
              <w:spacing w:after="0"/>
              <w:rPr>
                <w:sz w:val="15"/>
                <w:szCs w:val="15"/>
                <w:color w:val="auto"/>
              </w:rPr>
            </w:pPr>
          </w:p>
        </w:tc>
        <w:tc>
          <w:tcPr>
            <w:tcW w:w="150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54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20" w:type="dxa"/>
            <w:vAlign w:val="bottom"/>
          </w:tcPr>
          <w:p>
            <w:pPr>
              <w:spacing w:after="0"/>
              <w:rPr>
                <w:sz w:val="15"/>
                <w:szCs w:val="15"/>
                <w:color w:val="auto"/>
              </w:rPr>
            </w:pPr>
          </w:p>
        </w:tc>
        <w:tc>
          <w:tcPr>
            <w:tcW w:w="144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3300" w:type="dxa"/>
            <w:vAlign w:val="bottom"/>
          </w:tcPr>
          <w:p>
            <w:pPr>
              <w:ind w:left="60"/>
              <w:spacing w:after="0"/>
              <w:rPr>
                <w:sz w:val="20"/>
                <w:szCs w:val="20"/>
                <w:color w:val="auto"/>
              </w:rPr>
            </w:pPr>
            <w:r>
              <w:rPr>
                <w:rFonts w:ascii="Arial" w:cs="Arial" w:eastAsia="Arial" w:hAnsi="Arial"/>
                <w:sz w:val="16"/>
                <w:szCs w:val="16"/>
                <w:color w:val="auto"/>
              </w:rPr>
              <w:t>Group</w:t>
            </w:r>
          </w:p>
        </w:tc>
        <w:tc>
          <w:tcPr>
            <w:tcW w:w="152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132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4"/>
        </w:trPr>
        <w:tc>
          <w:tcPr>
            <w:tcW w:w="3600" w:type="dxa"/>
            <w:vAlign w:val="bottom"/>
            <w:gridSpan w:val="2"/>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Stock Ownership Guidelines for all NEOs</w:t>
            </w:r>
          </w:p>
        </w:tc>
        <w:tc>
          <w:tcPr>
            <w:tcW w:w="1520" w:type="dxa"/>
            <w:vAlign w:val="bottom"/>
          </w:tcPr>
          <w:p>
            <w:pPr>
              <w:spacing w:after="0"/>
              <w:rPr>
                <w:sz w:val="24"/>
                <w:szCs w:val="24"/>
                <w:color w:val="auto"/>
              </w:rPr>
            </w:pPr>
          </w:p>
        </w:tc>
        <w:tc>
          <w:tcPr>
            <w:tcW w:w="15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540" w:type="dxa"/>
            <w:vAlign w:val="bottom"/>
          </w:tcPr>
          <w:p>
            <w:pPr>
              <w:spacing w:after="0"/>
              <w:rPr>
                <w:sz w:val="24"/>
                <w:szCs w:val="24"/>
                <w:color w:val="auto"/>
              </w:rPr>
            </w:pPr>
          </w:p>
        </w:tc>
        <w:tc>
          <w:tcPr>
            <w:tcW w:w="13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4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-2033270</wp:posOffset>
            </wp:positionV>
            <wp:extent cx="186690" cy="3225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6690" cy="32258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-1388110</wp:posOffset>
            </wp:positionV>
            <wp:extent cx="186690" cy="5607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86690" cy="56070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-504825</wp:posOffset>
            </wp:positionV>
            <wp:extent cx="186690" cy="3225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6690" cy="322580"/>
                    </a:xfrm>
                    <a:prstGeom prst="rect">
                      <a:avLst/>
                    </a:prstGeom>
                    <a:noFill/>
                  </pic:spPr>
                </pic:pic>
              </a:graphicData>
            </a:graphic>
          </wp:anchor>
        </w:drawing>
      </w:r>
    </w:p>
    <w:p>
      <w:pPr>
        <w:spacing w:after="0" w:line="120" w:lineRule="exact"/>
        <w:rPr>
          <w:sz w:val="20"/>
          <w:szCs w:val="20"/>
          <w:color w:val="auto"/>
        </w:rPr>
      </w:pPr>
    </w:p>
    <w:p>
      <w:pPr>
        <w:ind w:left="160"/>
        <w:spacing w:after="0"/>
        <w:rPr>
          <w:sz w:val="20"/>
          <w:szCs w:val="20"/>
          <w:color w:val="auto"/>
        </w:rPr>
      </w:pPr>
      <w:r>
        <w:rPr>
          <w:rFonts w:ascii="Arial" w:cs="Arial" w:eastAsia="Arial" w:hAnsi="Arial"/>
          <w:sz w:val="10"/>
          <w:szCs w:val="10"/>
          <w:color w:val="auto"/>
        </w:rPr>
        <w:t>(1) Based on the total direct compensation for our NEOs during 2024, including Ms. Krum’s compensation prior to her promotion to the Company’s Executive Vice President, General Counsel and Secretary on December 1, 2024.</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080"/>
          </w:cols>
          <w:pgMar w:left="320" w:top="478"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PAY AND PERFORMANCE</w:t>
      </w:r>
    </w:p>
    <w:p>
      <w:pPr>
        <w:spacing w:after="0" w:line="19" w:lineRule="exact"/>
        <w:rPr>
          <w:sz w:val="20"/>
          <w:szCs w:val="20"/>
          <w:color w:val="auto"/>
        </w:rPr>
      </w:pPr>
    </w:p>
    <w:p>
      <w:pPr>
        <w:ind w:left="160" w:right="120"/>
        <w:spacing w:after="0" w:line="227" w:lineRule="auto"/>
        <w:rPr>
          <w:sz w:val="20"/>
          <w:szCs w:val="20"/>
          <w:color w:val="auto"/>
        </w:rPr>
      </w:pPr>
      <w:r>
        <w:rPr>
          <w:rFonts w:ascii="Arial" w:cs="Arial" w:eastAsia="Arial" w:hAnsi="Arial"/>
          <w:sz w:val="16"/>
          <w:szCs w:val="16"/>
          <w:color w:val="auto"/>
        </w:rPr>
        <w:t>Our year-to-year performance can be significantly impacted by market factors, geopolitical events and investor sentiment. Since our initial public offering in October 2002, the Company has averaged a 12% annual TSR (including reinvestment of dividends), which is above the TSR of both the S&amp;P 500 (approximately 11% average annual TSR) and in line with the S&amp;P Consumer Discretionary Index (approximately 12% average annual TSR) over the same time period. Despite our exposure to strong external factors, we have also delivered an average annual TSR over three-and-a-half-times our closest industry peers.</w:t>
      </w:r>
      <w:r>
        <w:rPr>
          <w:rFonts w:ascii="Arial" w:cs="Arial" w:eastAsia="Arial" w:hAnsi="Arial"/>
          <w:sz w:val="24"/>
          <w:szCs w:val="24"/>
          <w:color w:val="auto"/>
          <w:vertAlign w:val="superscript"/>
        </w:rPr>
        <w:t>(1)</w:t>
      </w:r>
      <w:r>
        <w:rPr>
          <w:rFonts w:ascii="Arial" w:cs="Arial" w:eastAsia="Arial" w:hAnsi="Arial"/>
          <w:sz w:val="16"/>
          <w:szCs w:val="16"/>
          <w:color w:val="auto"/>
        </w:rPr>
        <w:t xml:space="preserve"> We believe these results are driven by our focused, long-term investment in our properties and by our relentless dedication to delivering the industry’s best customer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146685</wp:posOffset>
            </wp:positionV>
            <wp:extent cx="6964045" cy="27597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64045" cy="2759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0" w:right="20" w:firstLine="7"/>
        <w:spacing w:after="0" w:line="255" w:lineRule="auto"/>
        <w:tabs>
          <w:tab w:leader="none" w:pos="321" w:val="left"/>
        </w:tabs>
        <w:numPr>
          <w:ilvl w:val="0"/>
          <w:numId w:val="24"/>
        </w:numPr>
        <w:rPr>
          <w:rFonts w:ascii="Arial" w:cs="Arial" w:eastAsia="Arial" w:hAnsi="Arial"/>
          <w:sz w:val="11"/>
          <w:szCs w:val="11"/>
          <w:color w:val="auto"/>
        </w:rPr>
      </w:pPr>
      <w:r>
        <w:rPr>
          <w:rFonts w:ascii="Arial" w:cs="Arial" w:eastAsia="Arial" w:hAnsi="Arial"/>
          <w:sz w:val="11"/>
          <w:szCs w:val="11"/>
          <w:color w:val="auto"/>
        </w:rPr>
        <w:t>Industry peers reflect Las Vegas Sands and MGM Resorts. Las Vegas Sands’ TSR is measured from the market close on the day of their IPO on December 15, 2004 (average annual TSR of approximately 2.7%). MGM Resorts’ TSR is measured from the close on the date of Wynn Resorts’ IPO on October 25, 2002 (average annual TSR of approximately 3.8%) through the market close on December 31, 2024.</w:t>
      </w:r>
    </w:p>
    <w:p>
      <w:pPr>
        <w:spacing w:after="0" w:line="2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45"/>
          <w:szCs w:val="45"/>
          <w:color w:val="140F21"/>
        </w:rPr>
        <w:t>Our Key Accomplishments in 2024 Include:</w:t>
      </w:r>
    </w:p>
    <w:p>
      <w:pPr>
        <w:spacing w:after="0" w:line="384" w:lineRule="exact"/>
        <w:rPr>
          <w:sz w:val="20"/>
          <w:szCs w:val="20"/>
          <w:color w:val="auto"/>
        </w:rPr>
      </w:pPr>
    </w:p>
    <w:p>
      <w:pPr>
        <w:ind w:left="380" w:hanging="213"/>
        <w:spacing w:after="0" w:line="256" w:lineRule="auto"/>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351B3D"/>
        </w:rPr>
        <w:t xml:space="preserve">ACHIEVED RECORD-SETTING RESULTS IN LAS VEGAS. </w:t>
      </w:r>
      <w:r>
        <w:rPr>
          <w:rFonts w:ascii="Arial" w:cs="Arial" w:eastAsia="Arial" w:hAnsi="Arial"/>
          <w:sz w:val="16"/>
          <w:szCs w:val="16"/>
          <w:color w:val="000000"/>
        </w:rPr>
        <w:t>Our Las Vegas Operations achieved its highest Adjusted Property EBITDAR in the history</w:t>
      </w:r>
      <w:r>
        <w:rPr>
          <w:rFonts w:ascii="Arial" w:cs="Arial" w:eastAsia="Arial" w:hAnsi="Arial"/>
          <w:sz w:val="16"/>
          <w:szCs w:val="16"/>
          <w:color w:val="351B3D"/>
        </w:rPr>
        <w:t xml:space="preserve"> </w:t>
      </w:r>
      <w:r>
        <w:rPr>
          <w:rFonts w:ascii="Arial" w:cs="Arial" w:eastAsia="Arial" w:hAnsi="Arial"/>
          <w:sz w:val="16"/>
          <w:szCs w:val="16"/>
          <w:color w:val="000000"/>
        </w:rPr>
        <w:t>of the resort at $946.8 million, an increase over the previous annual record of $946.2 million achieved in 2023. We continue to make targeted high-return investments across key areas of the property including new restaurant openings, the incorporation of culinary pop-ups and a full remodel of our luxury villas.</w:t>
      </w:r>
    </w:p>
    <w:p>
      <w:pPr>
        <w:spacing w:after="0" w:line="204" w:lineRule="exact"/>
        <w:rPr>
          <w:rFonts w:ascii="Arial" w:cs="Arial" w:eastAsia="Arial" w:hAnsi="Arial"/>
          <w:sz w:val="16"/>
          <w:szCs w:val="16"/>
          <w:color w:val="auto"/>
        </w:rPr>
      </w:pPr>
    </w:p>
    <w:p>
      <w:pPr>
        <w:ind w:left="380" w:right="80" w:hanging="213"/>
        <w:spacing w:after="0" w:line="279" w:lineRule="auto"/>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351B3D"/>
        </w:rPr>
        <w:t xml:space="preserve">CONTINUED TO GROW THE BUSINESS IN MACAU. </w:t>
      </w:r>
      <w:r>
        <w:rPr>
          <w:rFonts w:ascii="Arial" w:cs="Arial" w:eastAsia="Arial" w:hAnsi="Arial"/>
          <w:sz w:val="16"/>
          <w:szCs w:val="16"/>
          <w:color w:val="000000"/>
        </w:rPr>
        <w:t>As visitation and demand continues to grow in the Macau market, our team delivered Adjusted</w:t>
      </w:r>
      <w:r>
        <w:rPr>
          <w:rFonts w:ascii="Arial" w:cs="Arial" w:eastAsia="Arial" w:hAnsi="Arial"/>
          <w:sz w:val="16"/>
          <w:szCs w:val="16"/>
          <w:color w:val="351B3D"/>
        </w:rPr>
        <w:t xml:space="preserve"> </w:t>
      </w:r>
      <w:r>
        <w:rPr>
          <w:rFonts w:ascii="Arial" w:cs="Arial" w:eastAsia="Arial" w:hAnsi="Arial"/>
          <w:sz w:val="16"/>
          <w:szCs w:val="16"/>
          <w:color w:val="000000"/>
        </w:rPr>
        <w:t>Property EBITDA of $1,176 million during the year, representing a year over year increase of 23.2%.</w:t>
      </w:r>
    </w:p>
    <w:p>
      <w:pPr>
        <w:spacing w:after="0" w:line="187" w:lineRule="exact"/>
        <w:rPr>
          <w:rFonts w:ascii="Arial" w:cs="Arial" w:eastAsia="Arial" w:hAnsi="Arial"/>
          <w:sz w:val="16"/>
          <w:szCs w:val="16"/>
          <w:color w:val="auto"/>
        </w:rPr>
      </w:pPr>
    </w:p>
    <w:p>
      <w:pPr>
        <w:ind w:left="380" w:right="480" w:hanging="213"/>
        <w:spacing w:after="0" w:line="279" w:lineRule="auto"/>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351B3D"/>
        </w:rPr>
        <w:t xml:space="preserve">PURSUED CONTINUED LONG-TERM GROWTH PROJECTS. </w:t>
      </w:r>
      <w:r>
        <w:rPr>
          <w:rFonts w:ascii="Arial" w:cs="Arial" w:eastAsia="Arial" w:hAnsi="Arial"/>
          <w:sz w:val="16"/>
          <w:szCs w:val="16"/>
          <w:color w:val="000000"/>
        </w:rPr>
        <w:t>We continue to pursue high-return development opportunities to drive long-term</w:t>
      </w:r>
      <w:r>
        <w:rPr>
          <w:rFonts w:ascii="Arial" w:cs="Arial" w:eastAsia="Arial" w:hAnsi="Arial"/>
          <w:sz w:val="16"/>
          <w:szCs w:val="16"/>
          <w:color w:val="351B3D"/>
        </w:rPr>
        <w:t xml:space="preserve"> </w:t>
      </w:r>
      <w:r>
        <w:rPr>
          <w:rFonts w:ascii="Arial" w:cs="Arial" w:eastAsia="Arial" w:hAnsi="Arial"/>
          <w:sz w:val="16"/>
          <w:szCs w:val="16"/>
          <w:color w:val="000000"/>
        </w:rPr>
        <w:t>growth and increase shareholder value. Key accomplishments include, but are not limited to: (1) Making considerable progress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2"/>
          <w:szCs w:val="12"/>
          <w:color w:val="351B3D"/>
        </w:rPr>
        <w:t>36</w:t>
      </w:r>
    </w:p>
    <w:p>
      <w:pPr>
        <w:sectPr>
          <w:pgSz w:w="11900" w:h="16838" w:orient="portrait"/>
          <w:cols w:equalWidth="0" w:num="1">
            <w:col w:w="11060"/>
          </w:cols>
          <w:pgMar w:left="320" w:top="478" w:right="5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80" w:right="40"/>
        <w:spacing w:after="0" w:line="224" w:lineRule="auto"/>
        <w:rPr>
          <w:sz w:val="20"/>
          <w:szCs w:val="20"/>
          <w:color w:val="auto"/>
        </w:rPr>
      </w:pPr>
      <w:r>
        <w:rPr>
          <w:rFonts w:ascii="Arial" w:cs="Arial" w:eastAsia="Arial" w:hAnsi="Arial"/>
          <w:sz w:val="16"/>
          <w:szCs w:val="16"/>
          <w:color w:val="auto"/>
        </w:rPr>
        <w:t>on the construction of Wynn Al Marjan Island, our planned integrated resort in the UAE of which we own 40%, where construction has now progressed to the 38</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floor; (2) pursuing one of three “downstate” New York gaming licenses in partnership with Related Companies to develop an integrated resort in Manhattan’s Hudson Yards; and (3) advancing the development of innovative new non-gaming projects in Macau related to our new 10-year gaming concession.</w:t>
      </w:r>
    </w:p>
    <w:p>
      <w:pPr>
        <w:spacing w:after="0" w:line="217" w:lineRule="exact"/>
        <w:rPr>
          <w:sz w:val="20"/>
          <w:szCs w:val="20"/>
          <w:color w:val="auto"/>
        </w:rPr>
      </w:pPr>
    </w:p>
    <w:p>
      <w:pPr>
        <w:ind w:left="380" w:right="140" w:hanging="213"/>
        <w:spacing w:after="0" w:line="253" w:lineRule="auto"/>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351B3D"/>
        </w:rPr>
        <w:t xml:space="preserve">FURTHER ENHANCED BALANCE SHEET AND FINANCIAL FLEXIBILITY. </w:t>
      </w:r>
      <w:r>
        <w:rPr>
          <w:rFonts w:ascii="Arial" w:cs="Arial" w:eastAsia="Arial" w:hAnsi="Arial"/>
          <w:sz w:val="16"/>
          <w:szCs w:val="16"/>
          <w:color w:val="000000"/>
        </w:rPr>
        <w:t>We continued to fortify our balance sheet and liquidity position during the</w:t>
      </w:r>
      <w:r>
        <w:rPr>
          <w:rFonts w:ascii="Arial" w:cs="Arial" w:eastAsia="Arial" w:hAnsi="Arial"/>
          <w:sz w:val="16"/>
          <w:szCs w:val="16"/>
          <w:color w:val="351B3D"/>
        </w:rPr>
        <w:t xml:space="preserve"> </w:t>
      </w:r>
      <w:r>
        <w:rPr>
          <w:rFonts w:ascii="Arial" w:cs="Arial" w:eastAsia="Arial" w:hAnsi="Arial"/>
          <w:sz w:val="16"/>
          <w:szCs w:val="16"/>
          <w:color w:val="000000"/>
        </w:rPr>
        <w:t>year, highlighted by the net repayment of $1.2 billion in aggregate principal amount of debt during the year, resulting in approximately $69 million of annual interest expense savings, and the successful refinancing of our remaining 2025 debt maturities. As of December 31, 2024, our consolidated lease-adjusted net leverage was approximately 4.2x, and we had $3.5 billion of total liquidity (cash and cash equivalents, short-term investments and borrowing capacity under our credit facilities), reflecting our strong balance sheet and liquidity position.</w:t>
      </w:r>
    </w:p>
    <w:p>
      <w:pPr>
        <w:spacing w:after="0" w:line="207" w:lineRule="exact"/>
        <w:rPr>
          <w:rFonts w:ascii="Arial" w:cs="Arial" w:eastAsia="Arial" w:hAnsi="Arial"/>
          <w:sz w:val="16"/>
          <w:szCs w:val="16"/>
          <w:color w:val="auto"/>
        </w:rPr>
      </w:pPr>
    </w:p>
    <w:p>
      <w:pPr>
        <w:ind w:left="380" w:right="60" w:hanging="213"/>
        <w:spacing w:after="0" w:line="256" w:lineRule="auto"/>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351B3D"/>
        </w:rPr>
        <w:t xml:space="preserve">ENHANCED INVESTOR RELATIONS STRATEGY AND TEAM. </w:t>
      </w:r>
      <w:r>
        <w:rPr>
          <w:rFonts w:ascii="Arial" w:cs="Arial" w:eastAsia="Arial" w:hAnsi="Arial"/>
          <w:sz w:val="16"/>
          <w:szCs w:val="16"/>
          <w:color w:val="000000"/>
        </w:rPr>
        <w:t>We remain committed to continued regular shareholder engagement and are proud of</w:t>
      </w:r>
      <w:r>
        <w:rPr>
          <w:rFonts w:ascii="Arial" w:cs="Arial" w:eastAsia="Arial" w:hAnsi="Arial"/>
          <w:sz w:val="16"/>
          <w:szCs w:val="16"/>
          <w:color w:val="351B3D"/>
        </w:rPr>
        <w:t xml:space="preserve"> </w:t>
      </w:r>
      <w:r>
        <w:rPr>
          <w:rFonts w:ascii="Arial" w:cs="Arial" w:eastAsia="Arial" w:hAnsi="Arial"/>
          <w:sz w:val="16"/>
          <w:szCs w:val="16"/>
          <w:color w:val="000000"/>
        </w:rPr>
        <w:t>our track record of responsiveness. In line with this commitment, in December 2024, we expanded of the responsibilities of our SVP, Corporate Finance &amp; Treasurer to include oversight of the Investor Relations team and hired a seasoned Investor Relations professional as VP of Investor Relations.</w:t>
      </w:r>
    </w:p>
    <w:p>
      <w:pPr>
        <w:spacing w:after="0" w:line="204" w:lineRule="exact"/>
        <w:rPr>
          <w:rFonts w:ascii="Arial" w:cs="Arial" w:eastAsia="Arial" w:hAnsi="Arial"/>
          <w:sz w:val="16"/>
          <w:szCs w:val="16"/>
          <w:color w:val="auto"/>
        </w:rPr>
      </w:pPr>
    </w:p>
    <w:p>
      <w:pPr>
        <w:ind w:left="380" w:right="60" w:hanging="213"/>
        <w:spacing w:after="0" w:line="256" w:lineRule="auto"/>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351B3D"/>
        </w:rPr>
        <w:t xml:space="preserve">INCREASED CAPITAL RETURN TO SHAREHOLDERS. </w:t>
      </w:r>
      <w:r>
        <w:rPr>
          <w:rFonts w:ascii="Arial" w:cs="Arial" w:eastAsia="Arial" w:hAnsi="Arial"/>
          <w:sz w:val="16"/>
          <w:szCs w:val="16"/>
          <w:color w:val="000000"/>
        </w:rPr>
        <w:t>Our business continues to generate healthy discretionary free cash flow globally. This has</w:t>
      </w:r>
      <w:r>
        <w:rPr>
          <w:rFonts w:ascii="Arial" w:cs="Arial" w:eastAsia="Arial" w:hAnsi="Arial"/>
          <w:sz w:val="16"/>
          <w:szCs w:val="16"/>
          <w:color w:val="351B3D"/>
        </w:rPr>
        <w:t xml:space="preserve"> </w:t>
      </w:r>
      <w:r>
        <w:rPr>
          <w:rFonts w:ascii="Arial" w:cs="Arial" w:eastAsia="Arial" w:hAnsi="Arial"/>
          <w:sz w:val="16"/>
          <w:szCs w:val="16"/>
          <w:color w:val="000000"/>
        </w:rPr>
        <w:t>allowed us to increase capital return to shareholders while also investing in high-return growth opportunities to drive long-term growth and shareholder value. As a result, we maintained Wynn Resorts’ quarterly dividend at $0.25 per share (having resumed it during 2023, following the 2020 pandemic-related suspension), and to opportunistically repurchase 4.35 million common shares during 2024 for an aggregate cost of $386 million.</w:t>
      </w:r>
    </w:p>
    <w:p>
      <w:pPr>
        <w:spacing w:after="0" w:line="204" w:lineRule="exact"/>
        <w:rPr>
          <w:rFonts w:ascii="Arial" w:cs="Arial" w:eastAsia="Arial" w:hAnsi="Arial"/>
          <w:sz w:val="16"/>
          <w:szCs w:val="16"/>
          <w:color w:val="auto"/>
        </w:rPr>
      </w:pPr>
    </w:p>
    <w:p>
      <w:pPr>
        <w:ind w:left="380" w:right="20" w:hanging="213"/>
        <w:spacing w:after="0" w:line="247" w:lineRule="auto"/>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351B3D"/>
        </w:rPr>
        <w:t xml:space="preserve">CONTINUED RECOGNITION AS THE WORLD’S PREEMINENT LUXURY INTEGRATED RESORT COMPANY. </w:t>
      </w:r>
      <w:r>
        <w:rPr>
          <w:rFonts w:ascii="Arial" w:cs="Arial" w:eastAsia="Arial" w:hAnsi="Arial"/>
          <w:sz w:val="16"/>
          <w:szCs w:val="16"/>
          <w:color w:val="000000"/>
        </w:rPr>
        <w:t>With a combined 19 Forbes Travel</w:t>
      </w:r>
      <w:r>
        <w:rPr>
          <w:rFonts w:ascii="Arial" w:cs="Arial" w:eastAsia="Arial" w:hAnsi="Arial"/>
          <w:sz w:val="16"/>
          <w:szCs w:val="16"/>
          <w:color w:val="351B3D"/>
        </w:rPr>
        <w:t xml:space="preserve"> </w:t>
      </w:r>
      <w:r>
        <w:rPr>
          <w:rFonts w:ascii="Arial" w:cs="Arial" w:eastAsia="Arial" w:hAnsi="Arial"/>
          <w:sz w:val="16"/>
          <w:szCs w:val="16"/>
          <w:color w:val="000000"/>
        </w:rPr>
        <w:t>Guide Five-Star Awards in 2025 across our global portfolio, Wynn Resorts holds more Forbes Travel Five-Star Awards than any independent hotel company in the world. Our Macau resorts were awarded 12 FTG Five-Star Awards, with both Wynn Macau and Wynn Palace receiving six Forbes Travel Five-Star Awards. In the US, Wing Lei at Wynn Las Vegas remains the only FTG Five-Star Chinese restaurant in North America. Encore Boston Harbor was awarded three FTG Five-Star Awards. In addition, Wynn Resorts was honored for the 17th year to be included on FORTUNE Magazine’s 2025 World’s Most Admired Companies list in the hotel and was again ranked highly In Quality of Products and Services. In 2024, the Company was also recognized on the list of America’s Best Employers for Diversity by Forbes Magazine, the list of America’s Greatest Workplaces for Diversity by Newsweek, FORTUNE Magazine’s Section Leaders of 2024 List, and placed first in the Land-Based Operator of the Year category at the Global Gaming Awards Americas 2024. Additionally, as of 2024, Wynn Resorts has been a recipient of Civic 50’s Point of Light list for three consecutive years —which recognizes the top 50 most community-minded companies in the U.S. Mr. Strom was also included in the Board Prospects 100 Black Board Members “Making a Difference” list in 2024.</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080"/>
          </w:cols>
          <w:pgMar w:left="320" w:top="478"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COMPENSATION MIX</w:t>
      </w:r>
    </w:p>
    <w:p>
      <w:pPr>
        <w:spacing w:after="0" w:line="19" w:lineRule="exact"/>
        <w:rPr>
          <w:sz w:val="20"/>
          <w:szCs w:val="20"/>
          <w:color w:val="auto"/>
        </w:rPr>
      </w:pPr>
    </w:p>
    <w:p>
      <w:pPr>
        <w:ind w:left="160" w:right="80"/>
        <w:spacing w:after="0" w:line="252" w:lineRule="auto"/>
        <w:rPr>
          <w:sz w:val="20"/>
          <w:szCs w:val="20"/>
          <w:color w:val="auto"/>
        </w:rPr>
      </w:pPr>
      <w:r>
        <w:rPr>
          <w:rFonts w:ascii="Arial" w:cs="Arial" w:eastAsia="Arial" w:hAnsi="Arial"/>
          <w:sz w:val="16"/>
          <w:szCs w:val="16"/>
          <w:color w:val="auto"/>
        </w:rPr>
        <w:t xml:space="preserve">We take a multi-year approach to our business that focuses on rewarding strong near-term performance and the creation of long-term shareholder value. Because product quality and service excellence are at the core of our strategy, we use annual goals based on achieving operational excellence to highlight the critical importance of performing well each year for each guest, the most discerning in the industry. We supplement that with a set of long-term incentives and holding requirements to support the sustainability of our reputation and our ongoing returns. The charts below highlight the focus on equity and at-risk mix of the total direct compensation for our current NEOs based on 2024 compensation outcomes </w:t>
      </w:r>
      <w:r>
        <w:rPr>
          <w:rFonts w:ascii="Arial" w:cs="Arial" w:eastAsia="Arial" w:hAnsi="Arial"/>
          <w:sz w:val="24"/>
          <w:szCs w:val="24"/>
          <w:color w:val="auto"/>
          <w:vertAlign w:val="superscript"/>
        </w:rPr>
        <w:t>(1)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71755</wp:posOffset>
            </wp:positionV>
            <wp:extent cx="6624320" cy="19958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624320" cy="199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60" w:right="120" w:firstLine="7"/>
        <w:spacing w:after="0" w:line="279" w:lineRule="auto"/>
        <w:tabs>
          <w:tab w:leader="none" w:pos="347" w:val="left"/>
        </w:tabs>
        <w:numPr>
          <w:ilvl w:val="0"/>
          <w:numId w:val="27"/>
        </w:numPr>
        <w:rPr>
          <w:rFonts w:ascii="Arial" w:cs="Arial" w:eastAsia="Arial" w:hAnsi="Arial"/>
          <w:sz w:val="12"/>
          <w:szCs w:val="12"/>
          <w:color w:val="auto"/>
        </w:rPr>
      </w:pPr>
      <w:r>
        <w:rPr>
          <w:rFonts w:ascii="Arial" w:cs="Arial" w:eastAsia="Arial" w:hAnsi="Arial"/>
          <w:sz w:val="12"/>
          <w:szCs w:val="12"/>
          <w:color w:val="auto"/>
        </w:rPr>
        <w:t>Based on 2024 the total direct compensation for our NEOs during 2024, including Ms. Krum’s compensation prior to her promotion to the Company’s Executive Vice President, General Counsel and Secretary effective as of December 1, 2024.</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45"/>
          <w:szCs w:val="45"/>
          <w:color w:val="140F21"/>
        </w:rPr>
        <w:t>2024 Compensation Design &amp; Decisions</w:t>
      </w:r>
    </w:p>
    <w:p>
      <w:pPr>
        <w:spacing w:after="0" w:line="344" w:lineRule="exact"/>
        <w:rPr>
          <w:sz w:val="20"/>
          <w:szCs w:val="20"/>
          <w:color w:val="auto"/>
        </w:rPr>
      </w:pPr>
    </w:p>
    <w:p>
      <w:pPr>
        <w:ind w:left="160" w:right="20"/>
        <w:spacing w:after="0" w:line="262" w:lineRule="auto"/>
        <w:rPr>
          <w:sz w:val="20"/>
          <w:szCs w:val="20"/>
          <w:color w:val="auto"/>
        </w:rPr>
      </w:pPr>
      <w:r>
        <w:rPr>
          <w:rFonts w:ascii="Arial" w:cs="Arial" w:eastAsia="Arial" w:hAnsi="Arial"/>
          <w:sz w:val="16"/>
          <w:szCs w:val="16"/>
          <w:color w:val="351B3D"/>
        </w:rPr>
        <w:t xml:space="preserve">Base Salary: </w:t>
      </w:r>
      <w:r>
        <w:rPr>
          <w:rFonts w:ascii="Arial" w:cs="Arial" w:eastAsia="Arial" w:hAnsi="Arial"/>
          <w:sz w:val="16"/>
          <w:szCs w:val="16"/>
          <w:color w:val="000000"/>
        </w:rPr>
        <w:t>Negotiated employment contracts establish our NEOs’ initial base salaries. We then review and adjust their base salaries periodically to stay</w:t>
      </w:r>
      <w:r>
        <w:rPr>
          <w:rFonts w:ascii="Arial" w:cs="Arial" w:eastAsia="Arial" w:hAnsi="Arial"/>
          <w:sz w:val="16"/>
          <w:szCs w:val="16"/>
          <w:color w:val="351B3D"/>
        </w:rPr>
        <w:t xml:space="preserve"> </w:t>
      </w:r>
      <w:r>
        <w:rPr>
          <w:rFonts w:ascii="Arial" w:cs="Arial" w:eastAsia="Arial" w:hAnsi="Arial"/>
          <w:sz w:val="16"/>
          <w:szCs w:val="16"/>
          <w:color w:val="000000"/>
        </w:rPr>
        <w:t>competitive, reflect improvements in performance, capabilities, and experience, and reward expansions of responsibility or other extraordinary circumstances.</w:t>
      </w:r>
    </w:p>
    <w:p>
      <w:pPr>
        <w:spacing w:after="0" w:line="173" w:lineRule="exact"/>
        <w:rPr>
          <w:sz w:val="20"/>
          <w:szCs w:val="20"/>
          <w:color w:val="auto"/>
        </w:rPr>
      </w:pPr>
    </w:p>
    <w:p>
      <w:pPr>
        <w:ind w:left="160" w:right="320"/>
        <w:spacing w:after="0" w:line="279" w:lineRule="auto"/>
        <w:rPr>
          <w:sz w:val="20"/>
          <w:szCs w:val="20"/>
          <w:color w:val="auto"/>
        </w:rPr>
      </w:pPr>
      <w:r>
        <w:rPr>
          <w:rFonts w:ascii="Arial" w:cs="Arial" w:eastAsia="Arial" w:hAnsi="Arial"/>
          <w:sz w:val="16"/>
          <w:szCs w:val="16"/>
          <w:color w:val="auto"/>
        </w:rPr>
        <w:t>The table below presents the base salary actually paid for each of our NEOs in 2023 and 2024. Please see the “2024 Summary Compensation Table” below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6161405</wp:posOffset>
            </wp:positionH>
            <wp:positionV relativeFrom="paragraph">
              <wp:posOffset>128270</wp:posOffset>
            </wp:positionV>
            <wp:extent cx="8255" cy="10020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1002030"/>
                    </a:xfrm>
                    <a:prstGeom prst="rect">
                      <a:avLst/>
                    </a:prstGeom>
                    <a:noFill/>
                  </pic:spPr>
                </pic:pic>
              </a:graphicData>
            </a:graphic>
          </wp:anchor>
        </w:drawing>
        <w:drawing>
          <wp:anchor simplePos="0" relativeHeight="251657728" behindDoc="1" locked="0" layoutInCell="0" allowOverlap="1">
            <wp:simplePos x="0" y="0"/>
            <wp:positionH relativeFrom="column">
              <wp:posOffset>5422265</wp:posOffset>
            </wp:positionH>
            <wp:positionV relativeFrom="paragraph">
              <wp:posOffset>128270</wp:posOffset>
            </wp:positionV>
            <wp:extent cx="8255" cy="10020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1002030"/>
                    </a:xfrm>
                    <a:prstGeom prst="rect">
                      <a:avLst/>
                    </a:prstGeom>
                    <a:noFill/>
                  </pic:spPr>
                </pic:pic>
              </a:graphicData>
            </a:graphic>
          </wp:anchor>
        </w:drawing>
      </w:r>
    </w:p>
    <w:p>
      <w:pPr>
        <w:spacing w:after="0" w:line="182"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8380" w:type="dxa"/>
            <w:vAlign w:val="bottom"/>
            <w:vMerge w:val="restart"/>
            <w:shd w:val="clear" w:color="auto" w:fill="351B3D"/>
          </w:tcPr>
          <w:p>
            <w:pPr>
              <w:ind w:left="100"/>
              <w:spacing w:after="0"/>
              <w:rPr>
                <w:sz w:val="20"/>
                <w:szCs w:val="20"/>
                <w:color w:val="auto"/>
              </w:rPr>
            </w:pPr>
            <w:r>
              <w:rPr>
                <w:rFonts w:ascii="Arial" w:cs="Arial" w:eastAsia="Arial" w:hAnsi="Arial"/>
                <w:sz w:val="16"/>
                <w:szCs w:val="16"/>
                <w:color w:val="FFFFFF"/>
              </w:rPr>
              <w:t>NAMED EXECUTIVE OFFICER</w:t>
            </w:r>
          </w:p>
        </w:tc>
        <w:tc>
          <w:tcPr>
            <w:tcW w:w="1160" w:type="dxa"/>
            <w:vAlign w:val="bottom"/>
            <w:gridSpan w:val="2"/>
            <w:shd w:val="clear" w:color="auto" w:fill="351B3D"/>
          </w:tcPr>
          <w:p>
            <w:pPr>
              <w:ind w:left="120"/>
              <w:spacing w:after="0"/>
              <w:rPr>
                <w:sz w:val="20"/>
                <w:szCs w:val="20"/>
                <w:color w:val="auto"/>
              </w:rPr>
            </w:pPr>
            <w:r>
              <w:rPr>
                <w:rFonts w:ascii="Arial" w:cs="Arial" w:eastAsia="Arial" w:hAnsi="Arial"/>
                <w:sz w:val="16"/>
                <w:szCs w:val="16"/>
                <w:color w:val="FFFFFF"/>
              </w:rPr>
              <w:t>2024 BASE</w:t>
            </w:r>
          </w:p>
        </w:tc>
        <w:tc>
          <w:tcPr>
            <w:tcW w:w="1380" w:type="dxa"/>
            <w:vAlign w:val="bottom"/>
            <w:gridSpan w:val="2"/>
            <w:shd w:val="clear" w:color="auto" w:fill="351B3D"/>
          </w:tcPr>
          <w:p>
            <w:pPr>
              <w:ind w:left="220"/>
              <w:spacing w:after="0"/>
              <w:rPr>
                <w:sz w:val="20"/>
                <w:szCs w:val="20"/>
                <w:color w:val="auto"/>
              </w:rPr>
            </w:pPr>
            <w:r>
              <w:rPr>
                <w:rFonts w:ascii="Arial" w:cs="Arial" w:eastAsia="Arial" w:hAnsi="Arial"/>
                <w:sz w:val="16"/>
                <w:szCs w:val="16"/>
                <w:color w:val="FFFFFF"/>
              </w:rPr>
              <w:t>2023 BASE</w:t>
            </w:r>
          </w:p>
        </w:tc>
        <w:tc>
          <w:tcPr>
            <w:tcW w:w="0" w:type="dxa"/>
            <w:vAlign w:val="bottom"/>
          </w:tcPr>
          <w:p>
            <w:pPr>
              <w:spacing w:after="0"/>
              <w:rPr>
                <w:sz w:val="1"/>
                <w:szCs w:val="1"/>
                <w:color w:val="auto"/>
              </w:rPr>
            </w:pPr>
          </w:p>
        </w:tc>
      </w:tr>
      <w:tr>
        <w:trPr>
          <w:trHeight w:val="118"/>
        </w:trPr>
        <w:tc>
          <w:tcPr>
            <w:tcW w:w="8380" w:type="dxa"/>
            <w:vAlign w:val="bottom"/>
            <w:vMerge w:val="continue"/>
            <w:shd w:val="clear" w:color="auto" w:fill="351B3D"/>
          </w:tcPr>
          <w:p>
            <w:pPr>
              <w:spacing w:after="0"/>
              <w:rPr>
                <w:sz w:val="10"/>
                <w:szCs w:val="10"/>
                <w:color w:val="auto"/>
              </w:rPr>
            </w:pPr>
          </w:p>
        </w:tc>
        <w:tc>
          <w:tcPr>
            <w:tcW w:w="200" w:type="dxa"/>
            <w:vAlign w:val="bottom"/>
            <w:shd w:val="clear" w:color="auto" w:fill="351B3D"/>
          </w:tcPr>
          <w:p>
            <w:pPr>
              <w:spacing w:after="0"/>
              <w:rPr>
                <w:sz w:val="10"/>
                <w:szCs w:val="10"/>
                <w:color w:val="auto"/>
              </w:rPr>
            </w:pPr>
          </w:p>
        </w:tc>
        <w:tc>
          <w:tcPr>
            <w:tcW w:w="960" w:type="dxa"/>
            <w:vAlign w:val="bottom"/>
            <w:vMerge w:val="restart"/>
            <w:shd w:val="clear" w:color="auto" w:fill="351B3D"/>
          </w:tcPr>
          <w:p>
            <w:pPr>
              <w:jc w:val="right"/>
              <w:ind w:right="240"/>
              <w:spacing w:after="0"/>
              <w:rPr>
                <w:sz w:val="20"/>
                <w:szCs w:val="20"/>
                <w:color w:val="auto"/>
              </w:rPr>
            </w:pPr>
            <w:r>
              <w:rPr>
                <w:rFonts w:ascii="Arial" w:cs="Arial" w:eastAsia="Arial" w:hAnsi="Arial"/>
                <w:sz w:val="16"/>
                <w:szCs w:val="16"/>
                <w:color w:val="FFFFFF"/>
                <w:w w:val="98"/>
              </w:rPr>
              <w:t>SALARY</w:t>
            </w:r>
          </w:p>
        </w:tc>
        <w:tc>
          <w:tcPr>
            <w:tcW w:w="320" w:type="dxa"/>
            <w:vAlign w:val="bottom"/>
            <w:shd w:val="clear" w:color="auto" w:fill="351B3D"/>
          </w:tcPr>
          <w:p>
            <w:pPr>
              <w:spacing w:after="0"/>
              <w:rPr>
                <w:sz w:val="10"/>
                <w:szCs w:val="10"/>
                <w:color w:val="auto"/>
              </w:rPr>
            </w:pPr>
          </w:p>
        </w:tc>
        <w:tc>
          <w:tcPr>
            <w:tcW w:w="1060" w:type="dxa"/>
            <w:vAlign w:val="bottom"/>
            <w:vMerge w:val="restart"/>
            <w:shd w:val="clear" w:color="auto" w:fill="351B3D"/>
          </w:tcPr>
          <w:p>
            <w:pPr>
              <w:jc w:val="right"/>
              <w:ind w:right="340"/>
              <w:spacing w:after="0"/>
              <w:rPr>
                <w:sz w:val="20"/>
                <w:szCs w:val="20"/>
                <w:color w:val="auto"/>
              </w:rPr>
            </w:pPr>
            <w:r>
              <w:rPr>
                <w:rFonts w:ascii="Arial" w:cs="Arial" w:eastAsia="Arial" w:hAnsi="Arial"/>
                <w:sz w:val="16"/>
                <w:szCs w:val="16"/>
                <w:color w:val="FFFFFF"/>
                <w:w w:val="98"/>
              </w:rPr>
              <w:t>SALARY</w:t>
            </w:r>
          </w:p>
        </w:tc>
        <w:tc>
          <w:tcPr>
            <w:tcW w:w="0" w:type="dxa"/>
            <w:vAlign w:val="bottom"/>
          </w:tcPr>
          <w:p>
            <w:pPr>
              <w:spacing w:after="0"/>
              <w:rPr>
                <w:sz w:val="1"/>
                <w:szCs w:val="1"/>
                <w:color w:val="auto"/>
              </w:rPr>
            </w:pPr>
          </w:p>
        </w:tc>
      </w:tr>
      <w:tr>
        <w:trPr>
          <w:trHeight w:val="110"/>
        </w:trPr>
        <w:tc>
          <w:tcPr>
            <w:tcW w:w="8380" w:type="dxa"/>
            <w:vAlign w:val="bottom"/>
            <w:shd w:val="clear" w:color="auto" w:fill="351B3D"/>
          </w:tcPr>
          <w:p>
            <w:pPr>
              <w:spacing w:after="0"/>
              <w:rPr>
                <w:sz w:val="9"/>
                <w:szCs w:val="9"/>
                <w:color w:val="auto"/>
              </w:rPr>
            </w:pPr>
          </w:p>
        </w:tc>
        <w:tc>
          <w:tcPr>
            <w:tcW w:w="200" w:type="dxa"/>
            <w:vAlign w:val="bottom"/>
            <w:shd w:val="clear" w:color="auto" w:fill="351B3D"/>
          </w:tcPr>
          <w:p>
            <w:pPr>
              <w:spacing w:after="0"/>
              <w:rPr>
                <w:sz w:val="9"/>
                <w:szCs w:val="9"/>
                <w:color w:val="auto"/>
              </w:rPr>
            </w:pPr>
          </w:p>
        </w:tc>
        <w:tc>
          <w:tcPr>
            <w:tcW w:w="960" w:type="dxa"/>
            <w:vAlign w:val="bottom"/>
            <w:vMerge w:val="continue"/>
            <w:shd w:val="clear" w:color="auto" w:fill="351B3D"/>
          </w:tcPr>
          <w:p>
            <w:pPr>
              <w:spacing w:after="0"/>
              <w:rPr>
                <w:sz w:val="9"/>
                <w:szCs w:val="9"/>
                <w:color w:val="auto"/>
              </w:rPr>
            </w:pPr>
          </w:p>
        </w:tc>
        <w:tc>
          <w:tcPr>
            <w:tcW w:w="320" w:type="dxa"/>
            <w:vAlign w:val="bottom"/>
            <w:shd w:val="clear" w:color="auto" w:fill="351B3D"/>
          </w:tcPr>
          <w:p>
            <w:pPr>
              <w:spacing w:after="0"/>
              <w:rPr>
                <w:sz w:val="9"/>
                <w:szCs w:val="9"/>
                <w:color w:val="auto"/>
              </w:rPr>
            </w:pPr>
          </w:p>
        </w:tc>
        <w:tc>
          <w:tcPr>
            <w:tcW w:w="1060" w:type="dxa"/>
            <w:vAlign w:val="bottom"/>
            <w:vMerge w:val="continue"/>
            <w:shd w:val="clear" w:color="auto" w:fill="351B3D"/>
          </w:tcPr>
          <w:p>
            <w:pPr>
              <w:spacing w:after="0"/>
              <w:rPr>
                <w:sz w:val="9"/>
                <w:szCs w:val="9"/>
                <w:color w:val="auto"/>
              </w:rPr>
            </w:pPr>
          </w:p>
        </w:tc>
        <w:tc>
          <w:tcPr>
            <w:tcW w:w="0" w:type="dxa"/>
            <w:vAlign w:val="bottom"/>
          </w:tcPr>
          <w:p>
            <w:pPr>
              <w:spacing w:after="0"/>
              <w:rPr>
                <w:sz w:val="1"/>
                <w:szCs w:val="1"/>
                <w:color w:val="auto"/>
              </w:rPr>
            </w:pPr>
          </w:p>
        </w:tc>
      </w:tr>
      <w:tr>
        <w:trPr>
          <w:trHeight w:val="261"/>
        </w:trPr>
        <w:tc>
          <w:tcPr>
            <w:tcW w:w="8380" w:type="dxa"/>
            <w:vAlign w:val="bottom"/>
            <w:tcBorders>
              <w:bottom w:val="single" w:sz="8" w:color="D6D1D8"/>
            </w:tcBorders>
            <w:shd w:val="clear" w:color="auto" w:fill="D6D1D8"/>
          </w:tcPr>
          <w:p>
            <w:pPr>
              <w:ind w:left="80"/>
              <w:spacing w:after="0"/>
              <w:rPr>
                <w:sz w:val="20"/>
                <w:szCs w:val="20"/>
                <w:color w:val="auto"/>
              </w:rPr>
            </w:pPr>
            <w:r>
              <w:rPr>
                <w:rFonts w:ascii="Arial" w:cs="Arial" w:eastAsia="Arial" w:hAnsi="Arial"/>
                <w:sz w:val="16"/>
                <w:szCs w:val="16"/>
                <w:color w:val="auto"/>
              </w:rPr>
              <w:t>Craig S. Billings</w:t>
            </w:r>
          </w:p>
        </w:tc>
        <w:tc>
          <w:tcPr>
            <w:tcW w:w="200" w:type="dxa"/>
            <w:vAlign w:val="bottom"/>
            <w:tcBorders>
              <w:bottom w:val="single" w:sz="8" w:color="D6D1D8"/>
            </w:tcBorders>
            <w:shd w:val="clear" w:color="auto" w:fill="D6D1D8"/>
          </w:tcPr>
          <w:p>
            <w:pPr>
              <w:ind w:left="10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D6D1D8"/>
            </w:tcBorders>
            <w:shd w:val="clear" w:color="auto" w:fill="D6D1D8"/>
          </w:tcPr>
          <w:p>
            <w:pPr>
              <w:jc w:val="right"/>
              <w:ind w:right="140"/>
              <w:spacing w:after="0"/>
              <w:rPr>
                <w:sz w:val="20"/>
                <w:szCs w:val="20"/>
                <w:color w:val="auto"/>
              </w:rPr>
            </w:pPr>
            <w:r>
              <w:rPr>
                <w:rFonts w:ascii="Arial" w:cs="Arial" w:eastAsia="Arial" w:hAnsi="Arial"/>
                <w:sz w:val="16"/>
                <w:szCs w:val="16"/>
                <w:color w:val="auto"/>
              </w:rPr>
              <w:t>2,000,000</w:t>
            </w:r>
          </w:p>
        </w:tc>
        <w:tc>
          <w:tcPr>
            <w:tcW w:w="320" w:type="dxa"/>
            <w:vAlign w:val="bottom"/>
            <w:tcBorders>
              <w:bottom w:val="single" w:sz="8" w:color="D6D1D8"/>
            </w:tcBorders>
            <w:shd w:val="clear" w:color="auto" w:fill="D6D1D8"/>
          </w:tcPr>
          <w:p>
            <w:pPr>
              <w:ind w:left="22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D6D1D8"/>
            </w:tcBorders>
            <w:shd w:val="clear" w:color="auto" w:fill="D6D1D8"/>
          </w:tcPr>
          <w:p>
            <w:pPr>
              <w:jc w:val="right"/>
              <w:ind w:right="240"/>
              <w:spacing w:after="0"/>
              <w:rPr>
                <w:sz w:val="20"/>
                <w:szCs w:val="20"/>
                <w:color w:val="auto"/>
              </w:rPr>
            </w:pPr>
            <w:r>
              <w:rPr>
                <w:rFonts w:ascii="Arial" w:cs="Arial" w:eastAsia="Arial" w:hAnsi="Arial"/>
                <w:sz w:val="16"/>
                <w:szCs w:val="16"/>
                <w:color w:val="auto"/>
              </w:rPr>
              <w:t>1,900,962</w:t>
            </w:r>
          </w:p>
        </w:tc>
        <w:tc>
          <w:tcPr>
            <w:tcW w:w="0" w:type="dxa"/>
            <w:vAlign w:val="bottom"/>
          </w:tcPr>
          <w:p>
            <w:pPr>
              <w:spacing w:after="0"/>
              <w:rPr>
                <w:sz w:val="1"/>
                <w:szCs w:val="1"/>
                <w:color w:val="auto"/>
              </w:rPr>
            </w:pPr>
          </w:p>
        </w:tc>
      </w:tr>
      <w:tr>
        <w:trPr>
          <w:trHeight w:val="237"/>
        </w:trPr>
        <w:tc>
          <w:tcPr>
            <w:tcW w:w="8380" w:type="dxa"/>
            <w:vAlign w:val="bottom"/>
          </w:tcPr>
          <w:p>
            <w:pPr>
              <w:ind w:left="80"/>
              <w:spacing w:after="0"/>
              <w:rPr>
                <w:sz w:val="20"/>
                <w:szCs w:val="20"/>
                <w:color w:val="auto"/>
              </w:rPr>
            </w:pPr>
            <w:r>
              <w:rPr>
                <w:rFonts w:ascii="Arial" w:cs="Arial" w:eastAsia="Arial" w:hAnsi="Arial"/>
                <w:sz w:val="16"/>
                <w:szCs w:val="16"/>
                <w:color w:val="auto"/>
              </w:rPr>
              <w:t>Julie M. Cameron-Doe</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950,000</w:t>
            </w:r>
          </w:p>
        </w:tc>
        <w:tc>
          <w:tcPr>
            <w:tcW w:w="320" w:type="dxa"/>
            <w:vAlign w:val="bottom"/>
          </w:tcPr>
          <w:p>
            <w:pPr>
              <w:ind w:left="22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40"/>
              <w:spacing w:after="0"/>
              <w:rPr>
                <w:sz w:val="20"/>
                <w:szCs w:val="20"/>
                <w:color w:val="auto"/>
              </w:rPr>
            </w:pPr>
            <w:r>
              <w:rPr>
                <w:rFonts w:ascii="Arial" w:cs="Arial" w:eastAsia="Arial" w:hAnsi="Arial"/>
                <w:sz w:val="16"/>
                <w:szCs w:val="16"/>
                <w:color w:val="auto"/>
              </w:rPr>
              <w:t>922,500</w:t>
            </w:r>
          </w:p>
        </w:tc>
        <w:tc>
          <w:tcPr>
            <w:tcW w:w="0" w:type="dxa"/>
            <w:vAlign w:val="bottom"/>
          </w:tcPr>
          <w:p>
            <w:pPr>
              <w:spacing w:after="0"/>
              <w:rPr>
                <w:sz w:val="1"/>
                <w:szCs w:val="1"/>
                <w:color w:val="auto"/>
              </w:rPr>
            </w:pPr>
          </w:p>
        </w:tc>
      </w:tr>
      <w:tr>
        <w:trPr>
          <w:trHeight w:val="44"/>
        </w:trPr>
        <w:tc>
          <w:tcPr>
            <w:tcW w:w="8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8380" w:type="dxa"/>
            <w:vAlign w:val="bottom"/>
            <w:tcBorders>
              <w:bottom w:val="single" w:sz="8" w:color="D6D1D8"/>
            </w:tcBorders>
            <w:shd w:val="clear" w:color="auto" w:fill="D6D1D8"/>
          </w:tcPr>
          <w:p>
            <w:pPr>
              <w:ind w:left="80"/>
              <w:spacing w:after="0"/>
              <w:rPr>
                <w:sz w:val="20"/>
                <w:szCs w:val="20"/>
                <w:color w:val="auto"/>
              </w:rPr>
            </w:pPr>
            <w:r>
              <w:rPr>
                <w:rFonts w:ascii="Arial" w:cs="Arial" w:eastAsia="Arial" w:hAnsi="Arial"/>
                <w:sz w:val="16"/>
                <w:szCs w:val="16"/>
                <w:color w:val="auto"/>
              </w:rPr>
              <w:t>Jacqui Krum (1)</w:t>
            </w:r>
          </w:p>
        </w:tc>
        <w:tc>
          <w:tcPr>
            <w:tcW w:w="200" w:type="dxa"/>
            <w:vAlign w:val="bottom"/>
            <w:tcBorders>
              <w:bottom w:val="single" w:sz="8" w:color="D6D1D8"/>
            </w:tcBorders>
            <w:shd w:val="clear" w:color="auto" w:fill="D6D1D8"/>
          </w:tcPr>
          <w:p>
            <w:pPr>
              <w:ind w:left="10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D6D1D8"/>
            </w:tcBorders>
            <w:shd w:val="clear" w:color="auto" w:fill="D6D1D8"/>
          </w:tcPr>
          <w:p>
            <w:pPr>
              <w:jc w:val="right"/>
              <w:ind w:right="140"/>
              <w:spacing w:after="0"/>
              <w:rPr>
                <w:sz w:val="20"/>
                <w:szCs w:val="20"/>
                <w:color w:val="auto"/>
              </w:rPr>
            </w:pPr>
            <w:r>
              <w:rPr>
                <w:rFonts w:ascii="Arial" w:cs="Arial" w:eastAsia="Arial" w:hAnsi="Arial"/>
                <w:sz w:val="16"/>
                <w:szCs w:val="16"/>
                <w:color w:val="auto"/>
              </w:rPr>
              <w:t>543,654</w:t>
            </w:r>
          </w:p>
        </w:tc>
        <w:tc>
          <w:tcPr>
            <w:tcW w:w="320" w:type="dxa"/>
            <w:vAlign w:val="bottom"/>
            <w:tcBorders>
              <w:bottom w:val="single" w:sz="8" w:color="D6D1D8"/>
            </w:tcBorders>
            <w:shd w:val="clear" w:color="auto" w:fill="D6D1D8"/>
          </w:tcPr>
          <w:p>
            <w:pPr>
              <w:spacing w:after="0"/>
              <w:rPr>
                <w:sz w:val="22"/>
                <w:szCs w:val="22"/>
                <w:color w:val="auto"/>
              </w:rPr>
            </w:pPr>
          </w:p>
        </w:tc>
        <w:tc>
          <w:tcPr>
            <w:tcW w:w="1060" w:type="dxa"/>
            <w:vAlign w:val="bottom"/>
            <w:tcBorders>
              <w:bottom w:val="single" w:sz="8" w:color="D6D1D8"/>
            </w:tcBorders>
            <w:shd w:val="clear" w:color="auto" w:fill="D6D1D8"/>
          </w:tcPr>
          <w:p>
            <w:pPr>
              <w:jc w:val="right"/>
              <w:ind w:right="24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7"/>
        </w:trPr>
        <w:tc>
          <w:tcPr>
            <w:tcW w:w="8380" w:type="dxa"/>
            <w:vAlign w:val="bottom"/>
          </w:tcPr>
          <w:p>
            <w:pPr>
              <w:ind w:left="80"/>
              <w:spacing w:after="0"/>
              <w:rPr>
                <w:sz w:val="20"/>
                <w:szCs w:val="20"/>
                <w:color w:val="auto"/>
              </w:rPr>
            </w:pPr>
            <w:r>
              <w:rPr>
                <w:rFonts w:ascii="Arial" w:cs="Arial" w:eastAsia="Arial" w:hAnsi="Arial"/>
                <w:sz w:val="16"/>
                <w:szCs w:val="16"/>
                <w:color w:val="auto"/>
              </w:rPr>
              <w:t>Ellen F. Whittemore</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900,000</w:t>
            </w:r>
          </w:p>
        </w:tc>
        <w:tc>
          <w:tcPr>
            <w:tcW w:w="320" w:type="dxa"/>
            <w:vAlign w:val="bottom"/>
          </w:tcPr>
          <w:p>
            <w:pPr>
              <w:ind w:left="22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40"/>
              <w:spacing w:after="0"/>
              <w:rPr>
                <w:sz w:val="20"/>
                <w:szCs w:val="20"/>
                <w:color w:val="auto"/>
              </w:rPr>
            </w:pPr>
            <w:r>
              <w:rPr>
                <w:rFonts w:ascii="Arial" w:cs="Arial" w:eastAsia="Arial" w:hAnsi="Arial"/>
                <w:sz w:val="16"/>
                <w:szCs w:val="16"/>
                <w:color w:val="auto"/>
              </w:rPr>
              <w:t>894,231</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60" w:right="240" w:firstLine="7"/>
        <w:spacing w:after="0" w:line="248" w:lineRule="auto"/>
        <w:tabs>
          <w:tab w:leader="none" w:pos="347" w:val="left"/>
        </w:tabs>
        <w:numPr>
          <w:ilvl w:val="0"/>
          <w:numId w:val="28"/>
        </w:numPr>
        <w:rPr>
          <w:rFonts w:ascii="Arial" w:cs="Arial" w:eastAsia="Arial" w:hAnsi="Arial"/>
          <w:sz w:val="12"/>
          <w:szCs w:val="12"/>
          <w:color w:val="auto"/>
        </w:rPr>
      </w:pPr>
      <w:r>
        <w:rPr>
          <w:rFonts w:ascii="Arial" w:cs="Arial" w:eastAsia="Arial" w:hAnsi="Arial"/>
          <w:sz w:val="12"/>
          <w:szCs w:val="12"/>
          <w:color w:val="auto"/>
        </w:rPr>
        <w:t>Ms. Krum’s 2024 base salary amount includes base salary that was paid to Ms. Krum prior to her promotion to Executive Vice President, General Counsel and Secretary of the Company, effective as of December 1, 2024. Ms. Krum’s employment contract (which was entered into in connection with such promotion) provides for an annual base salary of $825,000 and expires on September 15, 2027 (please see the section below titled “Employment Contracts“ for further discussion). Ms. Krum’s 2024 base salary amount reflects her full annual base salary received during 2024 in respect of Mr. Krum’s employment as the Company’s Senior Vice President and General Counsel at Encore Boston Harbor.</w:t>
      </w:r>
    </w:p>
    <w:p>
      <w:pPr>
        <w:spacing w:after="0" w:line="112" w:lineRule="exact"/>
        <w:rPr>
          <w:sz w:val="20"/>
          <w:szCs w:val="20"/>
          <w:color w:val="auto"/>
        </w:rPr>
      </w:pPr>
    </w:p>
    <w:p>
      <w:pPr>
        <w:ind w:left="160"/>
        <w:spacing w:after="0"/>
        <w:rPr>
          <w:sz w:val="20"/>
          <w:szCs w:val="20"/>
          <w:color w:val="auto"/>
        </w:rPr>
      </w:pPr>
      <w:r>
        <w:rPr>
          <w:rFonts w:ascii="Arial" w:cs="Arial" w:eastAsia="Arial" w:hAnsi="Arial"/>
          <w:sz w:val="12"/>
          <w:szCs w:val="12"/>
          <w:color w:val="351B3D"/>
        </w:rPr>
        <w:t>38</w:t>
      </w:r>
    </w:p>
    <w:p>
      <w:pPr>
        <w:sectPr>
          <w:pgSz w:w="11900" w:h="16838" w:orient="portrait"/>
          <w:cols w:equalWidth="0" w:num="1">
            <w:col w:w="11080"/>
          </w:cols>
          <w:pgMar w:left="320" w:top="478"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0" w:right="280"/>
        <w:spacing w:after="0" w:line="279" w:lineRule="auto"/>
        <w:rPr>
          <w:sz w:val="20"/>
          <w:szCs w:val="20"/>
          <w:color w:val="auto"/>
        </w:rPr>
      </w:pPr>
      <w:r>
        <w:rPr>
          <w:rFonts w:ascii="Arial" w:cs="Arial" w:eastAsia="Arial" w:hAnsi="Arial"/>
          <w:sz w:val="16"/>
          <w:szCs w:val="16"/>
          <w:color w:val="351B3D"/>
        </w:rPr>
        <w:t xml:space="preserve">Annual Incentives: </w:t>
      </w:r>
      <w:r>
        <w:rPr>
          <w:rFonts w:ascii="Arial" w:cs="Arial" w:eastAsia="Arial" w:hAnsi="Arial"/>
          <w:sz w:val="16"/>
          <w:szCs w:val="16"/>
          <w:color w:val="000000"/>
        </w:rPr>
        <w:t>The Compensation Committee selected the following preset performance goals for our 2024 annual incentive awards to incentivize</w:t>
      </w:r>
      <w:r>
        <w:rPr>
          <w:rFonts w:ascii="Arial" w:cs="Arial" w:eastAsia="Arial" w:hAnsi="Arial"/>
          <w:sz w:val="16"/>
          <w:szCs w:val="16"/>
          <w:color w:val="351B3D"/>
        </w:rPr>
        <w:t xml:space="preserve"> </w:t>
      </w:r>
      <w:r>
        <w:rPr>
          <w:rFonts w:ascii="Arial" w:cs="Arial" w:eastAsia="Arial" w:hAnsi="Arial"/>
          <w:sz w:val="16"/>
          <w:szCs w:val="16"/>
          <w:color w:val="000000"/>
        </w:rPr>
        <w:t>management to drive shareholder value through short-term operational and strategic measures:</w:t>
      </w:r>
    </w:p>
    <w:p>
      <w:pPr>
        <w:sectPr>
          <w:pgSz w:w="11900" w:h="16838" w:orient="portrait"/>
          <w:cols w:equalWidth="0" w:num="1">
            <w:col w:w="11080"/>
          </w:cols>
          <w:pgMar w:left="320" w:top="478" w:right="499" w:bottom="1440" w:gutter="0" w:footer="0" w:header="0"/>
        </w:sectPr>
      </w:pPr>
    </w:p>
    <w:p>
      <w:pPr>
        <w:spacing w:after="0" w:line="187" w:lineRule="exact"/>
        <w:rPr>
          <w:sz w:val="20"/>
          <w:szCs w:val="20"/>
          <w:color w:val="auto"/>
        </w:rPr>
      </w:pPr>
    </w:p>
    <w:p>
      <w:pPr>
        <w:ind w:left="160"/>
        <w:spacing w:after="0"/>
        <w:rPr>
          <w:sz w:val="20"/>
          <w:szCs w:val="20"/>
          <w:color w:val="auto"/>
        </w:rPr>
      </w:pPr>
      <w:r>
        <w:rPr>
          <w:rFonts w:ascii="Arial" w:cs="Arial" w:eastAsia="Arial" w:hAnsi="Arial"/>
          <w:sz w:val="16"/>
          <w:szCs w:val="16"/>
          <w:color w:val="351B3D"/>
        </w:rPr>
        <w:t>Goal 1 –</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351B3D"/>
        </w:rPr>
        <w:t xml:space="preserve">North America, 2024 Adjusted Property EBITDAR (weighted 30%): </w:t>
      </w:r>
      <w:r>
        <w:rPr>
          <w:rFonts w:ascii="Arial" w:cs="Arial" w:eastAsia="Arial" w:hAnsi="Arial"/>
          <w:sz w:val="16"/>
          <w:szCs w:val="16"/>
          <w:color w:val="000000"/>
        </w:rPr>
        <w:t>Adjusted Property EBITDAR is an important measure of a property’s</w:t>
      </w:r>
      <w:r>
        <w:rPr>
          <w:rFonts w:ascii="Arial" w:cs="Arial" w:eastAsia="Arial" w:hAnsi="Arial"/>
          <w:sz w:val="16"/>
          <w:szCs w:val="16"/>
          <w:color w:val="351B3D"/>
        </w:rPr>
        <w:t xml:space="preserve"> </w:t>
      </w:r>
      <w:r>
        <w:rPr>
          <w:rFonts w:ascii="Arial" w:cs="Arial" w:eastAsia="Arial" w:hAnsi="Arial"/>
          <w:sz w:val="16"/>
          <w:szCs w:val="16"/>
          <w:color w:val="000000"/>
        </w:rPr>
        <w:t>performance within its market, a key driver of return on equity and essential element to the valuation of our Company and our stock price. Target achievement of this goal for 2024 required Adjusted Property EBITDAR to reach $1,080 million for our combined Las Vegas Operations and Encore Boston Harbor compared to Adjusted Property EBITDAR of $1,204 million achieved in 2023, a lifetime property record up until that point. The decrease in current year target Adjusted Property EBITDAR when compared to prior year actual Adjusted Property EBITDAR was in line with 2024 budgets which reflected an anticipated softness in the economy combined with a full year of union-related payroll costs and other inflationary pressures.</w:t>
      </w:r>
    </w:p>
    <w:p>
      <w:pPr>
        <w:spacing w:after="0" w:line="183" w:lineRule="exact"/>
        <w:rPr>
          <w:sz w:val="20"/>
          <w:szCs w:val="20"/>
          <w:color w:val="auto"/>
        </w:rPr>
      </w:pPr>
    </w:p>
    <w:p>
      <w:pPr>
        <w:sectPr>
          <w:pgSz w:w="11900" w:h="16838" w:orient="portrait"/>
          <w:cols w:equalWidth="0" w:num="2">
            <w:col w:w="740" w:space="300"/>
            <w:col w:w="10040"/>
          </w:cols>
          <w:pgMar w:left="320" w:top="478" w:right="499" w:bottom="1440" w:gutter="0" w:footer="0" w:header="0"/>
          <w:type w:val="continuous"/>
        </w:sectPr>
      </w:pPr>
    </w:p>
    <w:p>
      <w:pPr>
        <w:ind w:left="160"/>
        <w:spacing w:after="0"/>
        <w:rPr>
          <w:sz w:val="20"/>
          <w:szCs w:val="20"/>
          <w:color w:val="auto"/>
        </w:rPr>
      </w:pPr>
      <w:r>
        <w:rPr>
          <w:rFonts w:ascii="Arial" w:cs="Arial" w:eastAsia="Arial" w:hAnsi="Arial"/>
          <w:sz w:val="16"/>
          <w:szCs w:val="16"/>
          <w:color w:val="351B3D"/>
        </w:rPr>
        <w:t>Goal 2 –</w:t>
      </w:r>
    </w:p>
    <w:p>
      <w:pPr>
        <w:spacing w:after="0" w:line="20" w:lineRule="exact"/>
        <w:rPr>
          <w:sz w:val="20"/>
          <w:szCs w:val="20"/>
          <w:color w:val="auto"/>
        </w:rPr>
      </w:pPr>
      <w:r>
        <w:rPr>
          <w:sz w:val="20"/>
          <w:szCs w:val="20"/>
          <w:color w:val="auto"/>
        </w:rPr>
        <w:br w:type="column"/>
      </w:r>
    </w:p>
    <w:p>
      <w:pPr>
        <w:ind w:right="140"/>
        <w:spacing w:after="0" w:line="256" w:lineRule="auto"/>
        <w:rPr>
          <w:sz w:val="20"/>
          <w:szCs w:val="20"/>
          <w:color w:val="auto"/>
        </w:rPr>
      </w:pPr>
      <w:r>
        <w:rPr>
          <w:rFonts w:ascii="Arial" w:cs="Arial" w:eastAsia="Arial" w:hAnsi="Arial"/>
          <w:sz w:val="16"/>
          <w:szCs w:val="16"/>
          <w:color w:val="351B3D"/>
        </w:rPr>
        <w:t xml:space="preserve">Macau Operations, 2024 Adjusted Property EBITDAR (weighted 30%): </w:t>
      </w:r>
      <w:r>
        <w:rPr>
          <w:rFonts w:ascii="Arial" w:cs="Arial" w:eastAsia="Arial" w:hAnsi="Arial"/>
          <w:sz w:val="16"/>
          <w:szCs w:val="16"/>
          <w:color w:val="000000"/>
        </w:rPr>
        <w:t>Adjusted Property EBITDAR is an important measure of a property’s</w:t>
      </w:r>
      <w:r>
        <w:rPr>
          <w:rFonts w:ascii="Arial" w:cs="Arial" w:eastAsia="Arial" w:hAnsi="Arial"/>
          <w:sz w:val="16"/>
          <w:szCs w:val="16"/>
          <w:color w:val="351B3D"/>
        </w:rPr>
        <w:t xml:space="preserve"> </w:t>
      </w:r>
      <w:r>
        <w:rPr>
          <w:rFonts w:ascii="Arial" w:cs="Arial" w:eastAsia="Arial" w:hAnsi="Arial"/>
          <w:sz w:val="16"/>
          <w:szCs w:val="16"/>
          <w:color w:val="000000"/>
        </w:rPr>
        <w:t>performance within its market, a key driver of return on equity and essential element to the valuation of our Company and our stock price. Target achievement of this goal for 2024 required Adjusted Property EBITDAR to reach $1,175 million a significant increase from the Adjusted Property EBITDAR of $954 million in 2023.</w:t>
      </w:r>
    </w:p>
    <w:p>
      <w:pPr>
        <w:spacing w:after="0" w:line="200" w:lineRule="exact"/>
        <w:rPr>
          <w:sz w:val="20"/>
          <w:szCs w:val="20"/>
          <w:color w:val="auto"/>
        </w:rPr>
      </w:pPr>
    </w:p>
    <w:p>
      <w:pPr>
        <w:sectPr>
          <w:pgSz w:w="11900" w:h="16838" w:orient="portrait"/>
          <w:cols w:equalWidth="0" w:num="2">
            <w:col w:w="740" w:space="300"/>
            <w:col w:w="10040"/>
          </w:cols>
          <w:pgMar w:left="320" w:top="478" w:right="499" w:bottom="1440" w:gutter="0" w:footer="0" w:header="0"/>
          <w:type w:val="continuous"/>
        </w:sectPr>
      </w:pP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351B3D"/>
        </w:rPr>
        <w:t>Goal 3 –</w:t>
      </w:r>
    </w:p>
    <w:p>
      <w:pPr>
        <w:spacing w:after="0" w:line="20" w:lineRule="exact"/>
        <w:rPr>
          <w:sz w:val="20"/>
          <w:szCs w:val="20"/>
          <w:color w:val="auto"/>
        </w:rPr>
      </w:pPr>
      <w:r>
        <w:rPr>
          <w:sz w:val="20"/>
          <w:szCs w:val="20"/>
          <w:color w:val="auto"/>
        </w:rPr>
        <w:br w:type="column"/>
      </w:r>
    </w:p>
    <w:p>
      <w:pPr>
        <w:ind w:right="60"/>
        <w:spacing w:after="0" w:line="262" w:lineRule="auto"/>
        <w:rPr>
          <w:sz w:val="20"/>
          <w:szCs w:val="20"/>
          <w:color w:val="auto"/>
        </w:rPr>
      </w:pPr>
      <w:r>
        <w:rPr>
          <w:rFonts w:ascii="Arial" w:cs="Arial" w:eastAsia="Arial" w:hAnsi="Arial"/>
          <w:sz w:val="16"/>
          <w:szCs w:val="16"/>
          <w:color w:val="351B3D"/>
        </w:rPr>
        <w:t xml:space="preserve">Wynn Las Vegas, Market Share of Gross Gaming Revenues (weighted 10%): </w:t>
      </w:r>
      <w:r>
        <w:rPr>
          <w:rFonts w:ascii="Arial" w:cs="Arial" w:eastAsia="Arial" w:hAnsi="Arial"/>
          <w:sz w:val="16"/>
          <w:szCs w:val="16"/>
          <w:color w:val="000000"/>
        </w:rPr>
        <w:t>Coming off an all-time record in Adjusted Property EBITDAR in</w:t>
      </w:r>
      <w:r>
        <w:rPr>
          <w:rFonts w:ascii="Arial" w:cs="Arial" w:eastAsia="Arial" w:hAnsi="Arial"/>
          <w:sz w:val="16"/>
          <w:szCs w:val="16"/>
          <w:color w:val="351B3D"/>
        </w:rPr>
        <w:t xml:space="preserve"> </w:t>
      </w:r>
      <w:r>
        <w:rPr>
          <w:rFonts w:ascii="Arial" w:cs="Arial" w:eastAsia="Arial" w:hAnsi="Arial"/>
          <w:sz w:val="16"/>
          <w:szCs w:val="16"/>
          <w:color w:val="000000"/>
        </w:rPr>
        <w:t>2023, the Compensation Committee set a target gross gaming revenue market share goal for 2024 of 12.25%, well above our pre-COVID market share levels, to incentivize the Company to maintain a strong market share of the Las Vegas Strip gaming market.</w:t>
      </w:r>
    </w:p>
    <w:p>
      <w:pPr>
        <w:spacing w:after="0" w:line="200" w:lineRule="exact"/>
        <w:rPr>
          <w:sz w:val="20"/>
          <w:szCs w:val="20"/>
          <w:color w:val="auto"/>
        </w:rPr>
      </w:pPr>
    </w:p>
    <w:p>
      <w:pPr>
        <w:sectPr>
          <w:pgSz w:w="11900" w:h="16838" w:orient="portrait"/>
          <w:cols w:equalWidth="0" w:num="2">
            <w:col w:w="740" w:space="300"/>
            <w:col w:w="10040"/>
          </w:cols>
          <w:pgMar w:left="320" w:top="478" w:right="499" w:bottom="1440" w:gutter="0" w:footer="0" w:header="0"/>
          <w:type w:val="continuous"/>
        </w:sectPr>
      </w:pPr>
    </w:p>
    <w:p>
      <w:pPr>
        <w:ind w:left="160"/>
        <w:spacing w:after="0"/>
        <w:rPr>
          <w:sz w:val="20"/>
          <w:szCs w:val="20"/>
          <w:color w:val="auto"/>
        </w:rPr>
      </w:pPr>
      <w:r>
        <w:rPr>
          <w:rFonts w:ascii="Arial" w:cs="Arial" w:eastAsia="Arial" w:hAnsi="Arial"/>
          <w:sz w:val="16"/>
          <w:szCs w:val="16"/>
          <w:color w:val="351B3D"/>
        </w:rPr>
        <w:t>Goal 4 –</w:t>
      </w:r>
    </w:p>
    <w:p>
      <w:pPr>
        <w:spacing w:after="0" w:line="20" w:lineRule="exact"/>
        <w:rPr>
          <w:sz w:val="20"/>
          <w:szCs w:val="20"/>
          <w:color w:val="auto"/>
        </w:rPr>
      </w:pPr>
      <w:r>
        <w:rPr>
          <w:sz w:val="20"/>
          <w:szCs w:val="20"/>
          <w:color w:val="auto"/>
        </w:rPr>
        <w:br w:type="column"/>
      </w:r>
    </w:p>
    <w:p>
      <w:pPr>
        <w:jc w:val="both"/>
        <w:ind w:right="140"/>
        <w:spacing w:after="0" w:line="262" w:lineRule="auto"/>
        <w:rPr>
          <w:sz w:val="20"/>
          <w:szCs w:val="20"/>
          <w:color w:val="auto"/>
        </w:rPr>
      </w:pPr>
      <w:r>
        <w:rPr>
          <w:rFonts w:ascii="Arial" w:cs="Arial" w:eastAsia="Arial" w:hAnsi="Arial"/>
          <w:sz w:val="16"/>
          <w:szCs w:val="16"/>
          <w:color w:val="351B3D"/>
        </w:rPr>
        <w:t xml:space="preserve">Macau Operations, Market Share of Gross Gaming Revenues (weighted 10%): </w:t>
      </w:r>
      <w:r>
        <w:rPr>
          <w:rFonts w:ascii="Arial" w:cs="Arial" w:eastAsia="Arial" w:hAnsi="Arial"/>
          <w:sz w:val="16"/>
          <w:szCs w:val="16"/>
          <w:color w:val="000000"/>
        </w:rPr>
        <w:t>For 2024, the Compensation Committee reinstituted a target</w:t>
      </w:r>
      <w:r>
        <w:rPr>
          <w:rFonts w:ascii="Arial" w:cs="Arial" w:eastAsia="Arial" w:hAnsi="Arial"/>
          <w:sz w:val="16"/>
          <w:szCs w:val="16"/>
          <w:color w:val="351B3D"/>
        </w:rPr>
        <w:t xml:space="preserve"> </w:t>
      </w:r>
      <w:r>
        <w:rPr>
          <w:rFonts w:ascii="Arial" w:cs="Arial" w:eastAsia="Arial" w:hAnsi="Arial"/>
          <w:sz w:val="16"/>
          <w:szCs w:val="16"/>
          <w:color w:val="000000"/>
        </w:rPr>
        <w:t>gross gaming revenue market share metric of 14% to incentivize the Company to maintain its pre-COVID market share levels in the Macau gaming market.</w:t>
      </w:r>
    </w:p>
    <w:p>
      <w:pPr>
        <w:spacing w:after="0" w:line="200" w:lineRule="exact"/>
        <w:rPr>
          <w:sz w:val="20"/>
          <w:szCs w:val="20"/>
          <w:color w:val="auto"/>
        </w:rPr>
      </w:pPr>
    </w:p>
    <w:p>
      <w:pPr>
        <w:sectPr>
          <w:pgSz w:w="11900" w:h="16838" w:orient="portrait"/>
          <w:cols w:equalWidth="0" w:num="2">
            <w:col w:w="740" w:space="300"/>
            <w:col w:w="10040"/>
          </w:cols>
          <w:pgMar w:left="320" w:top="478" w:right="499" w:bottom="1440" w:gutter="0" w:footer="0" w:header="0"/>
          <w:type w:val="continuous"/>
        </w:sectPr>
      </w:pPr>
    </w:p>
    <w:p>
      <w:pPr>
        <w:ind w:left="160"/>
        <w:spacing w:after="0"/>
        <w:rPr>
          <w:sz w:val="20"/>
          <w:szCs w:val="20"/>
          <w:color w:val="auto"/>
        </w:rPr>
      </w:pPr>
      <w:r>
        <w:rPr>
          <w:rFonts w:ascii="Arial" w:cs="Arial" w:eastAsia="Arial" w:hAnsi="Arial"/>
          <w:sz w:val="16"/>
          <w:szCs w:val="16"/>
          <w:color w:val="351B3D"/>
        </w:rPr>
        <w:t>Goal 5 –</w:t>
      </w:r>
    </w:p>
    <w:p>
      <w:pPr>
        <w:spacing w:after="0" w:line="20" w:lineRule="exact"/>
        <w:rPr>
          <w:sz w:val="20"/>
          <w:szCs w:val="20"/>
          <w:color w:val="auto"/>
        </w:rPr>
      </w:pPr>
      <w:r>
        <w:rPr>
          <w:sz w:val="20"/>
          <w:szCs w:val="20"/>
          <w:color w:val="auto"/>
        </w:rPr>
        <w:br w:type="column"/>
      </w:r>
    </w:p>
    <w:p>
      <w:pPr>
        <w:ind w:right="140"/>
        <w:spacing w:after="0" w:line="256" w:lineRule="auto"/>
        <w:rPr>
          <w:sz w:val="20"/>
          <w:szCs w:val="20"/>
          <w:color w:val="auto"/>
        </w:rPr>
      </w:pPr>
      <w:r>
        <w:rPr>
          <w:rFonts w:ascii="Arial" w:cs="Arial" w:eastAsia="Arial" w:hAnsi="Arial"/>
          <w:sz w:val="16"/>
          <w:szCs w:val="16"/>
          <w:color w:val="351B3D"/>
        </w:rPr>
        <w:t xml:space="preserve">Wynn Las Vegas, Achievement of Forbes Five-Star (weighted 10%): </w:t>
      </w:r>
      <w:r>
        <w:rPr>
          <w:rFonts w:ascii="Arial" w:cs="Arial" w:eastAsia="Arial" w:hAnsi="Arial"/>
          <w:sz w:val="16"/>
          <w:szCs w:val="16"/>
          <w:color w:val="000000"/>
        </w:rPr>
        <w:t>Our Company is laser-focused on providing superior service to our</w:t>
      </w:r>
      <w:r>
        <w:rPr>
          <w:rFonts w:ascii="Arial" w:cs="Arial" w:eastAsia="Arial" w:hAnsi="Arial"/>
          <w:sz w:val="16"/>
          <w:szCs w:val="16"/>
          <w:color w:val="351B3D"/>
        </w:rPr>
        <w:t xml:space="preserve"> </w:t>
      </w:r>
      <w:r>
        <w:rPr>
          <w:rFonts w:ascii="Arial" w:cs="Arial" w:eastAsia="Arial" w:hAnsi="Arial"/>
          <w:sz w:val="16"/>
          <w:szCs w:val="16"/>
          <w:color w:val="000000"/>
        </w:rPr>
        <w:t>guests. Achieving a Forbes Travel Guide Five-Star ranking requires near impeccable quality throughout the year. The Compensation Committee set the achievement of a Forbes Five-Star rating for Wynn Las Vegas to ensure management maintained our superior standards while also seeking to maximize Adjusted Property EBITDAR.</w:t>
      </w:r>
    </w:p>
    <w:p>
      <w:pPr>
        <w:spacing w:after="0" w:line="200" w:lineRule="exact"/>
        <w:rPr>
          <w:sz w:val="20"/>
          <w:szCs w:val="20"/>
          <w:color w:val="auto"/>
        </w:rPr>
      </w:pPr>
    </w:p>
    <w:p>
      <w:pPr>
        <w:sectPr>
          <w:pgSz w:w="11900" w:h="16838" w:orient="portrait"/>
          <w:cols w:equalWidth="0" w:num="2">
            <w:col w:w="740" w:space="300"/>
            <w:col w:w="10040"/>
          </w:cols>
          <w:pgMar w:left="320" w:top="478" w:right="499" w:bottom="1440" w:gutter="0" w:footer="0" w:header="0"/>
          <w:type w:val="continuous"/>
        </w:sectPr>
      </w:pP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351B3D"/>
        </w:rPr>
        <w:t>Goal 6 –</w:t>
      </w:r>
    </w:p>
    <w:p>
      <w:pPr>
        <w:spacing w:after="0" w:line="20" w:lineRule="exact"/>
        <w:rPr>
          <w:sz w:val="20"/>
          <w:szCs w:val="20"/>
          <w:color w:val="auto"/>
        </w:rPr>
      </w:pPr>
      <w:r>
        <w:rPr>
          <w:sz w:val="20"/>
          <w:szCs w:val="20"/>
          <w:color w:val="auto"/>
        </w:rPr>
        <w:br w:type="column"/>
      </w:r>
    </w:p>
    <w:p>
      <w:pPr>
        <w:ind w:right="40"/>
        <w:spacing w:after="0" w:line="251" w:lineRule="auto"/>
        <w:rPr>
          <w:sz w:val="20"/>
          <w:szCs w:val="20"/>
          <w:color w:val="auto"/>
        </w:rPr>
      </w:pPr>
      <w:r>
        <w:rPr>
          <w:rFonts w:ascii="Arial" w:cs="Arial" w:eastAsia="Arial" w:hAnsi="Arial"/>
          <w:sz w:val="16"/>
          <w:szCs w:val="16"/>
          <w:color w:val="351B3D"/>
        </w:rPr>
        <w:t xml:space="preserve">Wynn Al-Marjan Island Project in the United Arab Emirates, Advancement of Design and Development (weighted 10%): </w:t>
      </w:r>
      <w:r>
        <w:rPr>
          <w:rFonts w:ascii="Arial" w:cs="Arial" w:eastAsia="Arial" w:hAnsi="Arial"/>
          <w:sz w:val="16"/>
          <w:szCs w:val="16"/>
          <w:color w:val="000000"/>
        </w:rPr>
        <w:t>The Company’s</w:t>
      </w:r>
      <w:r>
        <w:rPr>
          <w:rFonts w:ascii="Arial" w:cs="Arial" w:eastAsia="Arial" w:hAnsi="Arial"/>
          <w:sz w:val="16"/>
          <w:szCs w:val="16"/>
          <w:color w:val="351B3D"/>
        </w:rPr>
        <w:t xml:space="preserve"> </w:t>
      </w:r>
      <w:r>
        <w:rPr>
          <w:rFonts w:ascii="Arial" w:cs="Arial" w:eastAsia="Arial" w:hAnsi="Arial"/>
          <w:sz w:val="16"/>
          <w:szCs w:val="16"/>
          <w:color w:val="000000"/>
        </w:rPr>
        <w:t>ability to develop new “greenfield” integrated resorts and cultivate new gaming markets is instrumental to the creation of long-term shareholder value. The Compensation Committee sought to incentivize management to drive the construction of its Wynn Al Marjan Island property by instituting a performance metric to achieve target completion of at least level 30 of the tower level floor plates. The Compensation Committee expects the successful development of a casino resort in this region will further diversify the Company’s property portfolio, extend the Wynn brand internationally, and drive strong long-term returns for shareholders.</w:t>
      </w:r>
    </w:p>
    <w:p>
      <w:pPr>
        <w:spacing w:after="0" w:line="112" w:lineRule="exact"/>
        <w:rPr>
          <w:sz w:val="20"/>
          <w:szCs w:val="20"/>
          <w:color w:val="auto"/>
        </w:rPr>
      </w:pPr>
    </w:p>
    <w:p>
      <w:pPr>
        <w:sectPr>
          <w:pgSz w:w="11900" w:h="16838" w:orient="portrait"/>
          <w:cols w:equalWidth="0" w:num="2">
            <w:col w:w="740" w:space="300"/>
            <w:col w:w="10040"/>
          </w:cols>
          <w:pgMar w:left="320" w:top="478" w:right="499" w:bottom="1440" w:gutter="0" w:footer="0" w:header="0"/>
          <w:type w:val="continuous"/>
        </w:sectPr>
      </w:pPr>
    </w:p>
    <w:p>
      <w:pPr>
        <w:ind w:left="10940"/>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080"/>
          </w:cols>
          <w:pgMar w:left="320" w:top="478" w:right="49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color w:val="auto"/>
        </w:rPr>
        <w:t>These awards were subject to (i) the limitations set forth in the Wynn Resorts, Limited Amended and Restated 2014 Omnibus Incentive Plan, as it may be amended from time to time (the “Omnibus Plan”), including the cash and stock grant limits and requirements of continued employment through the end of the calendar year performance period, and (ii) the Compensation Committee’s right, in its discretion, to reduce actual award amounts paid, taking into account other performance considerations, including corporate, property level and individual performance, as well as general macroeconomic conditions.</w:t>
      </w:r>
    </w:p>
    <w:p>
      <w:pPr>
        <w:spacing w:after="0" w:line="2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45"/>
          <w:szCs w:val="45"/>
          <w:color w:val="140F21"/>
        </w:rPr>
        <w:t>2024 Annual Incentive Payout:</w:t>
      </w:r>
    </w:p>
    <w:p>
      <w:pPr>
        <w:spacing w:after="0" w:line="34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table reflects our performance against each of the 2024 goals ($’s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6424930</wp:posOffset>
            </wp:positionH>
            <wp:positionV relativeFrom="paragraph">
              <wp:posOffset>240030</wp:posOffset>
            </wp:positionV>
            <wp:extent cx="8255" cy="2683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2683510"/>
                    </a:xfrm>
                    <a:prstGeom prst="rect">
                      <a:avLst/>
                    </a:prstGeom>
                    <a:noFill/>
                  </pic:spPr>
                </pic:pic>
              </a:graphicData>
            </a:graphic>
          </wp:anchor>
        </w:drawing>
        <w:drawing>
          <wp:anchor simplePos="0" relativeHeight="251657728" behindDoc="1" locked="0" layoutInCell="0" allowOverlap="1">
            <wp:simplePos x="0" y="0"/>
            <wp:positionH relativeFrom="column">
              <wp:posOffset>5745480</wp:posOffset>
            </wp:positionH>
            <wp:positionV relativeFrom="paragraph">
              <wp:posOffset>240030</wp:posOffset>
            </wp:positionV>
            <wp:extent cx="8255" cy="2683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2683510"/>
                    </a:xfrm>
                    <a:prstGeom prst="rect">
                      <a:avLst/>
                    </a:prstGeom>
                    <a:noFill/>
                  </pic:spPr>
                </pic:pic>
              </a:graphicData>
            </a:graphic>
          </wp:anchor>
        </w:drawing>
        <w:drawing>
          <wp:anchor simplePos="0" relativeHeight="251657728" behindDoc="1" locked="0" layoutInCell="0" allowOverlap="1">
            <wp:simplePos x="0" y="0"/>
            <wp:positionH relativeFrom="column">
              <wp:posOffset>5066030</wp:posOffset>
            </wp:positionH>
            <wp:positionV relativeFrom="paragraph">
              <wp:posOffset>240030</wp:posOffset>
            </wp:positionV>
            <wp:extent cx="8255" cy="2683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2683510"/>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240030</wp:posOffset>
            </wp:positionV>
            <wp:extent cx="8255" cy="2683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2683510"/>
                    </a:xfrm>
                    <a:prstGeom prst="rect">
                      <a:avLst/>
                    </a:prstGeom>
                    <a:noFill/>
                  </pic:spPr>
                </pic:pic>
              </a:graphicData>
            </a:graphic>
          </wp:anchor>
        </w:drawing>
        <w:drawing>
          <wp:anchor simplePos="0" relativeHeight="251657728" behindDoc="1" locked="0" layoutInCell="0" allowOverlap="1">
            <wp:simplePos x="0" y="0"/>
            <wp:positionH relativeFrom="column">
              <wp:posOffset>3707130</wp:posOffset>
            </wp:positionH>
            <wp:positionV relativeFrom="paragraph">
              <wp:posOffset>240030</wp:posOffset>
            </wp:positionV>
            <wp:extent cx="8255" cy="2683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2683510"/>
                    </a:xfrm>
                    <a:prstGeom prst="rect">
                      <a:avLst/>
                    </a:prstGeom>
                    <a:noFill/>
                  </pic:spPr>
                </pic:pic>
              </a:graphicData>
            </a:graphic>
          </wp:anchor>
        </w:drawing>
        <w:drawing>
          <wp:anchor simplePos="0" relativeHeight="251657728" behindDoc="1" locked="0" layoutInCell="0" allowOverlap="1">
            <wp:simplePos x="0" y="0"/>
            <wp:positionH relativeFrom="column">
              <wp:posOffset>3223260</wp:posOffset>
            </wp:positionH>
            <wp:positionV relativeFrom="paragraph">
              <wp:posOffset>240030</wp:posOffset>
            </wp:positionV>
            <wp:extent cx="8255" cy="2683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2683510"/>
                    </a:xfrm>
                    <a:prstGeom prst="rect">
                      <a:avLst/>
                    </a:prstGeom>
                    <a:noFill/>
                  </pic:spPr>
                </pic:pic>
              </a:graphicData>
            </a:graphic>
          </wp:anchor>
        </w:drawing>
      </w:r>
    </w:p>
    <w:p>
      <w:pPr>
        <w:spacing w:after="0" w:line="358"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600" w:type="dxa"/>
            <w:vAlign w:val="bottom"/>
            <w:shd w:val="clear" w:color="auto" w:fill="351B3D"/>
          </w:tcPr>
          <w:p>
            <w:pPr>
              <w:spacing w:after="0"/>
              <w:rPr>
                <w:sz w:val="15"/>
                <w:szCs w:val="15"/>
                <w:color w:val="auto"/>
              </w:rPr>
            </w:pPr>
          </w:p>
        </w:tc>
        <w:tc>
          <w:tcPr>
            <w:tcW w:w="4320" w:type="dxa"/>
            <w:vAlign w:val="bottom"/>
            <w:shd w:val="clear" w:color="auto" w:fill="351B3D"/>
          </w:tcPr>
          <w:p>
            <w:pPr>
              <w:spacing w:after="0"/>
              <w:rPr>
                <w:sz w:val="15"/>
                <w:szCs w:val="15"/>
                <w:color w:val="auto"/>
              </w:rPr>
            </w:pPr>
          </w:p>
        </w:tc>
        <w:tc>
          <w:tcPr>
            <w:tcW w:w="680" w:type="dxa"/>
            <w:vAlign w:val="bottom"/>
            <w:shd w:val="clear" w:color="auto" w:fill="351B3D"/>
          </w:tcPr>
          <w:p>
            <w:pPr>
              <w:spacing w:after="0"/>
              <w:rPr>
                <w:sz w:val="15"/>
                <w:szCs w:val="15"/>
                <w:color w:val="auto"/>
              </w:rPr>
            </w:pPr>
          </w:p>
        </w:tc>
        <w:tc>
          <w:tcPr>
            <w:tcW w:w="220" w:type="dxa"/>
            <w:vAlign w:val="bottom"/>
            <w:shd w:val="clear" w:color="auto" w:fill="351B3D"/>
          </w:tcPr>
          <w:p>
            <w:pPr>
              <w:spacing w:after="0"/>
              <w:rPr>
                <w:sz w:val="15"/>
                <w:szCs w:val="15"/>
                <w:color w:val="auto"/>
              </w:rPr>
            </w:pPr>
          </w:p>
        </w:tc>
        <w:tc>
          <w:tcPr>
            <w:tcW w:w="900" w:type="dxa"/>
            <w:vAlign w:val="bottom"/>
            <w:shd w:val="clear" w:color="auto" w:fill="351B3D"/>
          </w:tcPr>
          <w:p>
            <w:pPr>
              <w:jc w:val="right"/>
              <w:ind w:right="91"/>
              <w:spacing w:after="0"/>
              <w:rPr>
                <w:sz w:val="20"/>
                <w:szCs w:val="20"/>
                <w:color w:val="auto"/>
              </w:rPr>
            </w:pPr>
            <w:r>
              <w:rPr>
                <w:rFonts w:ascii="Arial" w:cs="Arial" w:eastAsia="Arial" w:hAnsi="Arial"/>
                <w:sz w:val="11"/>
                <w:szCs w:val="11"/>
                <w:color w:val="FFFFFF"/>
                <w:w w:val="90"/>
              </w:rPr>
              <w:t>   THRESHOLD</w:t>
            </w:r>
          </w:p>
        </w:tc>
        <w:tc>
          <w:tcPr>
            <w:tcW w:w="160" w:type="dxa"/>
            <w:vAlign w:val="bottom"/>
            <w:shd w:val="clear" w:color="auto" w:fill="351B3D"/>
          </w:tcPr>
          <w:p>
            <w:pPr>
              <w:spacing w:after="0"/>
              <w:rPr>
                <w:sz w:val="15"/>
                <w:szCs w:val="15"/>
                <w:color w:val="auto"/>
              </w:rPr>
            </w:pPr>
          </w:p>
        </w:tc>
        <w:tc>
          <w:tcPr>
            <w:tcW w:w="920" w:type="dxa"/>
            <w:vAlign w:val="bottom"/>
            <w:shd w:val="clear" w:color="auto" w:fill="351B3D"/>
          </w:tcPr>
          <w:p>
            <w:pPr>
              <w:jc w:val="right"/>
              <w:ind w:right="171"/>
              <w:spacing w:after="0"/>
              <w:rPr>
                <w:sz w:val="20"/>
                <w:szCs w:val="20"/>
                <w:color w:val="auto"/>
              </w:rPr>
            </w:pPr>
            <w:r>
              <w:rPr>
                <w:rFonts w:ascii="Arial" w:cs="Arial" w:eastAsia="Arial" w:hAnsi="Arial"/>
                <w:sz w:val="11"/>
                <w:szCs w:val="11"/>
                <w:color w:val="FFFFFF"/>
                <w:w w:val="98"/>
              </w:rPr>
              <w:t>      TARGET</w:t>
            </w:r>
          </w:p>
        </w:tc>
        <w:tc>
          <w:tcPr>
            <w:tcW w:w="200" w:type="dxa"/>
            <w:vAlign w:val="bottom"/>
            <w:shd w:val="clear" w:color="auto" w:fill="351B3D"/>
          </w:tcPr>
          <w:p>
            <w:pPr>
              <w:spacing w:after="0"/>
              <w:rPr>
                <w:sz w:val="15"/>
                <w:szCs w:val="15"/>
                <w:color w:val="auto"/>
              </w:rPr>
            </w:pPr>
          </w:p>
        </w:tc>
        <w:tc>
          <w:tcPr>
            <w:tcW w:w="860" w:type="dxa"/>
            <w:vAlign w:val="bottom"/>
            <w:shd w:val="clear" w:color="auto" w:fill="351B3D"/>
          </w:tcPr>
          <w:p>
            <w:pPr>
              <w:jc w:val="right"/>
              <w:ind w:right="151"/>
              <w:spacing w:after="0"/>
              <w:rPr>
                <w:sz w:val="20"/>
                <w:szCs w:val="20"/>
                <w:color w:val="auto"/>
              </w:rPr>
            </w:pPr>
            <w:r>
              <w:rPr>
                <w:rFonts w:ascii="Arial" w:cs="Arial" w:eastAsia="Arial" w:hAnsi="Arial"/>
                <w:sz w:val="11"/>
                <w:szCs w:val="11"/>
                <w:color w:val="FFFFFF"/>
                <w:w w:val="96"/>
              </w:rPr>
              <w:t>   MAXIMUM</w:t>
            </w:r>
          </w:p>
        </w:tc>
        <w:tc>
          <w:tcPr>
            <w:tcW w:w="220" w:type="dxa"/>
            <w:vAlign w:val="bottom"/>
            <w:shd w:val="clear" w:color="auto" w:fill="351B3D"/>
          </w:tcPr>
          <w:p>
            <w:pPr>
              <w:spacing w:after="0"/>
              <w:rPr>
                <w:sz w:val="15"/>
                <w:szCs w:val="15"/>
                <w:color w:val="auto"/>
              </w:rPr>
            </w:pPr>
          </w:p>
        </w:tc>
        <w:tc>
          <w:tcPr>
            <w:tcW w:w="920" w:type="dxa"/>
            <w:vAlign w:val="bottom"/>
            <w:shd w:val="clear" w:color="auto" w:fill="351B3D"/>
          </w:tcPr>
          <w:p>
            <w:pPr>
              <w:ind w:left="80"/>
              <w:spacing w:after="0"/>
              <w:rPr>
                <w:sz w:val="20"/>
                <w:szCs w:val="20"/>
                <w:color w:val="auto"/>
              </w:rPr>
            </w:pPr>
            <w:r>
              <w:rPr>
                <w:rFonts w:ascii="Arial" w:cs="Arial" w:eastAsia="Arial" w:hAnsi="Arial"/>
                <w:sz w:val="11"/>
                <w:szCs w:val="11"/>
                <w:color w:val="FFFFFF"/>
              </w:rPr>
              <w:t>   ACTUAL</w:t>
            </w:r>
          </w:p>
        </w:tc>
        <w:tc>
          <w:tcPr>
            <w:tcW w:w="920" w:type="dxa"/>
            <w:vAlign w:val="bottom"/>
            <w:shd w:val="clear" w:color="auto" w:fill="351B3D"/>
          </w:tcPr>
          <w:p>
            <w:pPr>
              <w:spacing w:after="0"/>
              <w:rPr>
                <w:sz w:val="15"/>
                <w:szCs w:val="15"/>
                <w:color w:val="auto"/>
              </w:rPr>
            </w:pPr>
          </w:p>
        </w:tc>
      </w:tr>
      <w:tr>
        <w:trPr>
          <w:trHeight w:val="180"/>
        </w:trPr>
        <w:tc>
          <w:tcPr>
            <w:tcW w:w="600" w:type="dxa"/>
            <w:vAlign w:val="bottom"/>
            <w:tcBorders>
              <w:bottom w:val="single" w:sz="8" w:color="351B3D"/>
            </w:tcBorders>
            <w:shd w:val="clear" w:color="auto" w:fill="351B3D"/>
          </w:tcPr>
          <w:p>
            <w:pPr>
              <w:ind w:left="80"/>
              <w:spacing w:after="0"/>
              <w:rPr>
                <w:sz w:val="20"/>
                <w:szCs w:val="20"/>
                <w:color w:val="auto"/>
              </w:rPr>
            </w:pPr>
            <w:r>
              <w:rPr>
                <w:rFonts w:ascii="Arial" w:cs="Arial" w:eastAsia="Arial" w:hAnsi="Arial"/>
                <w:sz w:val="11"/>
                <w:szCs w:val="11"/>
                <w:color w:val="FFFFFF"/>
              </w:rPr>
              <w:t>METRIC</w:t>
            </w:r>
          </w:p>
        </w:tc>
        <w:tc>
          <w:tcPr>
            <w:tcW w:w="4320" w:type="dxa"/>
            <w:vAlign w:val="bottom"/>
            <w:tcBorders>
              <w:bottom w:val="single" w:sz="8" w:color="351B3D"/>
            </w:tcBorders>
            <w:shd w:val="clear" w:color="auto" w:fill="351B3D"/>
          </w:tcPr>
          <w:p>
            <w:pPr>
              <w:spacing w:after="0"/>
              <w:rPr>
                <w:sz w:val="15"/>
                <w:szCs w:val="15"/>
                <w:color w:val="auto"/>
              </w:rPr>
            </w:pPr>
          </w:p>
        </w:tc>
        <w:tc>
          <w:tcPr>
            <w:tcW w:w="1800" w:type="dxa"/>
            <w:vAlign w:val="bottom"/>
            <w:tcBorders>
              <w:bottom w:val="single" w:sz="8" w:color="351B3D"/>
            </w:tcBorders>
            <w:gridSpan w:val="3"/>
            <w:shd w:val="clear" w:color="auto" w:fill="351B3D"/>
          </w:tcPr>
          <w:p>
            <w:pPr>
              <w:jc w:val="right"/>
              <w:ind w:right="11"/>
              <w:spacing w:after="0"/>
              <w:rPr>
                <w:sz w:val="20"/>
                <w:szCs w:val="20"/>
                <w:color w:val="auto"/>
              </w:rPr>
            </w:pPr>
            <w:r>
              <w:rPr>
                <w:rFonts w:ascii="Arial" w:cs="Arial" w:eastAsia="Arial" w:hAnsi="Arial"/>
                <w:sz w:val="11"/>
                <w:szCs w:val="11"/>
                <w:color w:val="FFFFFF"/>
                <w:w w:val="98"/>
              </w:rPr>
              <w:t>WEIGHTING       PERFORMANCE</w:t>
            </w:r>
          </w:p>
        </w:tc>
        <w:tc>
          <w:tcPr>
            <w:tcW w:w="1080" w:type="dxa"/>
            <w:vAlign w:val="bottom"/>
            <w:tcBorders>
              <w:bottom w:val="single" w:sz="8" w:color="351B3D"/>
            </w:tcBorders>
            <w:gridSpan w:val="2"/>
            <w:shd w:val="clear" w:color="auto" w:fill="351B3D"/>
          </w:tcPr>
          <w:p>
            <w:pPr>
              <w:jc w:val="right"/>
              <w:ind w:right="11"/>
              <w:spacing w:after="0"/>
              <w:rPr>
                <w:sz w:val="20"/>
                <w:szCs w:val="20"/>
                <w:color w:val="auto"/>
              </w:rPr>
            </w:pPr>
            <w:r>
              <w:rPr>
                <w:rFonts w:ascii="Arial" w:cs="Arial" w:eastAsia="Arial" w:hAnsi="Arial"/>
                <w:sz w:val="11"/>
                <w:szCs w:val="11"/>
                <w:color w:val="FFFFFF"/>
              </w:rPr>
              <w:t>   PERFORMANCE</w:t>
            </w:r>
          </w:p>
        </w:tc>
        <w:tc>
          <w:tcPr>
            <w:tcW w:w="1060" w:type="dxa"/>
            <w:vAlign w:val="bottom"/>
            <w:tcBorders>
              <w:bottom w:val="single" w:sz="8" w:color="351B3D"/>
            </w:tcBorders>
            <w:gridSpan w:val="2"/>
            <w:shd w:val="clear" w:color="auto" w:fill="351B3D"/>
          </w:tcPr>
          <w:p>
            <w:pPr>
              <w:ind w:left="80"/>
              <w:spacing w:after="0"/>
              <w:rPr>
                <w:sz w:val="20"/>
                <w:szCs w:val="20"/>
                <w:color w:val="auto"/>
              </w:rPr>
            </w:pPr>
            <w:r>
              <w:rPr>
                <w:rFonts w:ascii="Arial" w:cs="Arial" w:eastAsia="Arial" w:hAnsi="Arial"/>
                <w:sz w:val="11"/>
                <w:szCs w:val="11"/>
                <w:color w:val="FFFFFF"/>
                <w:w w:val="99"/>
              </w:rPr>
              <w:t>   PERFORMANCE</w:t>
            </w:r>
          </w:p>
        </w:tc>
        <w:tc>
          <w:tcPr>
            <w:tcW w:w="1140" w:type="dxa"/>
            <w:vAlign w:val="bottom"/>
            <w:tcBorders>
              <w:bottom w:val="single" w:sz="8" w:color="351B3D"/>
            </w:tcBorders>
            <w:gridSpan w:val="2"/>
            <w:shd w:val="clear" w:color="auto" w:fill="351B3D"/>
          </w:tcPr>
          <w:p>
            <w:pPr>
              <w:ind w:left="80"/>
              <w:spacing w:after="0"/>
              <w:rPr>
                <w:sz w:val="20"/>
                <w:szCs w:val="20"/>
                <w:color w:val="auto"/>
              </w:rPr>
            </w:pPr>
            <w:r>
              <w:rPr>
                <w:rFonts w:ascii="Arial" w:cs="Arial" w:eastAsia="Arial" w:hAnsi="Arial"/>
                <w:sz w:val="11"/>
                <w:szCs w:val="11"/>
                <w:color w:val="FFFFFF"/>
              </w:rPr>
              <w:t>   PERFORMANCE</w:t>
            </w:r>
          </w:p>
        </w:tc>
        <w:tc>
          <w:tcPr>
            <w:tcW w:w="920" w:type="dxa"/>
            <w:vAlign w:val="bottom"/>
            <w:tcBorders>
              <w:bottom w:val="single" w:sz="8" w:color="351B3D"/>
            </w:tcBorders>
            <w:shd w:val="clear" w:color="auto" w:fill="351B3D"/>
          </w:tcPr>
          <w:p>
            <w:pPr>
              <w:jc w:val="center"/>
              <w:spacing w:after="0"/>
              <w:rPr>
                <w:sz w:val="20"/>
                <w:szCs w:val="20"/>
                <w:color w:val="auto"/>
              </w:rPr>
            </w:pPr>
            <w:r>
              <w:rPr>
                <w:rFonts w:ascii="Arial" w:cs="Arial" w:eastAsia="Arial" w:hAnsi="Arial"/>
                <w:sz w:val="11"/>
                <w:szCs w:val="11"/>
                <w:color w:val="FFFFFF"/>
              </w:rPr>
              <w:t xml:space="preserve">OUTCOME   </w:t>
            </w:r>
          </w:p>
        </w:tc>
      </w:tr>
      <w:tr>
        <w:trPr>
          <w:trHeight w:val="258"/>
        </w:trPr>
        <w:tc>
          <w:tcPr>
            <w:tcW w:w="600" w:type="dxa"/>
            <w:vAlign w:val="bottom"/>
            <w:shd w:val="clear" w:color="auto" w:fill="D6D1D8"/>
          </w:tcPr>
          <w:p>
            <w:pPr>
              <w:ind w:left="80"/>
              <w:spacing w:after="0"/>
              <w:rPr>
                <w:sz w:val="20"/>
                <w:szCs w:val="20"/>
                <w:color w:val="auto"/>
              </w:rPr>
            </w:pPr>
            <w:r>
              <w:rPr>
                <w:rFonts w:ascii="Arial" w:cs="Arial" w:eastAsia="Arial" w:hAnsi="Arial"/>
                <w:sz w:val="14"/>
                <w:szCs w:val="14"/>
                <w:color w:val="auto"/>
                <w:w w:val="99"/>
              </w:rPr>
              <w:t>Goal  1 -</w:t>
            </w:r>
          </w:p>
        </w:tc>
        <w:tc>
          <w:tcPr>
            <w:tcW w:w="4320" w:type="dxa"/>
            <w:vAlign w:val="bottom"/>
            <w:shd w:val="clear" w:color="auto" w:fill="D6D1D8"/>
          </w:tcPr>
          <w:p>
            <w:pPr>
              <w:ind w:left="100"/>
              <w:spacing w:after="0"/>
              <w:rPr>
                <w:sz w:val="20"/>
                <w:szCs w:val="20"/>
                <w:color w:val="auto"/>
              </w:rPr>
            </w:pPr>
            <w:r>
              <w:rPr>
                <w:rFonts w:ascii="Arial" w:cs="Arial" w:eastAsia="Arial" w:hAnsi="Arial"/>
                <w:sz w:val="14"/>
                <w:szCs w:val="14"/>
                <w:color w:val="auto"/>
              </w:rPr>
              <w:t>North America,</w:t>
            </w:r>
          </w:p>
        </w:tc>
        <w:tc>
          <w:tcPr>
            <w:tcW w:w="680" w:type="dxa"/>
            <w:vAlign w:val="bottom"/>
            <w:shd w:val="clear" w:color="auto" w:fill="D6D1D8"/>
          </w:tcPr>
          <w:p>
            <w:pPr>
              <w:spacing w:after="0"/>
              <w:rPr>
                <w:sz w:val="22"/>
                <w:szCs w:val="22"/>
                <w:color w:val="auto"/>
              </w:rPr>
            </w:pPr>
          </w:p>
        </w:tc>
        <w:tc>
          <w:tcPr>
            <w:tcW w:w="220" w:type="dxa"/>
            <w:vAlign w:val="bottom"/>
            <w:shd w:val="clear" w:color="auto" w:fill="D6D1D8"/>
          </w:tcPr>
          <w:p>
            <w:pPr>
              <w:spacing w:after="0"/>
              <w:rPr>
                <w:sz w:val="22"/>
                <w:szCs w:val="22"/>
                <w:color w:val="auto"/>
              </w:rPr>
            </w:pPr>
          </w:p>
        </w:tc>
        <w:tc>
          <w:tcPr>
            <w:tcW w:w="900" w:type="dxa"/>
            <w:vAlign w:val="bottom"/>
            <w:shd w:val="clear" w:color="auto" w:fill="D6D1D8"/>
          </w:tcPr>
          <w:p>
            <w:pPr>
              <w:spacing w:after="0"/>
              <w:rPr>
                <w:sz w:val="22"/>
                <w:szCs w:val="22"/>
                <w:color w:val="auto"/>
              </w:rPr>
            </w:pPr>
          </w:p>
        </w:tc>
        <w:tc>
          <w:tcPr>
            <w:tcW w:w="160" w:type="dxa"/>
            <w:vAlign w:val="bottom"/>
            <w:shd w:val="clear" w:color="auto" w:fill="D6D1D8"/>
          </w:tcPr>
          <w:p>
            <w:pPr>
              <w:spacing w:after="0"/>
              <w:rPr>
                <w:sz w:val="22"/>
                <w:szCs w:val="22"/>
                <w:color w:val="auto"/>
              </w:rPr>
            </w:pPr>
          </w:p>
        </w:tc>
        <w:tc>
          <w:tcPr>
            <w:tcW w:w="920" w:type="dxa"/>
            <w:vAlign w:val="bottom"/>
            <w:shd w:val="clear" w:color="auto" w:fill="D6D1D8"/>
          </w:tcPr>
          <w:p>
            <w:pPr>
              <w:spacing w:after="0"/>
              <w:rPr>
                <w:sz w:val="22"/>
                <w:szCs w:val="22"/>
                <w:color w:val="auto"/>
              </w:rPr>
            </w:pPr>
          </w:p>
        </w:tc>
        <w:tc>
          <w:tcPr>
            <w:tcW w:w="200" w:type="dxa"/>
            <w:vAlign w:val="bottom"/>
            <w:shd w:val="clear" w:color="auto" w:fill="D6D1D8"/>
          </w:tcPr>
          <w:p>
            <w:pPr>
              <w:spacing w:after="0"/>
              <w:rPr>
                <w:sz w:val="22"/>
                <w:szCs w:val="22"/>
                <w:color w:val="auto"/>
              </w:rPr>
            </w:pPr>
          </w:p>
        </w:tc>
        <w:tc>
          <w:tcPr>
            <w:tcW w:w="860" w:type="dxa"/>
            <w:vAlign w:val="bottom"/>
            <w:shd w:val="clear" w:color="auto" w:fill="D6D1D8"/>
          </w:tcPr>
          <w:p>
            <w:pPr>
              <w:spacing w:after="0"/>
              <w:rPr>
                <w:sz w:val="22"/>
                <w:szCs w:val="22"/>
                <w:color w:val="auto"/>
              </w:rPr>
            </w:pPr>
          </w:p>
        </w:tc>
        <w:tc>
          <w:tcPr>
            <w:tcW w:w="220" w:type="dxa"/>
            <w:vAlign w:val="bottom"/>
            <w:shd w:val="clear" w:color="auto" w:fill="D6D1D8"/>
          </w:tcPr>
          <w:p>
            <w:pPr>
              <w:spacing w:after="0"/>
              <w:rPr>
                <w:sz w:val="22"/>
                <w:szCs w:val="22"/>
                <w:color w:val="auto"/>
              </w:rPr>
            </w:pPr>
          </w:p>
        </w:tc>
        <w:tc>
          <w:tcPr>
            <w:tcW w:w="920" w:type="dxa"/>
            <w:vAlign w:val="bottom"/>
            <w:shd w:val="clear" w:color="auto" w:fill="D6D1D8"/>
          </w:tcPr>
          <w:p>
            <w:pPr>
              <w:spacing w:after="0"/>
              <w:rPr>
                <w:sz w:val="22"/>
                <w:szCs w:val="22"/>
                <w:color w:val="auto"/>
              </w:rPr>
            </w:pPr>
          </w:p>
        </w:tc>
        <w:tc>
          <w:tcPr>
            <w:tcW w:w="920" w:type="dxa"/>
            <w:vAlign w:val="bottom"/>
            <w:shd w:val="clear" w:color="auto" w:fill="D6D1D8"/>
          </w:tcPr>
          <w:p>
            <w:pPr>
              <w:spacing w:after="0"/>
              <w:rPr>
                <w:sz w:val="22"/>
                <w:szCs w:val="22"/>
                <w:color w:val="auto"/>
              </w:rPr>
            </w:pPr>
          </w:p>
        </w:tc>
      </w:tr>
      <w:tr>
        <w:trPr>
          <w:trHeight w:val="160"/>
        </w:trPr>
        <w:tc>
          <w:tcPr>
            <w:tcW w:w="600" w:type="dxa"/>
            <w:vAlign w:val="bottom"/>
            <w:shd w:val="clear" w:color="auto" w:fill="D6D1D8"/>
          </w:tcPr>
          <w:p>
            <w:pPr>
              <w:spacing w:after="0"/>
              <w:rPr>
                <w:sz w:val="13"/>
                <w:szCs w:val="13"/>
                <w:color w:val="auto"/>
              </w:rPr>
            </w:pPr>
          </w:p>
        </w:tc>
        <w:tc>
          <w:tcPr>
            <w:tcW w:w="4320" w:type="dxa"/>
            <w:vAlign w:val="bottom"/>
            <w:shd w:val="clear" w:color="auto" w:fill="D6D1D8"/>
          </w:tcPr>
          <w:p>
            <w:pPr>
              <w:ind w:left="100"/>
              <w:spacing w:after="0"/>
              <w:rPr>
                <w:sz w:val="20"/>
                <w:szCs w:val="20"/>
                <w:color w:val="auto"/>
              </w:rPr>
            </w:pPr>
            <w:r>
              <w:rPr>
                <w:rFonts w:ascii="Arial" w:cs="Arial" w:eastAsia="Arial" w:hAnsi="Arial"/>
                <w:sz w:val="14"/>
                <w:szCs w:val="14"/>
                <w:color w:val="auto"/>
              </w:rPr>
              <w:t>2024 Adjusted Property</w:t>
            </w:r>
          </w:p>
        </w:tc>
        <w:tc>
          <w:tcPr>
            <w:tcW w:w="680" w:type="dxa"/>
            <w:vAlign w:val="bottom"/>
            <w:shd w:val="clear" w:color="auto" w:fill="D6D1D8"/>
          </w:tcPr>
          <w:p>
            <w:pPr>
              <w:jc w:val="right"/>
              <w:ind w:right="71"/>
              <w:spacing w:after="0"/>
              <w:rPr>
                <w:sz w:val="20"/>
                <w:szCs w:val="20"/>
                <w:color w:val="auto"/>
              </w:rPr>
            </w:pPr>
            <w:r>
              <w:rPr>
                <w:rFonts w:ascii="Arial" w:cs="Arial" w:eastAsia="Arial" w:hAnsi="Arial"/>
                <w:sz w:val="14"/>
                <w:szCs w:val="14"/>
                <w:color w:val="auto"/>
              </w:rPr>
              <w:t>30%</w:t>
            </w:r>
          </w:p>
        </w:tc>
        <w:tc>
          <w:tcPr>
            <w:tcW w:w="220" w:type="dxa"/>
            <w:vAlign w:val="bottom"/>
            <w:shd w:val="clear" w:color="auto" w:fill="D6D1D8"/>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D6D1D8"/>
          </w:tcPr>
          <w:p>
            <w:pPr>
              <w:jc w:val="right"/>
              <w:spacing w:after="0"/>
              <w:rPr>
                <w:sz w:val="20"/>
                <w:szCs w:val="20"/>
                <w:color w:val="auto"/>
              </w:rPr>
            </w:pPr>
            <w:r>
              <w:rPr>
                <w:rFonts w:ascii="Arial" w:cs="Arial" w:eastAsia="Arial" w:hAnsi="Arial"/>
                <w:sz w:val="14"/>
                <w:szCs w:val="14"/>
                <w:color w:val="auto"/>
              </w:rPr>
              <w:t>1,035,000</w:t>
            </w:r>
          </w:p>
        </w:tc>
        <w:tc>
          <w:tcPr>
            <w:tcW w:w="160" w:type="dxa"/>
            <w:vAlign w:val="bottom"/>
            <w:shd w:val="clear" w:color="auto" w:fill="D6D1D8"/>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D6D1D8"/>
          </w:tcPr>
          <w:p>
            <w:pPr>
              <w:jc w:val="right"/>
              <w:ind w:right="11"/>
              <w:spacing w:after="0"/>
              <w:rPr>
                <w:sz w:val="20"/>
                <w:szCs w:val="20"/>
                <w:color w:val="auto"/>
              </w:rPr>
            </w:pPr>
            <w:r>
              <w:rPr>
                <w:rFonts w:ascii="Arial" w:cs="Arial" w:eastAsia="Arial" w:hAnsi="Arial"/>
                <w:sz w:val="14"/>
                <w:szCs w:val="14"/>
                <w:color w:val="auto"/>
              </w:rPr>
              <w:t>1,080,000</w:t>
            </w:r>
          </w:p>
        </w:tc>
        <w:tc>
          <w:tcPr>
            <w:tcW w:w="200" w:type="dxa"/>
            <w:vAlign w:val="bottom"/>
            <w:shd w:val="clear" w:color="auto" w:fill="D6D1D8"/>
          </w:tcPr>
          <w:p>
            <w:pPr>
              <w:ind w:left="80"/>
              <w:spacing w:after="0"/>
              <w:rPr>
                <w:sz w:val="20"/>
                <w:szCs w:val="20"/>
                <w:color w:val="auto"/>
              </w:rPr>
            </w:pPr>
            <w:r>
              <w:rPr>
                <w:rFonts w:ascii="Arial" w:cs="Arial" w:eastAsia="Arial" w:hAnsi="Arial"/>
                <w:sz w:val="14"/>
                <w:szCs w:val="14"/>
                <w:color w:val="auto"/>
              </w:rPr>
              <w:t>$</w:t>
            </w:r>
          </w:p>
        </w:tc>
        <w:tc>
          <w:tcPr>
            <w:tcW w:w="860" w:type="dxa"/>
            <w:vAlign w:val="bottom"/>
            <w:shd w:val="clear" w:color="auto" w:fill="D6D1D8"/>
          </w:tcPr>
          <w:p>
            <w:pPr>
              <w:jc w:val="right"/>
              <w:spacing w:after="0"/>
              <w:rPr>
                <w:sz w:val="20"/>
                <w:szCs w:val="20"/>
                <w:color w:val="auto"/>
              </w:rPr>
            </w:pPr>
            <w:r>
              <w:rPr>
                <w:rFonts w:ascii="Arial" w:cs="Arial" w:eastAsia="Arial" w:hAnsi="Arial"/>
                <w:sz w:val="14"/>
                <w:szCs w:val="14"/>
                <w:color w:val="auto"/>
              </w:rPr>
              <w:t>1,165,000</w:t>
            </w:r>
          </w:p>
        </w:tc>
        <w:tc>
          <w:tcPr>
            <w:tcW w:w="220" w:type="dxa"/>
            <w:vAlign w:val="bottom"/>
            <w:shd w:val="clear" w:color="auto" w:fill="D6D1D8"/>
          </w:tcPr>
          <w:p>
            <w:pPr>
              <w:ind w:left="80"/>
              <w:spacing w:after="0"/>
              <w:rPr>
                <w:sz w:val="20"/>
                <w:szCs w:val="20"/>
                <w:color w:val="auto"/>
              </w:rPr>
            </w:pPr>
            <w:r>
              <w:rPr>
                <w:rFonts w:ascii="Arial" w:cs="Arial" w:eastAsia="Arial" w:hAnsi="Arial"/>
                <w:sz w:val="14"/>
                <w:szCs w:val="14"/>
                <w:color w:val="auto"/>
              </w:rPr>
              <w:t>$</w:t>
            </w:r>
          </w:p>
        </w:tc>
        <w:tc>
          <w:tcPr>
            <w:tcW w:w="920" w:type="dxa"/>
            <w:vAlign w:val="bottom"/>
            <w:shd w:val="clear" w:color="auto" w:fill="D6D1D8"/>
          </w:tcPr>
          <w:p>
            <w:pPr>
              <w:ind w:left="160"/>
              <w:spacing w:after="0"/>
              <w:rPr>
                <w:sz w:val="20"/>
                <w:szCs w:val="20"/>
                <w:color w:val="auto"/>
              </w:rPr>
            </w:pPr>
            <w:r>
              <w:rPr>
                <w:rFonts w:ascii="Arial" w:cs="Arial" w:eastAsia="Arial" w:hAnsi="Arial"/>
                <w:sz w:val="14"/>
                <w:szCs w:val="14"/>
                <w:color w:val="auto"/>
              </w:rPr>
              <w:t>1,193,890</w:t>
            </w:r>
          </w:p>
        </w:tc>
        <w:tc>
          <w:tcPr>
            <w:tcW w:w="92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Maximum</w:t>
            </w:r>
          </w:p>
        </w:tc>
      </w:tr>
      <w:tr>
        <w:trPr>
          <w:trHeight w:val="203"/>
        </w:trPr>
        <w:tc>
          <w:tcPr>
            <w:tcW w:w="600" w:type="dxa"/>
            <w:vAlign w:val="bottom"/>
            <w:tcBorders>
              <w:bottom w:val="single" w:sz="8" w:color="D6D1D8"/>
            </w:tcBorders>
            <w:shd w:val="clear" w:color="auto" w:fill="D6D1D8"/>
          </w:tcPr>
          <w:p>
            <w:pPr>
              <w:spacing w:after="0"/>
              <w:rPr>
                <w:sz w:val="17"/>
                <w:szCs w:val="17"/>
                <w:color w:val="auto"/>
              </w:rPr>
            </w:pPr>
          </w:p>
        </w:tc>
        <w:tc>
          <w:tcPr>
            <w:tcW w:w="4320" w:type="dxa"/>
            <w:vAlign w:val="bottom"/>
            <w:tcBorders>
              <w:bottom w:val="single" w:sz="8" w:color="D6D1D8"/>
            </w:tcBorders>
            <w:shd w:val="clear" w:color="auto" w:fill="D6D1D8"/>
          </w:tcPr>
          <w:p>
            <w:pPr>
              <w:ind w:left="100"/>
              <w:spacing w:after="0"/>
              <w:rPr>
                <w:sz w:val="20"/>
                <w:szCs w:val="20"/>
                <w:color w:val="auto"/>
              </w:rPr>
            </w:pPr>
            <w:r>
              <w:rPr>
                <w:rFonts w:ascii="Arial" w:cs="Arial" w:eastAsia="Arial" w:hAnsi="Arial"/>
                <w:sz w:val="14"/>
                <w:szCs w:val="14"/>
                <w:color w:val="auto"/>
              </w:rPr>
              <w:t>EBITDAR</w:t>
            </w:r>
          </w:p>
        </w:tc>
        <w:tc>
          <w:tcPr>
            <w:tcW w:w="680" w:type="dxa"/>
            <w:vAlign w:val="bottom"/>
            <w:tcBorders>
              <w:bottom w:val="single" w:sz="8" w:color="D6D1D8"/>
            </w:tcBorders>
            <w:shd w:val="clear" w:color="auto" w:fill="D6D1D8"/>
          </w:tcPr>
          <w:p>
            <w:pPr>
              <w:spacing w:after="0"/>
              <w:rPr>
                <w:sz w:val="17"/>
                <w:szCs w:val="17"/>
                <w:color w:val="auto"/>
              </w:rPr>
            </w:pPr>
          </w:p>
        </w:tc>
        <w:tc>
          <w:tcPr>
            <w:tcW w:w="220" w:type="dxa"/>
            <w:vAlign w:val="bottom"/>
            <w:tcBorders>
              <w:bottom w:val="single" w:sz="8" w:color="D6D1D8"/>
            </w:tcBorders>
            <w:shd w:val="clear" w:color="auto" w:fill="D6D1D8"/>
          </w:tcPr>
          <w:p>
            <w:pPr>
              <w:spacing w:after="0"/>
              <w:rPr>
                <w:sz w:val="17"/>
                <w:szCs w:val="17"/>
                <w:color w:val="auto"/>
              </w:rPr>
            </w:pPr>
          </w:p>
        </w:tc>
        <w:tc>
          <w:tcPr>
            <w:tcW w:w="900" w:type="dxa"/>
            <w:vAlign w:val="bottom"/>
            <w:tcBorders>
              <w:bottom w:val="single" w:sz="8" w:color="D6D1D8"/>
            </w:tcBorders>
            <w:shd w:val="clear" w:color="auto" w:fill="D6D1D8"/>
          </w:tcPr>
          <w:p>
            <w:pPr>
              <w:spacing w:after="0"/>
              <w:rPr>
                <w:sz w:val="17"/>
                <w:szCs w:val="17"/>
                <w:color w:val="auto"/>
              </w:rPr>
            </w:pPr>
          </w:p>
        </w:tc>
        <w:tc>
          <w:tcPr>
            <w:tcW w:w="160" w:type="dxa"/>
            <w:vAlign w:val="bottom"/>
            <w:tcBorders>
              <w:bottom w:val="single" w:sz="8" w:color="D6D1D8"/>
            </w:tcBorders>
            <w:shd w:val="clear" w:color="auto" w:fill="D6D1D8"/>
          </w:tcPr>
          <w:p>
            <w:pPr>
              <w:spacing w:after="0"/>
              <w:rPr>
                <w:sz w:val="17"/>
                <w:szCs w:val="17"/>
                <w:color w:val="auto"/>
              </w:rPr>
            </w:pPr>
          </w:p>
        </w:tc>
        <w:tc>
          <w:tcPr>
            <w:tcW w:w="920" w:type="dxa"/>
            <w:vAlign w:val="bottom"/>
            <w:tcBorders>
              <w:bottom w:val="single" w:sz="8" w:color="D6D1D8"/>
            </w:tcBorders>
            <w:shd w:val="clear" w:color="auto" w:fill="D6D1D8"/>
          </w:tcPr>
          <w:p>
            <w:pPr>
              <w:spacing w:after="0"/>
              <w:rPr>
                <w:sz w:val="17"/>
                <w:szCs w:val="17"/>
                <w:color w:val="auto"/>
              </w:rPr>
            </w:pPr>
          </w:p>
        </w:tc>
        <w:tc>
          <w:tcPr>
            <w:tcW w:w="200" w:type="dxa"/>
            <w:vAlign w:val="bottom"/>
            <w:tcBorders>
              <w:bottom w:val="single" w:sz="8" w:color="D6D1D8"/>
            </w:tcBorders>
            <w:shd w:val="clear" w:color="auto" w:fill="D6D1D8"/>
          </w:tcPr>
          <w:p>
            <w:pPr>
              <w:spacing w:after="0"/>
              <w:rPr>
                <w:sz w:val="17"/>
                <w:szCs w:val="17"/>
                <w:color w:val="auto"/>
              </w:rPr>
            </w:pPr>
          </w:p>
        </w:tc>
        <w:tc>
          <w:tcPr>
            <w:tcW w:w="860" w:type="dxa"/>
            <w:vAlign w:val="bottom"/>
            <w:tcBorders>
              <w:bottom w:val="single" w:sz="8" w:color="D6D1D8"/>
            </w:tcBorders>
            <w:shd w:val="clear" w:color="auto" w:fill="D6D1D8"/>
          </w:tcPr>
          <w:p>
            <w:pPr>
              <w:spacing w:after="0"/>
              <w:rPr>
                <w:sz w:val="17"/>
                <w:szCs w:val="17"/>
                <w:color w:val="auto"/>
              </w:rPr>
            </w:pPr>
          </w:p>
        </w:tc>
        <w:tc>
          <w:tcPr>
            <w:tcW w:w="220" w:type="dxa"/>
            <w:vAlign w:val="bottom"/>
            <w:tcBorders>
              <w:bottom w:val="single" w:sz="8" w:color="D6D1D8"/>
            </w:tcBorders>
            <w:shd w:val="clear" w:color="auto" w:fill="D6D1D8"/>
          </w:tcPr>
          <w:p>
            <w:pPr>
              <w:spacing w:after="0"/>
              <w:rPr>
                <w:sz w:val="17"/>
                <w:szCs w:val="17"/>
                <w:color w:val="auto"/>
              </w:rPr>
            </w:pPr>
          </w:p>
        </w:tc>
        <w:tc>
          <w:tcPr>
            <w:tcW w:w="920" w:type="dxa"/>
            <w:vAlign w:val="bottom"/>
            <w:tcBorders>
              <w:bottom w:val="single" w:sz="8" w:color="D6D1D8"/>
            </w:tcBorders>
            <w:shd w:val="clear" w:color="auto" w:fill="D6D1D8"/>
          </w:tcPr>
          <w:p>
            <w:pPr>
              <w:spacing w:after="0"/>
              <w:rPr>
                <w:sz w:val="17"/>
                <w:szCs w:val="17"/>
                <w:color w:val="auto"/>
              </w:rPr>
            </w:pPr>
          </w:p>
        </w:tc>
        <w:tc>
          <w:tcPr>
            <w:tcW w:w="920" w:type="dxa"/>
            <w:vAlign w:val="bottom"/>
            <w:tcBorders>
              <w:bottom w:val="single" w:sz="8" w:color="D6D1D8"/>
            </w:tcBorders>
            <w:shd w:val="clear" w:color="auto" w:fill="D6D1D8"/>
          </w:tcPr>
          <w:p>
            <w:pPr>
              <w:spacing w:after="0"/>
              <w:rPr>
                <w:sz w:val="17"/>
                <w:szCs w:val="17"/>
                <w:color w:val="auto"/>
              </w:rPr>
            </w:pPr>
          </w:p>
        </w:tc>
      </w:tr>
      <w:tr>
        <w:trPr>
          <w:trHeight w:val="258"/>
        </w:trPr>
        <w:tc>
          <w:tcPr>
            <w:tcW w:w="600" w:type="dxa"/>
            <w:vAlign w:val="bottom"/>
          </w:tcPr>
          <w:p>
            <w:pPr>
              <w:ind w:left="80"/>
              <w:spacing w:after="0"/>
              <w:rPr>
                <w:sz w:val="20"/>
                <w:szCs w:val="20"/>
                <w:color w:val="auto"/>
              </w:rPr>
            </w:pPr>
            <w:r>
              <w:rPr>
                <w:rFonts w:ascii="Arial" w:cs="Arial" w:eastAsia="Arial" w:hAnsi="Arial"/>
                <w:sz w:val="14"/>
                <w:szCs w:val="14"/>
                <w:color w:val="auto"/>
              </w:rPr>
              <w:t>Goal 2 -</w:t>
            </w:r>
          </w:p>
        </w:tc>
        <w:tc>
          <w:tcPr>
            <w:tcW w:w="4320" w:type="dxa"/>
            <w:vAlign w:val="bottom"/>
          </w:tcPr>
          <w:p>
            <w:pPr>
              <w:ind w:left="100"/>
              <w:spacing w:after="0"/>
              <w:rPr>
                <w:sz w:val="20"/>
                <w:szCs w:val="20"/>
                <w:color w:val="auto"/>
              </w:rPr>
            </w:pPr>
            <w:r>
              <w:rPr>
                <w:rFonts w:ascii="Arial" w:cs="Arial" w:eastAsia="Arial" w:hAnsi="Arial"/>
                <w:sz w:val="14"/>
                <w:szCs w:val="14"/>
                <w:color w:val="auto"/>
              </w:rPr>
              <w:t>Macau Operations,</w:t>
            </w: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60"/>
        </w:trPr>
        <w:tc>
          <w:tcPr>
            <w:tcW w:w="600" w:type="dxa"/>
            <w:vAlign w:val="bottom"/>
          </w:tcPr>
          <w:p>
            <w:pPr>
              <w:spacing w:after="0"/>
              <w:rPr>
                <w:sz w:val="13"/>
                <w:szCs w:val="13"/>
                <w:color w:val="auto"/>
              </w:rPr>
            </w:pPr>
          </w:p>
        </w:tc>
        <w:tc>
          <w:tcPr>
            <w:tcW w:w="4320" w:type="dxa"/>
            <w:vAlign w:val="bottom"/>
          </w:tcPr>
          <w:p>
            <w:pPr>
              <w:ind w:left="100"/>
              <w:spacing w:after="0"/>
              <w:rPr>
                <w:sz w:val="20"/>
                <w:szCs w:val="20"/>
                <w:color w:val="auto"/>
              </w:rPr>
            </w:pPr>
            <w:r>
              <w:rPr>
                <w:rFonts w:ascii="Arial" w:cs="Arial" w:eastAsia="Arial" w:hAnsi="Arial"/>
                <w:sz w:val="14"/>
                <w:szCs w:val="14"/>
                <w:color w:val="auto"/>
              </w:rPr>
              <w:t>2024 Adjusted Property</w:t>
            </w:r>
          </w:p>
        </w:tc>
        <w:tc>
          <w:tcPr>
            <w:tcW w:w="680" w:type="dxa"/>
            <w:vAlign w:val="bottom"/>
          </w:tcPr>
          <w:p>
            <w:pPr>
              <w:jc w:val="right"/>
              <w:ind w:right="71"/>
              <w:spacing w:after="0"/>
              <w:rPr>
                <w:sz w:val="20"/>
                <w:szCs w:val="20"/>
                <w:color w:val="auto"/>
              </w:rPr>
            </w:pPr>
            <w:r>
              <w:rPr>
                <w:rFonts w:ascii="Arial" w:cs="Arial" w:eastAsia="Arial" w:hAnsi="Arial"/>
                <w:sz w:val="14"/>
                <w:szCs w:val="14"/>
                <w:color w:val="auto"/>
              </w:rPr>
              <w:t>30%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1,100,000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1,175,000</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1,378,000</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920" w:type="dxa"/>
            <w:vAlign w:val="bottom"/>
          </w:tcPr>
          <w:p>
            <w:pPr>
              <w:ind w:left="160"/>
              <w:spacing w:after="0"/>
              <w:rPr>
                <w:sz w:val="20"/>
                <w:szCs w:val="20"/>
                <w:color w:val="auto"/>
              </w:rPr>
            </w:pPr>
            <w:r>
              <w:rPr>
                <w:rFonts w:ascii="Arial" w:cs="Arial" w:eastAsia="Arial" w:hAnsi="Arial"/>
                <w:sz w:val="14"/>
                <w:szCs w:val="14"/>
                <w:color w:val="auto"/>
              </w:rPr>
              <w:t>1,175,562</w:t>
            </w:r>
          </w:p>
        </w:tc>
        <w:tc>
          <w:tcPr>
            <w:tcW w:w="920" w:type="dxa"/>
            <w:vAlign w:val="bottom"/>
          </w:tcPr>
          <w:p>
            <w:pPr>
              <w:jc w:val="center"/>
              <w:spacing w:after="0"/>
              <w:rPr>
                <w:sz w:val="20"/>
                <w:szCs w:val="20"/>
                <w:color w:val="auto"/>
              </w:rPr>
            </w:pPr>
            <w:r>
              <w:rPr>
                <w:rFonts w:ascii="Arial" w:cs="Arial" w:eastAsia="Arial" w:hAnsi="Arial"/>
                <w:sz w:val="14"/>
                <w:szCs w:val="14"/>
                <w:color w:val="auto"/>
                <w:w w:val="98"/>
              </w:rPr>
              <w:t>Target</w:t>
            </w:r>
          </w:p>
        </w:tc>
      </w:tr>
      <w:tr>
        <w:trPr>
          <w:trHeight w:val="189"/>
        </w:trPr>
        <w:tc>
          <w:tcPr>
            <w:tcW w:w="600" w:type="dxa"/>
            <w:vAlign w:val="bottom"/>
          </w:tcPr>
          <w:p>
            <w:pPr>
              <w:spacing w:after="0"/>
              <w:rPr>
                <w:sz w:val="16"/>
                <w:szCs w:val="16"/>
                <w:color w:val="auto"/>
              </w:rPr>
            </w:pPr>
          </w:p>
        </w:tc>
        <w:tc>
          <w:tcPr>
            <w:tcW w:w="4320" w:type="dxa"/>
            <w:vAlign w:val="bottom"/>
          </w:tcPr>
          <w:p>
            <w:pPr>
              <w:ind w:left="100"/>
              <w:spacing w:after="0"/>
              <w:rPr>
                <w:sz w:val="20"/>
                <w:szCs w:val="20"/>
                <w:color w:val="auto"/>
              </w:rPr>
            </w:pPr>
            <w:r>
              <w:rPr>
                <w:rFonts w:ascii="Arial" w:cs="Arial" w:eastAsia="Arial" w:hAnsi="Arial"/>
                <w:sz w:val="14"/>
                <w:szCs w:val="14"/>
                <w:color w:val="auto"/>
              </w:rPr>
              <w:t>EBITDAR</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4"/>
        </w:trPr>
        <w:tc>
          <w:tcPr>
            <w:tcW w:w="6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8"/>
        </w:trPr>
        <w:tc>
          <w:tcPr>
            <w:tcW w:w="600" w:type="dxa"/>
            <w:vAlign w:val="bottom"/>
            <w:shd w:val="clear" w:color="auto" w:fill="D6D1D8"/>
          </w:tcPr>
          <w:p>
            <w:pPr>
              <w:ind w:left="80"/>
              <w:spacing w:after="0"/>
              <w:rPr>
                <w:sz w:val="20"/>
                <w:szCs w:val="20"/>
                <w:color w:val="auto"/>
              </w:rPr>
            </w:pPr>
            <w:r>
              <w:rPr>
                <w:rFonts w:ascii="Arial" w:cs="Arial" w:eastAsia="Arial" w:hAnsi="Arial"/>
                <w:sz w:val="14"/>
                <w:szCs w:val="14"/>
                <w:color w:val="auto"/>
              </w:rPr>
              <w:t>Goal 3 -</w:t>
            </w:r>
          </w:p>
        </w:tc>
        <w:tc>
          <w:tcPr>
            <w:tcW w:w="4320" w:type="dxa"/>
            <w:vAlign w:val="bottom"/>
            <w:shd w:val="clear" w:color="auto" w:fill="D6D1D8"/>
          </w:tcPr>
          <w:p>
            <w:pPr>
              <w:ind w:left="100"/>
              <w:spacing w:after="0"/>
              <w:rPr>
                <w:sz w:val="20"/>
                <w:szCs w:val="20"/>
                <w:color w:val="auto"/>
              </w:rPr>
            </w:pPr>
            <w:r>
              <w:rPr>
                <w:rFonts w:ascii="Arial" w:cs="Arial" w:eastAsia="Arial" w:hAnsi="Arial"/>
                <w:sz w:val="14"/>
                <w:szCs w:val="14"/>
                <w:color w:val="auto"/>
              </w:rPr>
              <w:t>Wynn Las Vegas,</w:t>
            </w:r>
          </w:p>
        </w:tc>
        <w:tc>
          <w:tcPr>
            <w:tcW w:w="680" w:type="dxa"/>
            <w:vAlign w:val="bottom"/>
            <w:shd w:val="clear" w:color="auto" w:fill="D6D1D8"/>
          </w:tcPr>
          <w:p>
            <w:pPr>
              <w:spacing w:after="0"/>
              <w:rPr>
                <w:sz w:val="22"/>
                <w:szCs w:val="22"/>
                <w:color w:val="auto"/>
              </w:rPr>
            </w:pPr>
          </w:p>
        </w:tc>
        <w:tc>
          <w:tcPr>
            <w:tcW w:w="220" w:type="dxa"/>
            <w:vAlign w:val="bottom"/>
            <w:shd w:val="clear" w:color="auto" w:fill="D6D1D8"/>
          </w:tcPr>
          <w:p>
            <w:pPr>
              <w:spacing w:after="0"/>
              <w:rPr>
                <w:sz w:val="22"/>
                <w:szCs w:val="22"/>
                <w:color w:val="auto"/>
              </w:rPr>
            </w:pPr>
          </w:p>
        </w:tc>
        <w:tc>
          <w:tcPr>
            <w:tcW w:w="900" w:type="dxa"/>
            <w:vAlign w:val="bottom"/>
            <w:shd w:val="clear" w:color="auto" w:fill="D6D1D8"/>
          </w:tcPr>
          <w:p>
            <w:pPr>
              <w:spacing w:after="0"/>
              <w:rPr>
                <w:sz w:val="22"/>
                <w:szCs w:val="22"/>
                <w:color w:val="auto"/>
              </w:rPr>
            </w:pPr>
          </w:p>
        </w:tc>
        <w:tc>
          <w:tcPr>
            <w:tcW w:w="160" w:type="dxa"/>
            <w:vAlign w:val="bottom"/>
            <w:shd w:val="clear" w:color="auto" w:fill="D6D1D8"/>
          </w:tcPr>
          <w:p>
            <w:pPr>
              <w:spacing w:after="0"/>
              <w:rPr>
                <w:sz w:val="22"/>
                <w:szCs w:val="22"/>
                <w:color w:val="auto"/>
              </w:rPr>
            </w:pPr>
          </w:p>
        </w:tc>
        <w:tc>
          <w:tcPr>
            <w:tcW w:w="920" w:type="dxa"/>
            <w:vAlign w:val="bottom"/>
            <w:shd w:val="clear" w:color="auto" w:fill="D6D1D8"/>
          </w:tcPr>
          <w:p>
            <w:pPr>
              <w:spacing w:after="0"/>
              <w:rPr>
                <w:sz w:val="22"/>
                <w:szCs w:val="22"/>
                <w:color w:val="auto"/>
              </w:rPr>
            </w:pPr>
          </w:p>
        </w:tc>
        <w:tc>
          <w:tcPr>
            <w:tcW w:w="200" w:type="dxa"/>
            <w:vAlign w:val="bottom"/>
            <w:shd w:val="clear" w:color="auto" w:fill="D6D1D8"/>
          </w:tcPr>
          <w:p>
            <w:pPr>
              <w:spacing w:after="0"/>
              <w:rPr>
                <w:sz w:val="22"/>
                <w:szCs w:val="22"/>
                <w:color w:val="auto"/>
              </w:rPr>
            </w:pPr>
          </w:p>
        </w:tc>
        <w:tc>
          <w:tcPr>
            <w:tcW w:w="860" w:type="dxa"/>
            <w:vAlign w:val="bottom"/>
            <w:shd w:val="clear" w:color="auto" w:fill="D6D1D8"/>
          </w:tcPr>
          <w:p>
            <w:pPr>
              <w:spacing w:after="0"/>
              <w:rPr>
                <w:sz w:val="22"/>
                <w:szCs w:val="22"/>
                <w:color w:val="auto"/>
              </w:rPr>
            </w:pPr>
          </w:p>
        </w:tc>
        <w:tc>
          <w:tcPr>
            <w:tcW w:w="220" w:type="dxa"/>
            <w:vAlign w:val="bottom"/>
            <w:shd w:val="clear" w:color="auto" w:fill="D6D1D8"/>
          </w:tcPr>
          <w:p>
            <w:pPr>
              <w:spacing w:after="0"/>
              <w:rPr>
                <w:sz w:val="22"/>
                <w:szCs w:val="22"/>
                <w:color w:val="auto"/>
              </w:rPr>
            </w:pPr>
          </w:p>
        </w:tc>
        <w:tc>
          <w:tcPr>
            <w:tcW w:w="920" w:type="dxa"/>
            <w:vAlign w:val="bottom"/>
            <w:shd w:val="clear" w:color="auto" w:fill="D6D1D8"/>
          </w:tcPr>
          <w:p>
            <w:pPr>
              <w:spacing w:after="0"/>
              <w:rPr>
                <w:sz w:val="22"/>
                <w:szCs w:val="22"/>
                <w:color w:val="auto"/>
              </w:rPr>
            </w:pPr>
          </w:p>
        </w:tc>
        <w:tc>
          <w:tcPr>
            <w:tcW w:w="920" w:type="dxa"/>
            <w:vAlign w:val="bottom"/>
            <w:shd w:val="clear" w:color="auto" w:fill="D6D1D8"/>
          </w:tcPr>
          <w:p>
            <w:pPr>
              <w:spacing w:after="0"/>
              <w:rPr>
                <w:sz w:val="22"/>
                <w:szCs w:val="22"/>
                <w:color w:val="auto"/>
              </w:rPr>
            </w:pPr>
          </w:p>
        </w:tc>
      </w:tr>
      <w:tr>
        <w:trPr>
          <w:trHeight w:val="160"/>
        </w:trPr>
        <w:tc>
          <w:tcPr>
            <w:tcW w:w="600" w:type="dxa"/>
            <w:vAlign w:val="bottom"/>
            <w:shd w:val="clear" w:color="auto" w:fill="D6D1D8"/>
          </w:tcPr>
          <w:p>
            <w:pPr>
              <w:spacing w:after="0"/>
              <w:rPr>
                <w:sz w:val="13"/>
                <w:szCs w:val="13"/>
                <w:color w:val="auto"/>
              </w:rPr>
            </w:pPr>
          </w:p>
        </w:tc>
        <w:tc>
          <w:tcPr>
            <w:tcW w:w="4320" w:type="dxa"/>
            <w:vAlign w:val="bottom"/>
            <w:shd w:val="clear" w:color="auto" w:fill="D6D1D8"/>
          </w:tcPr>
          <w:p>
            <w:pPr>
              <w:ind w:left="100"/>
              <w:spacing w:after="0"/>
              <w:rPr>
                <w:sz w:val="20"/>
                <w:szCs w:val="20"/>
                <w:color w:val="auto"/>
              </w:rPr>
            </w:pPr>
            <w:r>
              <w:rPr>
                <w:rFonts w:ascii="Arial" w:cs="Arial" w:eastAsia="Arial" w:hAnsi="Arial"/>
                <w:sz w:val="14"/>
                <w:szCs w:val="14"/>
                <w:color w:val="auto"/>
              </w:rPr>
              <w:t>Market Share of Gross</w:t>
            </w:r>
          </w:p>
        </w:tc>
        <w:tc>
          <w:tcPr>
            <w:tcW w:w="680" w:type="dxa"/>
            <w:vAlign w:val="bottom"/>
            <w:shd w:val="clear" w:color="auto" w:fill="D6D1D8"/>
          </w:tcPr>
          <w:p>
            <w:pPr>
              <w:jc w:val="right"/>
              <w:ind w:right="71"/>
              <w:spacing w:after="0"/>
              <w:rPr>
                <w:sz w:val="20"/>
                <w:szCs w:val="20"/>
                <w:color w:val="auto"/>
              </w:rPr>
            </w:pPr>
            <w:r>
              <w:rPr>
                <w:rFonts w:ascii="Arial" w:cs="Arial" w:eastAsia="Arial" w:hAnsi="Arial"/>
                <w:sz w:val="14"/>
                <w:szCs w:val="14"/>
                <w:color w:val="auto"/>
              </w:rPr>
              <w:t>10%</w:t>
            </w:r>
          </w:p>
        </w:tc>
        <w:tc>
          <w:tcPr>
            <w:tcW w:w="220" w:type="dxa"/>
            <w:vAlign w:val="bottom"/>
            <w:shd w:val="clear" w:color="auto" w:fill="D6D1D8"/>
          </w:tcPr>
          <w:p>
            <w:pPr>
              <w:spacing w:after="0"/>
              <w:rPr>
                <w:sz w:val="13"/>
                <w:szCs w:val="13"/>
                <w:color w:val="auto"/>
              </w:rPr>
            </w:pPr>
          </w:p>
        </w:tc>
        <w:tc>
          <w:tcPr>
            <w:tcW w:w="90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11.75%</w:t>
            </w:r>
          </w:p>
        </w:tc>
        <w:tc>
          <w:tcPr>
            <w:tcW w:w="160" w:type="dxa"/>
            <w:vAlign w:val="bottom"/>
            <w:shd w:val="clear" w:color="auto" w:fill="D6D1D8"/>
          </w:tcPr>
          <w:p>
            <w:pPr>
              <w:spacing w:after="0"/>
              <w:rPr>
                <w:sz w:val="13"/>
                <w:szCs w:val="13"/>
                <w:color w:val="auto"/>
              </w:rPr>
            </w:pPr>
          </w:p>
        </w:tc>
        <w:tc>
          <w:tcPr>
            <w:tcW w:w="920" w:type="dxa"/>
            <w:vAlign w:val="bottom"/>
            <w:shd w:val="clear" w:color="auto" w:fill="D6D1D8"/>
          </w:tcPr>
          <w:p>
            <w:pPr>
              <w:jc w:val="right"/>
              <w:ind w:right="191"/>
              <w:spacing w:after="0"/>
              <w:rPr>
                <w:sz w:val="20"/>
                <w:szCs w:val="20"/>
                <w:color w:val="auto"/>
              </w:rPr>
            </w:pPr>
            <w:r>
              <w:rPr>
                <w:rFonts w:ascii="Arial" w:cs="Arial" w:eastAsia="Arial" w:hAnsi="Arial"/>
                <w:sz w:val="14"/>
                <w:szCs w:val="14"/>
                <w:color w:val="auto"/>
              </w:rPr>
              <w:t>12.25%</w:t>
            </w:r>
          </w:p>
        </w:tc>
        <w:tc>
          <w:tcPr>
            <w:tcW w:w="200" w:type="dxa"/>
            <w:vAlign w:val="bottom"/>
            <w:shd w:val="clear" w:color="auto" w:fill="D6D1D8"/>
          </w:tcPr>
          <w:p>
            <w:pPr>
              <w:spacing w:after="0"/>
              <w:rPr>
                <w:sz w:val="13"/>
                <w:szCs w:val="13"/>
                <w:color w:val="auto"/>
              </w:rPr>
            </w:pPr>
          </w:p>
        </w:tc>
        <w:tc>
          <w:tcPr>
            <w:tcW w:w="860" w:type="dxa"/>
            <w:vAlign w:val="bottom"/>
            <w:shd w:val="clear" w:color="auto" w:fill="D6D1D8"/>
          </w:tcPr>
          <w:p>
            <w:pPr>
              <w:jc w:val="center"/>
              <w:ind w:right="31"/>
              <w:spacing w:after="0"/>
              <w:rPr>
                <w:sz w:val="20"/>
                <w:szCs w:val="20"/>
                <w:color w:val="auto"/>
              </w:rPr>
            </w:pPr>
            <w:r>
              <w:rPr>
                <w:rFonts w:ascii="Arial" w:cs="Arial" w:eastAsia="Arial" w:hAnsi="Arial"/>
                <w:sz w:val="14"/>
                <w:szCs w:val="14"/>
                <w:color w:val="auto"/>
              </w:rPr>
              <w:t>13.00%</w:t>
            </w:r>
          </w:p>
        </w:tc>
        <w:tc>
          <w:tcPr>
            <w:tcW w:w="220" w:type="dxa"/>
            <w:vAlign w:val="bottom"/>
            <w:shd w:val="clear" w:color="auto" w:fill="D6D1D8"/>
          </w:tcPr>
          <w:p>
            <w:pPr>
              <w:spacing w:after="0"/>
              <w:rPr>
                <w:sz w:val="13"/>
                <w:szCs w:val="13"/>
                <w:color w:val="auto"/>
              </w:rPr>
            </w:pPr>
          </w:p>
        </w:tc>
        <w:tc>
          <w:tcPr>
            <w:tcW w:w="920" w:type="dxa"/>
            <w:vAlign w:val="bottom"/>
            <w:shd w:val="clear" w:color="auto" w:fill="D6D1D8"/>
          </w:tcPr>
          <w:p>
            <w:pPr>
              <w:ind w:left="160"/>
              <w:spacing w:after="0"/>
              <w:rPr>
                <w:sz w:val="20"/>
                <w:szCs w:val="20"/>
                <w:color w:val="auto"/>
              </w:rPr>
            </w:pPr>
            <w:r>
              <w:rPr>
                <w:rFonts w:ascii="Arial" w:cs="Arial" w:eastAsia="Arial" w:hAnsi="Arial"/>
                <w:sz w:val="14"/>
                <w:szCs w:val="14"/>
                <w:color w:val="auto"/>
              </w:rPr>
              <w:t>13.3%</w:t>
            </w:r>
          </w:p>
        </w:tc>
        <w:tc>
          <w:tcPr>
            <w:tcW w:w="92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Maximum</w:t>
            </w:r>
          </w:p>
        </w:tc>
      </w:tr>
      <w:tr>
        <w:trPr>
          <w:trHeight w:val="203"/>
        </w:trPr>
        <w:tc>
          <w:tcPr>
            <w:tcW w:w="600" w:type="dxa"/>
            <w:vAlign w:val="bottom"/>
            <w:tcBorders>
              <w:bottom w:val="single" w:sz="8" w:color="D6D1D8"/>
            </w:tcBorders>
            <w:shd w:val="clear" w:color="auto" w:fill="D6D1D8"/>
          </w:tcPr>
          <w:p>
            <w:pPr>
              <w:spacing w:after="0"/>
              <w:rPr>
                <w:sz w:val="17"/>
                <w:szCs w:val="17"/>
                <w:color w:val="auto"/>
              </w:rPr>
            </w:pPr>
          </w:p>
        </w:tc>
        <w:tc>
          <w:tcPr>
            <w:tcW w:w="4320" w:type="dxa"/>
            <w:vAlign w:val="bottom"/>
            <w:tcBorders>
              <w:bottom w:val="single" w:sz="8" w:color="D6D1D8"/>
            </w:tcBorders>
            <w:shd w:val="clear" w:color="auto" w:fill="D6D1D8"/>
          </w:tcPr>
          <w:p>
            <w:pPr>
              <w:ind w:left="100"/>
              <w:spacing w:after="0"/>
              <w:rPr>
                <w:sz w:val="20"/>
                <w:szCs w:val="20"/>
                <w:color w:val="auto"/>
              </w:rPr>
            </w:pPr>
            <w:r>
              <w:rPr>
                <w:rFonts w:ascii="Arial" w:cs="Arial" w:eastAsia="Arial" w:hAnsi="Arial"/>
                <w:sz w:val="14"/>
                <w:szCs w:val="14"/>
                <w:color w:val="auto"/>
              </w:rPr>
              <w:t>Gaming Revenues</w:t>
            </w:r>
          </w:p>
        </w:tc>
        <w:tc>
          <w:tcPr>
            <w:tcW w:w="680" w:type="dxa"/>
            <w:vAlign w:val="bottom"/>
            <w:tcBorders>
              <w:bottom w:val="single" w:sz="8" w:color="D6D1D8"/>
            </w:tcBorders>
            <w:shd w:val="clear" w:color="auto" w:fill="D6D1D8"/>
          </w:tcPr>
          <w:p>
            <w:pPr>
              <w:spacing w:after="0"/>
              <w:rPr>
                <w:sz w:val="17"/>
                <w:szCs w:val="17"/>
                <w:color w:val="auto"/>
              </w:rPr>
            </w:pPr>
          </w:p>
        </w:tc>
        <w:tc>
          <w:tcPr>
            <w:tcW w:w="220" w:type="dxa"/>
            <w:vAlign w:val="bottom"/>
            <w:tcBorders>
              <w:bottom w:val="single" w:sz="8" w:color="D6D1D8"/>
            </w:tcBorders>
            <w:shd w:val="clear" w:color="auto" w:fill="D6D1D8"/>
          </w:tcPr>
          <w:p>
            <w:pPr>
              <w:spacing w:after="0"/>
              <w:rPr>
                <w:sz w:val="17"/>
                <w:szCs w:val="17"/>
                <w:color w:val="auto"/>
              </w:rPr>
            </w:pPr>
          </w:p>
        </w:tc>
        <w:tc>
          <w:tcPr>
            <w:tcW w:w="900" w:type="dxa"/>
            <w:vAlign w:val="bottom"/>
            <w:tcBorders>
              <w:bottom w:val="single" w:sz="8" w:color="D6D1D8"/>
            </w:tcBorders>
            <w:shd w:val="clear" w:color="auto" w:fill="D6D1D8"/>
          </w:tcPr>
          <w:p>
            <w:pPr>
              <w:spacing w:after="0"/>
              <w:rPr>
                <w:sz w:val="17"/>
                <w:szCs w:val="17"/>
                <w:color w:val="auto"/>
              </w:rPr>
            </w:pPr>
          </w:p>
        </w:tc>
        <w:tc>
          <w:tcPr>
            <w:tcW w:w="160" w:type="dxa"/>
            <w:vAlign w:val="bottom"/>
            <w:tcBorders>
              <w:bottom w:val="single" w:sz="8" w:color="D6D1D8"/>
            </w:tcBorders>
            <w:shd w:val="clear" w:color="auto" w:fill="D6D1D8"/>
          </w:tcPr>
          <w:p>
            <w:pPr>
              <w:spacing w:after="0"/>
              <w:rPr>
                <w:sz w:val="17"/>
                <w:szCs w:val="17"/>
                <w:color w:val="auto"/>
              </w:rPr>
            </w:pPr>
          </w:p>
        </w:tc>
        <w:tc>
          <w:tcPr>
            <w:tcW w:w="920" w:type="dxa"/>
            <w:vAlign w:val="bottom"/>
            <w:tcBorders>
              <w:bottom w:val="single" w:sz="8" w:color="D6D1D8"/>
            </w:tcBorders>
            <w:shd w:val="clear" w:color="auto" w:fill="D6D1D8"/>
          </w:tcPr>
          <w:p>
            <w:pPr>
              <w:spacing w:after="0"/>
              <w:rPr>
                <w:sz w:val="17"/>
                <w:szCs w:val="17"/>
                <w:color w:val="auto"/>
              </w:rPr>
            </w:pPr>
          </w:p>
        </w:tc>
        <w:tc>
          <w:tcPr>
            <w:tcW w:w="200" w:type="dxa"/>
            <w:vAlign w:val="bottom"/>
            <w:tcBorders>
              <w:bottom w:val="single" w:sz="8" w:color="D6D1D8"/>
            </w:tcBorders>
            <w:shd w:val="clear" w:color="auto" w:fill="D6D1D8"/>
          </w:tcPr>
          <w:p>
            <w:pPr>
              <w:spacing w:after="0"/>
              <w:rPr>
                <w:sz w:val="17"/>
                <w:szCs w:val="17"/>
                <w:color w:val="auto"/>
              </w:rPr>
            </w:pPr>
          </w:p>
        </w:tc>
        <w:tc>
          <w:tcPr>
            <w:tcW w:w="860" w:type="dxa"/>
            <w:vAlign w:val="bottom"/>
            <w:tcBorders>
              <w:bottom w:val="single" w:sz="8" w:color="D6D1D8"/>
            </w:tcBorders>
            <w:shd w:val="clear" w:color="auto" w:fill="D6D1D8"/>
          </w:tcPr>
          <w:p>
            <w:pPr>
              <w:spacing w:after="0"/>
              <w:rPr>
                <w:sz w:val="17"/>
                <w:szCs w:val="17"/>
                <w:color w:val="auto"/>
              </w:rPr>
            </w:pPr>
          </w:p>
        </w:tc>
        <w:tc>
          <w:tcPr>
            <w:tcW w:w="220" w:type="dxa"/>
            <w:vAlign w:val="bottom"/>
            <w:tcBorders>
              <w:bottom w:val="single" w:sz="8" w:color="D6D1D8"/>
            </w:tcBorders>
            <w:shd w:val="clear" w:color="auto" w:fill="D6D1D8"/>
          </w:tcPr>
          <w:p>
            <w:pPr>
              <w:spacing w:after="0"/>
              <w:rPr>
                <w:sz w:val="17"/>
                <w:szCs w:val="17"/>
                <w:color w:val="auto"/>
              </w:rPr>
            </w:pPr>
          </w:p>
        </w:tc>
        <w:tc>
          <w:tcPr>
            <w:tcW w:w="920" w:type="dxa"/>
            <w:vAlign w:val="bottom"/>
            <w:tcBorders>
              <w:bottom w:val="single" w:sz="8" w:color="D6D1D8"/>
            </w:tcBorders>
            <w:shd w:val="clear" w:color="auto" w:fill="D6D1D8"/>
          </w:tcPr>
          <w:p>
            <w:pPr>
              <w:spacing w:after="0"/>
              <w:rPr>
                <w:sz w:val="17"/>
                <w:szCs w:val="17"/>
                <w:color w:val="auto"/>
              </w:rPr>
            </w:pPr>
          </w:p>
        </w:tc>
        <w:tc>
          <w:tcPr>
            <w:tcW w:w="920" w:type="dxa"/>
            <w:vAlign w:val="bottom"/>
            <w:tcBorders>
              <w:bottom w:val="single" w:sz="8" w:color="D6D1D8"/>
            </w:tcBorders>
            <w:shd w:val="clear" w:color="auto" w:fill="D6D1D8"/>
          </w:tcPr>
          <w:p>
            <w:pPr>
              <w:spacing w:after="0"/>
              <w:rPr>
                <w:sz w:val="17"/>
                <w:szCs w:val="17"/>
                <w:color w:val="auto"/>
              </w:rPr>
            </w:pPr>
          </w:p>
        </w:tc>
      </w:tr>
      <w:tr>
        <w:trPr>
          <w:trHeight w:val="258"/>
        </w:trPr>
        <w:tc>
          <w:tcPr>
            <w:tcW w:w="600" w:type="dxa"/>
            <w:vAlign w:val="bottom"/>
          </w:tcPr>
          <w:p>
            <w:pPr>
              <w:ind w:left="80"/>
              <w:spacing w:after="0"/>
              <w:rPr>
                <w:sz w:val="20"/>
                <w:szCs w:val="20"/>
                <w:color w:val="auto"/>
              </w:rPr>
            </w:pPr>
            <w:r>
              <w:rPr>
                <w:rFonts w:ascii="Arial" w:cs="Arial" w:eastAsia="Arial" w:hAnsi="Arial"/>
                <w:sz w:val="14"/>
                <w:szCs w:val="14"/>
                <w:color w:val="auto"/>
              </w:rPr>
              <w:t>Goal 4 -</w:t>
            </w:r>
          </w:p>
        </w:tc>
        <w:tc>
          <w:tcPr>
            <w:tcW w:w="4320" w:type="dxa"/>
            <w:vAlign w:val="bottom"/>
          </w:tcPr>
          <w:p>
            <w:pPr>
              <w:ind w:left="100"/>
              <w:spacing w:after="0"/>
              <w:rPr>
                <w:sz w:val="20"/>
                <w:szCs w:val="20"/>
                <w:color w:val="auto"/>
              </w:rPr>
            </w:pPr>
            <w:r>
              <w:rPr>
                <w:rFonts w:ascii="Arial" w:cs="Arial" w:eastAsia="Arial" w:hAnsi="Arial"/>
                <w:sz w:val="14"/>
                <w:szCs w:val="14"/>
                <w:color w:val="auto"/>
              </w:rPr>
              <w:t>Macau Operations,</w:t>
            </w: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60"/>
        </w:trPr>
        <w:tc>
          <w:tcPr>
            <w:tcW w:w="600" w:type="dxa"/>
            <w:vAlign w:val="bottom"/>
          </w:tcPr>
          <w:p>
            <w:pPr>
              <w:spacing w:after="0"/>
              <w:rPr>
                <w:sz w:val="13"/>
                <w:szCs w:val="13"/>
                <w:color w:val="auto"/>
              </w:rPr>
            </w:pPr>
          </w:p>
        </w:tc>
        <w:tc>
          <w:tcPr>
            <w:tcW w:w="4320" w:type="dxa"/>
            <w:vAlign w:val="bottom"/>
          </w:tcPr>
          <w:p>
            <w:pPr>
              <w:ind w:left="100"/>
              <w:spacing w:after="0"/>
              <w:rPr>
                <w:sz w:val="20"/>
                <w:szCs w:val="20"/>
                <w:color w:val="auto"/>
              </w:rPr>
            </w:pPr>
            <w:r>
              <w:rPr>
                <w:rFonts w:ascii="Arial" w:cs="Arial" w:eastAsia="Arial" w:hAnsi="Arial"/>
                <w:sz w:val="14"/>
                <w:szCs w:val="14"/>
                <w:color w:val="auto"/>
              </w:rPr>
              <w:t>Market Share of Gross</w:t>
            </w:r>
          </w:p>
        </w:tc>
        <w:tc>
          <w:tcPr>
            <w:tcW w:w="680" w:type="dxa"/>
            <w:vAlign w:val="bottom"/>
          </w:tcPr>
          <w:p>
            <w:pPr>
              <w:jc w:val="right"/>
              <w:ind w:right="71"/>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13.25%</w:t>
            </w:r>
          </w:p>
        </w:tc>
        <w:tc>
          <w:tcPr>
            <w:tcW w:w="160" w:type="dxa"/>
            <w:vAlign w:val="bottom"/>
          </w:tcPr>
          <w:p>
            <w:pPr>
              <w:spacing w:after="0"/>
              <w:rPr>
                <w:sz w:val="13"/>
                <w:szCs w:val="13"/>
                <w:color w:val="auto"/>
              </w:rPr>
            </w:pPr>
          </w:p>
        </w:tc>
        <w:tc>
          <w:tcPr>
            <w:tcW w:w="920" w:type="dxa"/>
            <w:vAlign w:val="bottom"/>
          </w:tcPr>
          <w:p>
            <w:pPr>
              <w:jc w:val="right"/>
              <w:ind w:right="191"/>
              <w:spacing w:after="0"/>
              <w:rPr>
                <w:sz w:val="20"/>
                <w:szCs w:val="20"/>
                <w:color w:val="auto"/>
              </w:rPr>
            </w:pPr>
            <w:r>
              <w:rPr>
                <w:rFonts w:ascii="Arial" w:cs="Arial" w:eastAsia="Arial" w:hAnsi="Arial"/>
                <w:sz w:val="14"/>
                <w:szCs w:val="14"/>
                <w:color w:val="auto"/>
              </w:rPr>
              <w:t>14.00%</w:t>
            </w:r>
          </w:p>
        </w:tc>
        <w:tc>
          <w:tcPr>
            <w:tcW w:w="200" w:type="dxa"/>
            <w:vAlign w:val="bottom"/>
          </w:tcPr>
          <w:p>
            <w:pPr>
              <w:spacing w:after="0"/>
              <w:rPr>
                <w:sz w:val="13"/>
                <w:szCs w:val="13"/>
                <w:color w:val="auto"/>
              </w:rPr>
            </w:pPr>
          </w:p>
        </w:tc>
        <w:tc>
          <w:tcPr>
            <w:tcW w:w="860" w:type="dxa"/>
            <w:vAlign w:val="bottom"/>
          </w:tcPr>
          <w:p>
            <w:pPr>
              <w:jc w:val="center"/>
              <w:ind w:right="31"/>
              <w:spacing w:after="0"/>
              <w:rPr>
                <w:sz w:val="20"/>
                <w:szCs w:val="20"/>
                <w:color w:val="auto"/>
              </w:rPr>
            </w:pPr>
            <w:r>
              <w:rPr>
                <w:rFonts w:ascii="Arial" w:cs="Arial" w:eastAsia="Arial" w:hAnsi="Arial"/>
                <w:sz w:val="14"/>
                <w:szCs w:val="14"/>
                <w:color w:val="auto"/>
              </w:rPr>
              <w:t>14.50%</w:t>
            </w:r>
          </w:p>
        </w:tc>
        <w:tc>
          <w:tcPr>
            <w:tcW w:w="2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4"/>
                <w:szCs w:val="14"/>
                <w:color w:val="auto"/>
              </w:rPr>
              <w:t>13.9%</w:t>
            </w:r>
          </w:p>
        </w:tc>
        <w:tc>
          <w:tcPr>
            <w:tcW w:w="920" w:type="dxa"/>
            <w:vAlign w:val="bottom"/>
          </w:tcPr>
          <w:p>
            <w:pPr>
              <w:jc w:val="center"/>
              <w:spacing w:after="0"/>
              <w:rPr>
                <w:sz w:val="20"/>
                <w:szCs w:val="20"/>
                <w:color w:val="auto"/>
              </w:rPr>
            </w:pPr>
            <w:r>
              <w:rPr>
                <w:rFonts w:ascii="Arial" w:cs="Arial" w:eastAsia="Arial" w:hAnsi="Arial"/>
                <w:sz w:val="14"/>
                <w:szCs w:val="14"/>
                <w:color w:val="auto"/>
              </w:rPr>
              <w:t>Threshold</w:t>
            </w:r>
          </w:p>
        </w:tc>
      </w:tr>
      <w:tr>
        <w:trPr>
          <w:trHeight w:val="189"/>
        </w:trPr>
        <w:tc>
          <w:tcPr>
            <w:tcW w:w="600" w:type="dxa"/>
            <w:vAlign w:val="bottom"/>
          </w:tcPr>
          <w:p>
            <w:pPr>
              <w:spacing w:after="0"/>
              <w:rPr>
                <w:sz w:val="16"/>
                <w:szCs w:val="16"/>
                <w:color w:val="auto"/>
              </w:rPr>
            </w:pPr>
          </w:p>
        </w:tc>
        <w:tc>
          <w:tcPr>
            <w:tcW w:w="4320" w:type="dxa"/>
            <w:vAlign w:val="bottom"/>
          </w:tcPr>
          <w:p>
            <w:pPr>
              <w:ind w:left="100"/>
              <w:spacing w:after="0"/>
              <w:rPr>
                <w:sz w:val="20"/>
                <w:szCs w:val="20"/>
                <w:color w:val="auto"/>
              </w:rPr>
            </w:pPr>
            <w:r>
              <w:rPr>
                <w:rFonts w:ascii="Arial" w:cs="Arial" w:eastAsia="Arial" w:hAnsi="Arial"/>
                <w:sz w:val="14"/>
                <w:szCs w:val="14"/>
                <w:color w:val="auto"/>
              </w:rPr>
              <w:t>Gaming Revenues</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4"/>
        </w:trPr>
        <w:tc>
          <w:tcPr>
            <w:tcW w:w="6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8"/>
        </w:trPr>
        <w:tc>
          <w:tcPr>
            <w:tcW w:w="600" w:type="dxa"/>
            <w:vAlign w:val="bottom"/>
            <w:shd w:val="clear" w:color="auto" w:fill="D6D1D8"/>
          </w:tcPr>
          <w:p>
            <w:pPr>
              <w:ind w:left="80"/>
              <w:spacing w:after="0"/>
              <w:rPr>
                <w:sz w:val="20"/>
                <w:szCs w:val="20"/>
                <w:color w:val="auto"/>
              </w:rPr>
            </w:pPr>
            <w:r>
              <w:rPr>
                <w:rFonts w:ascii="Arial" w:cs="Arial" w:eastAsia="Arial" w:hAnsi="Arial"/>
                <w:sz w:val="14"/>
                <w:szCs w:val="14"/>
                <w:color w:val="auto"/>
              </w:rPr>
              <w:t>Goal 5 -</w:t>
            </w:r>
          </w:p>
        </w:tc>
        <w:tc>
          <w:tcPr>
            <w:tcW w:w="4320" w:type="dxa"/>
            <w:vAlign w:val="bottom"/>
            <w:shd w:val="clear" w:color="auto" w:fill="D6D1D8"/>
          </w:tcPr>
          <w:p>
            <w:pPr>
              <w:ind w:left="100"/>
              <w:spacing w:after="0"/>
              <w:rPr>
                <w:sz w:val="20"/>
                <w:szCs w:val="20"/>
                <w:color w:val="auto"/>
              </w:rPr>
            </w:pPr>
            <w:r>
              <w:rPr>
                <w:rFonts w:ascii="Arial" w:cs="Arial" w:eastAsia="Arial" w:hAnsi="Arial"/>
                <w:sz w:val="14"/>
                <w:szCs w:val="14"/>
                <w:color w:val="auto"/>
              </w:rPr>
              <w:t>Wynn Las Vegas,</w:t>
            </w:r>
          </w:p>
        </w:tc>
        <w:tc>
          <w:tcPr>
            <w:tcW w:w="680" w:type="dxa"/>
            <w:vAlign w:val="bottom"/>
            <w:shd w:val="clear" w:color="auto" w:fill="D6D1D8"/>
          </w:tcPr>
          <w:p>
            <w:pPr>
              <w:spacing w:after="0"/>
              <w:rPr>
                <w:sz w:val="22"/>
                <w:szCs w:val="22"/>
                <w:color w:val="auto"/>
              </w:rPr>
            </w:pPr>
          </w:p>
        </w:tc>
        <w:tc>
          <w:tcPr>
            <w:tcW w:w="220" w:type="dxa"/>
            <w:vAlign w:val="bottom"/>
            <w:shd w:val="clear" w:color="auto" w:fill="D6D1D8"/>
          </w:tcPr>
          <w:p>
            <w:pPr>
              <w:spacing w:after="0"/>
              <w:rPr>
                <w:sz w:val="22"/>
                <w:szCs w:val="22"/>
                <w:color w:val="auto"/>
              </w:rPr>
            </w:pPr>
          </w:p>
        </w:tc>
        <w:tc>
          <w:tcPr>
            <w:tcW w:w="900" w:type="dxa"/>
            <w:vAlign w:val="bottom"/>
            <w:shd w:val="clear" w:color="auto" w:fill="D6D1D8"/>
          </w:tcPr>
          <w:p>
            <w:pPr>
              <w:spacing w:after="0"/>
              <w:rPr>
                <w:sz w:val="22"/>
                <w:szCs w:val="22"/>
                <w:color w:val="auto"/>
              </w:rPr>
            </w:pPr>
          </w:p>
        </w:tc>
        <w:tc>
          <w:tcPr>
            <w:tcW w:w="160" w:type="dxa"/>
            <w:vAlign w:val="bottom"/>
            <w:shd w:val="clear" w:color="auto" w:fill="D6D1D8"/>
          </w:tcPr>
          <w:p>
            <w:pPr>
              <w:spacing w:after="0"/>
              <w:rPr>
                <w:sz w:val="22"/>
                <w:szCs w:val="22"/>
                <w:color w:val="auto"/>
              </w:rPr>
            </w:pPr>
          </w:p>
        </w:tc>
        <w:tc>
          <w:tcPr>
            <w:tcW w:w="920" w:type="dxa"/>
            <w:vAlign w:val="bottom"/>
            <w:shd w:val="clear" w:color="auto" w:fill="D6D1D8"/>
          </w:tcPr>
          <w:p>
            <w:pPr>
              <w:spacing w:after="0"/>
              <w:rPr>
                <w:sz w:val="22"/>
                <w:szCs w:val="22"/>
                <w:color w:val="auto"/>
              </w:rPr>
            </w:pPr>
          </w:p>
        </w:tc>
        <w:tc>
          <w:tcPr>
            <w:tcW w:w="200" w:type="dxa"/>
            <w:vAlign w:val="bottom"/>
            <w:shd w:val="clear" w:color="auto" w:fill="D6D1D8"/>
          </w:tcPr>
          <w:p>
            <w:pPr>
              <w:spacing w:after="0"/>
              <w:rPr>
                <w:sz w:val="22"/>
                <w:szCs w:val="22"/>
                <w:color w:val="auto"/>
              </w:rPr>
            </w:pPr>
          </w:p>
        </w:tc>
        <w:tc>
          <w:tcPr>
            <w:tcW w:w="860" w:type="dxa"/>
            <w:vAlign w:val="bottom"/>
            <w:shd w:val="clear" w:color="auto" w:fill="D6D1D8"/>
          </w:tcPr>
          <w:p>
            <w:pPr>
              <w:spacing w:after="0"/>
              <w:rPr>
                <w:sz w:val="22"/>
                <w:szCs w:val="22"/>
                <w:color w:val="auto"/>
              </w:rPr>
            </w:pPr>
          </w:p>
        </w:tc>
        <w:tc>
          <w:tcPr>
            <w:tcW w:w="220" w:type="dxa"/>
            <w:vAlign w:val="bottom"/>
            <w:shd w:val="clear" w:color="auto" w:fill="D6D1D8"/>
          </w:tcPr>
          <w:p>
            <w:pPr>
              <w:spacing w:after="0"/>
              <w:rPr>
                <w:sz w:val="22"/>
                <w:szCs w:val="22"/>
                <w:color w:val="auto"/>
              </w:rPr>
            </w:pPr>
          </w:p>
        </w:tc>
        <w:tc>
          <w:tcPr>
            <w:tcW w:w="920" w:type="dxa"/>
            <w:vAlign w:val="bottom"/>
            <w:shd w:val="clear" w:color="auto" w:fill="D6D1D8"/>
          </w:tcPr>
          <w:p>
            <w:pPr>
              <w:spacing w:after="0"/>
              <w:rPr>
                <w:sz w:val="22"/>
                <w:szCs w:val="22"/>
                <w:color w:val="auto"/>
              </w:rPr>
            </w:pPr>
          </w:p>
        </w:tc>
        <w:tc>
          <w:tcPr>
            <w:tcW w:w="920" w:type="dxa"/>
            <w:vAlign w:val="bottom"/>
            <w:shd w:val="clear" w:color="auto" w:fill="D6D1D8"/>
          </w:tcPr>
          <w:p>
            <w:pPr>
              <w:spacing w:after="0"/>
              <w:rPr>
                <w:sz w:val="22"/>
                <w:szCs w:val="22"/>
                <w:color w:val="auto"/>
              </w:rPr>
            </w:pPr>
          </w:p>
        </w:tc>
      </w:tr>
      <w:tr>
        <w:trPr>
          <w:trHeight w:val="160"/>
        </w:trPr>
        <w:tc>
          <w:tcPr>
            <w:tcW w:w="600" w:type="dxa"/>
            <w:vAlign w:val="bottom"/>
            <w:shd w:val="clear" w:color="auto" w:fill="D6D1D8"/>
          </w:tcPr>
          <w:p>
            <w:pPr>
              <w:spacing w:after="0"/>
              <w:rPr>
                <w:sz w:val="13"/>
                <w:szCs w:val="13"/>
                <w:color w:val="auto"/>
              </w:rPr>
            </w:pPr>
          </w:p>
        </w:tc>
        <w:tc>
          <w:tcPr>
            <w:tcW w:w="4320" w:type="dxa"/>
            <w:vAlign w:val="bottom"/>
            <w:shd w:val="clear" w:color="auto" w:fill="D6D1D8"/>
          </w:tcPr>
          <w:p>
            <w:pPr>
              <w:ind w:left="100"/>
              <w:spacing w:after="0"/>
              <w:rPr>
                <w:sz w:val="20"/>
                <w:szCs w:val="20"/>
                <w:color w:val="auto"/>
              </w:rPr>
            </w:pPr>
            <w:r>
              <w:rPr>
                <w:rFonts w:ascii="Arial" w:cs="Arial" w:eastAsia="Arial" w:hAnsi="Arial"/>
                <w:sz w:val="14"/>
                <w:szCs w:val="14"/>
                <w:color w:val="auto"/>
              </w:rPr>
              <w:t>Achievement of Forbes</w:t>
            </w:r>
          </w:p>
        </w:tc>
        <w:tc>
          <w:tcPr>
            <w:tcW w:w="680" w:type="dxa"/>
            <w:vAlign w:val="bottom"/>
            <w:shd w:val="clear" w:color="auto" w:fill="D6D1D8"/>
          </w:tcPr>
          <w:p>
            <w:pPr>
              <w:jc w:val="right"/>
              <w:ind w:right="71"/>
              <w:spacing w:after="0"/>
              <w:rPr>
                <w:sz w:val="20"/>
                <w:szCs w:val="20"/>
                <w:color w:val="auto"/>
              </w:rPr>
            </w:pPr>
            <w:r>
              <w:rPr>
                <w:rFonts w:ascii="Arial" w:cs="Arial" w:eastAsia="Arial" w:hAnsi="Arial"/>
                <w:sz w:val="14"/>
                <w:szCs w:val="14"/>
                <w:color w:val="auto"/>
              </w:rPr>
              <w:t>10%</w:t>
            </w:r>
          </w:p>
        </w:tc>
        <w:tc>
          <w:tcPr>
            <w:tcW w:w="220" w:type="dxa"/>
            <w:vAlign w:val="bottom"/>
            <w:shd w:val="clear" w:color="auto" w:fill="D6D1D8"/>
          </w:tcPr>
          <w:p>
            <w:pPr>
              <w:spacing w:after="0"/>
              <w:rPr>
                <w:sz w:val="13"/>
                <w:szCs w:val="13"/>
                <w:color w:val="auto"/>
              </w:rPr>
            </w:pPr>
          </w:p>
        </w:tc>
        <w:tc>
          <w:tcPr>
            <w:tcW w:w="90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160" w:type="dxa"/>
            <w:vAlign w:val="bottom"/>
            <w:shd w:val="clear" w:color="auto" w:fill="D6D1D8"/>
          </w:tcPr>
          <w:p>
            <w:pPr>
              <w:spacing w:after="0"/>
              <w:rPr>
                <w:sz w:val="13"/>
                <w:szCs w:val="13"/>
                <w:color w:val="auto"/>
              </w:rPr>
            </w:pPr>
          </w:p>
        </w:tc>
        <w:tc>
          <w:tcPr>
            <w:tcW w:w="920" w:type="dxa"/>
            <w:vAlign w:val="bottom"/>
            <w:shd w:val="clear" w:color="auto" w:fill="D6D1D8"/>
          </w:tcPr>
          <w:p>
            <w:pPr>
              <w:jc w:val="right"/>
              <w:ind w:right="11"/>
              <w:spacing w:after="0"/>
              <w:rPr>
                <w:sz w:val="20"/>
                <w:szCs w:val="20"/>
                <w:color w:val="auto"/>
              </w:rPr>
            </w:pPr>
            <w:r>
              <w:rPr>
                <w:rFonts w:ascii="Arial" w:cs="Arial" w:eastAsia="Arial" w:hAnsi="Arial"/>
                <w:sz w:val="14"/>
                <w:szCs w:val="14"/>
                <w:color w:val="auto"/>
              </w:rPr>
              <w:t>Achievement</w:t>
            </w:r>
          </w:p>
        </w:tc>
        <w:tc>
          <w:tcPr>
            <w:tcW w:w="200" w:type="dxa"/>
            <w:vAlign w:val="bottom"/>
            <w:shd w:val="clear" w:color="auto" w:fill="D6D1D8"/>
          </w:tcPr>
          <w:p>
            <w:pPr>
              <w:spacing w:after="0"/>
              <w:rPr>
                <w:sz w:val="13"/>
                <w:szCs w:val="13"/>
                <w:color w:val="auto"/>
              </w:rPr>
            </w:pPr>
          </w:p>
        </w:tc>
        <w:tc>
          <w:tcPr>
            <w:tcW w:w="860" w:type="dxa"/>
            <w:vAlign w:val="bottom"/>
            <w:shd w:val="clear" w:color="auto" w:fill="D6D1D8"/>
          </w:tcPr>
          <w:p>
            <w:pPr>
              <w:jc w:val="center"/>
              <w:ind w:right="31"/>
              <w:spacing w:after="0"/>
              <w:rPr>
                <w:sz w:val="20"/>
                <w:szCs w:val="20"/>
                <w:color w:val="auto"/>
              </w:rPr>
            </w:pPr>
            <w:r>
              <w:rPr>
                <w:rFonts w:ascii="Arial" w:cs="Arial" w:eastAsia="Arial" w:hAnsi="Arial"/>
                <w:sz w:val="14"/>
                <w:szCs w:val="14"/>
                <w:color w:val="auto"/>
                <w:w w:val="84"/>
              </w:rPr>
              <w:t>-</w:t>
            </w:r>
          </w:p>
        </w:tc>
        <w:tc>
          <w:tcPr>
            <w:tcW w:w="220" w:type="dxa"/>
            <w:vAlign w:val="bottom"/>
            <w:shd w:val="clear" w:color="auto" w:fill="D6D1D8"/>
          </w:tcPr>
          <w:p>
            <w:pPr>
              <w:spacing w:after="0"/>
              <w:rPr>
                <w:sz w:val="13"/>
                <w:szCs w:val="13"/>
                <w:color w:val="auto"/>
              </w:rPr>
            </w:pPr>
          </w:p>
        </w:tc>
        <w:tc>
          <w:tcPr>
            <w:tcW w:w="920" w:type="dxa"/>
            <w:vAlign w:val="bottom"/>
            <w:shd w:val="clear" w:color="auto" w:fill="D6D1D8"/>
          </w:tcPr>
          <w:p>
            <w:pPr>
              <w:ind w:left="80"/>
              <w:spacing w:after="0"/>
              <w:rPr>
                <w:sz w:val="20"/>
                <w:szCs w:val="20"/>
                <w:color w:val="auto"/>
              </w:rPr>
            </w:pPr>
            <w:r>
              <w:rPr>
                <w:rFonts w:ascii="Arial" w:cs="Arial" w:eastAsia="Arial" w:hAnsi="Arial"/>
                <w:sz w:val="14"/>
                <w:szCs w:val="14"/>
                <w:color w:val="auto"/>
              </w:rPr>
              <w:t>Achieved</w:t>
            </w:r>
          </w:p>
        </w:tc>
        <w:tc>
          <w:tcPr>
            <w:tcW w:w="92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98"/>
              </w:rPr>
              <w:t>Target</w:t>
            </w:r>
          </w:p>
        </w:tc>
      </w:tr>
      <w:tr>
        <w:trPr>
          <w:trHeight w:val="203"/>
        </w:trPr>
        <w:tc>
          <w:tcPr>
            <w:tcW w:w="600" w:type="dxa"/>
            <w:vAlign w:val="bottom"/>
            <w:tcBorders>
              <w:bottom w:val="single" w:sz="8" w:color="D6D1D8"/>
            </w:tcBorders>
            <w:shd w:val="clear" w:color="auto" w:fill="D6D1D8"/>
          </w:tcPr>
          <w:p>
            <w:pPr>
              <w:spacing w:after="0"/>
              <w:rPr>
                <w:sz w:val="17"/>
                <w:szCs w:val="17"/>
                <w:color w:val="auto"/>
              </w:rPr>
            </w:pPr>
          </w:p>
        </w:tc>
        <w:tc>
          <w:tcPr>
            <w:tcW w:w="4320" w:type="dxa"/>
            <w:vAlign w:val="bottom"/>
            <w:tcBorders>
              <w:bottom w:val="single" w:sz="8" w:color="D6D1D8"/>
            </w:tcBorders>
            <w:shd w:val="clear" w:color="auto" w:fill="D6D1D8"/>
          </w:tcPr>
          <w:p>
            <w:pPr>
              <w:ind w:left="100"/>
              <w:spacing w:after="0"/>
              <w:rPr>
                <w:sz w:val="20"/>
                <w:szCs w:val="20"/>
                <w:color w:val="auto"/>
              </w:rPr>
            </w:pPr>
            <w:r>
              <w:rPr>
                <w:rFonts w:ascii="Arial" w:cs="Arial" w:eastAsia="Arial" w:hAnsi="Arial"/>
                <w:sz w:val="14"/>
                <w:szCs w:val="14"/>
                <w:color w:val="auto"/>
              </w:rPr>
              <w:t>Five-Star (1)</w:t>
            </w:r>
          </w:p>
        </w:tc>
        <w:tc>
          <w:tcPr>
            <w:tcW w:w="680" w:type="dxa"/>
            <w:vAlign w:val="bottom"/>
            <w:tcBorders>
              <w:bottom w:val="single" w:sz="8" w:color="D6D1D8"/>
            </w:tcBorders>
            <w:shd w:val="clear" w:color="auto" w:fill="D6D1D8"/>
          </w:tcPr>
          <w:p>
            <w:pPr>
              <w:spacing w:after="0"/>
              <w:rPr>
                <w:sz w:val="17"/>
                <w:szCs w:val="17"/>
                <w:color w:val="auto"/>
              </w:rPr>
            </w:pPr>
          </w:p>
        </w:tc>
        <w:tc>
          <w:tcPr>
            <w:tcW w:w="220" w:type="dxa"/>
            <w:vAlign w:val="bottom"/>
            <w:tcBorders>
              <w:bottom w:val="single" w:sz="8" w:color="D6D1D8"/>
            </w:tcBorders>
            <w:shd w:val="clear" w:color="auto" w:fill="D6D1D8"/>
          </w:tcPr>
          <w:p>
            <w:pPr>
              <w:spacing w:after="0"/>
              <w:rPr>
                <w:sz w:val="17"/>
                <w:szCs w:val="17"/>
                <w:color w:val="auto"/>
              </w:rPr>
            </w:pPr>
          </w:p>
        </w:tc>
        <w:tc>
          <w:tcPr>
            <w:tcW w:w="900" w:type="dxa"/>
            <w:vAlign w:val="bottom"/>
            <w:tcBorders>
              <w:bottom w:val="single" w:sz="8" w:color="D6D1D8"/>
            </w:tcBorders>
            <w:shd w:val="clear" w:color="auto" w:fill="D6D1D8"/>
          </w:tcPr>
          <w:p>
            <w:pPr>
              <w:spacing w:after="0"/>
              <w:rPr>
                <w:sz w:val="17"/>
                <w:szCs w:val="17"/>
                <w:color w:val="auto"/>
              </w:rPr>
            </w:pPr>
          </w:p>
        </w:tc>
        <w:tc>
          <w:tcPr>
            <w:tcW w:w="160" w:type="dxa"/>
            <w:vAlign w:val="bottom"/>
            <w:tcBorders>
              <w:bottom w:val="single" w:sz="8" w:color="D6D1D8"/>
            </w:tcBorders>
            <w:shd w:val="clear" w:color="auto" w:fill="D6D1D8"/>
          </w:tcPr>
          <w:p>
            <w:pPr>
              <w:spacing w:after="0"/>
              <w:rPr>
                <w:sz w:val="17"/>
                <w:szCs w:val="17"/>
                <w:color w:val="auto"/>
              </w:rPr>
            </w:pPr>
          </w:p>
        </w:tc>
        <w:tc>
          <w:tcPr>
            <w:tcW w:w="920" w:type="dxa"/>
            <w:vAlign w:val="bottom"/>
            <w:tcBorders>
              <w:bottom w:val="single" w:sz="8" w:color="D6D1D8"/>
            </w:tcBorders>
            <w:shd w:val="clear" w:color="auto" w:fill="D6D1D8"/>
          </w:tcPr>
          <w:p>
            <w:pPr>
              <w:spacing w:after="0"/>
              <w:rPr>
                <w:sz w:val="17"/>
                <w:szCs w:val="17"/>
                <w:color w:val="auto"/>
              </w:rPr>
            </w:pPr>
          </w:p>
        </w:tc>
        <w:tc>
          <w:tcPr>
            <w:tcW w:w="200" w:type="dxa"/>
            <w:vAlign w:val="bottom"/>
            <w:tcBorders>
              <w:bottom w:val="single" w:sz="8" w:color="D6D1D8"/>
            </w:tcBorders>
            <w:shd w:val="clear" w:color="auto" w:fill="D6D1D8"/>
          </w:tcPr>
          <w:p>
            <w:pPr>
              <w:spacing w:after="0"/>
              <w:rPr>
                <w:sz w:val="17"/>
                <w:szCs w:val="17"/>
                <w:color w:val="auto"/>
              </w:rPr>
            </w:pPr>
          </w:p>
        </w:tc>
        <w:tc>
          <w:tcPr>
            <w:tcW w:w="860" w:type="dxa"/>
            <w:vAlign w:val="bottom"/>
            <w:tcBorders>
              <w:bottom w:val="single" w:sz="8" w:color="D6D1D8"/>
            </w:tcBorders>
            <w:shd w:val="clear" w:color="auto" w:fill="D6D1D8"/>
          </w:tcPr>
          <w:p>
            <w:pPr>
              <w:spacing w:after="0"/>
              <w:rPr>
                <w:sz w:val="17"/>
                <w:szCs w:val="17"/>
                <w:color w:val="auto"/>
              </w:rPr>
            </w:pPr>
          </w:p>
        </w:tc>
        <w:tc>
          <w:tcPr>
            <w:tcW w:w="220" w:type="dxa"/>
            <w:vAlign w:val="bottom"/>
            <w:tcBorders>
              <w:bottom w:val="single" w:sz="8" w:color="D6D1D8"/>
            </w:tcBorders>
            <w:shd w:val="clear" w:color="auto" w:fill="D6D1D8"/>
          </w:tcPr>
          <w:p>
            <w:pPr>
              <w:spacing w:after="0"/>
              <w:rPr>
                <w:sz w:val="17"/>
                <w:szCs w:val="17"/>
                <w:color w:val="auto"/>
              </w:rPr>
            </w:pPr>
          </w:p>
        </w:tc>
        <w:tc>
          <w:tcPr>
            <w:tcW w:w="920" w:type="dxa"/>
            <w:vAlign w:val="bottom"/>
            <w:tcBorders>
              <w:bottom w:val="single" w:sz="8" w:color="D6D1D8"/>
            </w:tcBorders>
            <w:shd w:val="clear" w:color="auto" w:fill="D6D1D8"/>
          </w:tcPr>
          <w:p>
            <w:pPr>
              <w:spacing w:after="0"/>
              <w:rPr>
                <w:sz w:val="17"/>
                <w:szCs w:val="17"/>
                <w:color w:val="auto"/>
              </w:rPr>
            </w:pPr>
          </w:p>
        </w:tc>
        <w:tc>
          <w:tcPr>
            <w:tcW w:w="920" w:type="dxa"/>
            <w:vAlign w:val="bottom"/>
            <w:tcBorders>
              <w:bottom w:val="single" w:sz="8" w:color="D6D1D8"/>
            </w:tcBorders>
            <w:shd w:val="clear" w:color="auto" w:fill="D6D1D8"/>
          </w:tcPr>
          <w:p>
            <w:pPr>
              <w:spacing w:after="0"/>
              <w:rPr>
                <w:sz w:val="17"/>
                <w:szCs w:val="17"/>
                <w:color w:val="auto"/>
              </w:rPr>
            </w:pPr>
          </w:p>
        </w:tc>
      </w:tr>
      <w:tr>
        <w:trPr>
          <w:trHeight w:val="258"/>
        </w:trPr>
        <w:tc>
          <w:tcPr>
            <w:tcW w:w="600" w:type="dxa"/>
            <w:vAlign w:val="bottom"/>
          </w:tcPr>
          <w:p>
            <w:pPr>
              <w:ind w:left="80"/>
              <w:spacing w:after="0"/>
              <w:rPr>
                <w:sz w:val="20"/>
                <w:szCs w:val="20"/>
                <w:color w:val="auto"/>
              </w:rPr>
            </w:pPr>
            <w:r>
              <w:rPr>
                <w:rFonts w:ascii="Arial" w:cs="Arial" w:eastAsia="Arial" w:hAnsi="Arial"/>
                <w:sz w:val="14"/>
                <w:szCs w:val="14"/>
                <w:color w:val="auto"/>
              </w:rPr>
              <w:t>Goal 6 -</w:t>
            </w:r>
          </w:p>
        </w:tc>
        <w:tc>
          <w:tcPr>
            <w:tcW w:w="4320" w:type="dxa"/>
            <w:vAlign w:val="bottom"/>
          </w:tcPr>
          <w:p>
            <w:pPr>
              <w:ind w:left="100"/>
              <w:spacing w:after="0"/>
              <w:rPr>
                <w:sz w:val="20"/>
                <w:szCs w:val="20"/>
                <w:color w:val="auto"/>
              </w:rPr>
            </w:pPr>
            <w:r>
              <w:rPr>
                <w:rFonts w:ascii="Arial" w:cs="Arial" w:eastAsia="Arial" w:hAnsi="Arial"/>
                <w:sz w:val="14"/>
                <w:szCs w:val="14"/>
                <w:color w:val="auto"/>
              </w:rPr>
              <w:t>Wynn Resorts Development,</w:t>
            </w: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60"/>
        </w:trPr>
        <w:tc>
          <w:tcPr>
            <w:tcW w:w="600" w:type="dxa"/>
            <w:vAlign w:val="bottom"/>
          </w:tcPr>
          <w:p>
            <w:pPr>
              <w:spacing w:after="0"/>
              <w:rPr>
                <w:sz w:val="13"/>
                <w:szCs w:val="13"/>
                <w:color w:val="auto"/>
              </w:rPr>
            </w:pPr>
          </w:p>
        </w:tc>
        <w:tc>
          <w:tcPr>
            <w:tcW w:w="4320" w:type="dxa"/>
            <w:vAlign w:val="bottom"/>
          </w:tcPr>
          <w:p>
            <w:pPr>
              <w:ind w:left="100"/>
              <w:spacing w:after="0"/>
              <w:rPr>
                <w:sz w:val="20"/>
                <w:szCs w:val="20"/>
                <w:color w:val="auto"/>
              </w:rPr>
            </w:pPr>
            <w:r>
              <w:rPr>
                <w:rFonts w:ascii="Arial" w:cs="Arial" w:eastAsia="Arial" w:hAnsi="Arial"/>
                <w:sz w:val="14"/>
                <w:szCs w:val="14"/>
                <w:color w:val="auto"/>
              </w:rPr>
              <w:t>Advancement of Design &amp;</w:t>
            </w:r>
          </w:p>
        </w:tc>
        <w:tc>
          <w:tcPr>
            <w:tcW w:w="680" w:type="dxa"/>
            <w:vAlign w:val="bottom"/>
          </w:tcPr>
          <w:p>
            <w:pPr>
              <w:jc w:val="right"/>
              <w:ind w:right="71"/>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60" w:type="dxa"/>
            <w:vAlign w:val="bottom"/>
          </w:tcPr>
          <w:p>
            <w:pPr>
              <w:spacing w:after="0"/>
              <w:rPr>
                <w:sz w:val="13"/>
                <w:szCs w:val="13"/>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Achievement</w:t>
            </w:r>
          </w:p>
        </w:tc>
        <w:tc>
          <w:tcPr>
            <w:tcW w:w="200" w:type="dxa"/>
            <w:vAlign w:val="bottom"/>
          </w:tcPr>
          <w:p>
            <w:pPr>
              <w:spacing w:after="0"/>
              <w:rPr>
                <w:sz w:val="13"/>
                <w:szCs w:val="13"/>
                <w:color w:val="auto"/>
              </w:rPr>
            </w:pPr>
          </w:p>
        </w:tc>
        <w:tc>
          <w:tcPr>
            <w:tcW w:w="860" w:type="dxa"/>
            <w:vAlign w:val="bottom"/>
          </w:tcPr>
          <w:p>
            <w:pPr>
              <w:jc w:val="center"/>
              <w:ind w:right="31"/>
              <w:spacing w:after="0"/>
              <w:rPr>
                <w:sz w:val="20"/>
                <w:szCs w:val="20"/>
                <w:color w:val="auto"/>
              </w:rPr>
            </w:pPr>
            <w:r>
              <w:rPr>
                <w:rFonts w:ascii="Arial" w:cs="Arial" w:eastAsia="Arial" w:hAnsi="Arial"/>
                <w:sz w:val="14"/>
                <w:szCs w:val="14"/>
                <w:color w:val="auto"/>
                <w:w w:val="84"/>
              </w:rPr>
              <w:t>-</w:t>
            </w:r>
          </w:p>
        </w:tc>
        <w:tc>
          <w:tcPr>
            <w:tcW w:w="22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4"/>
                <w:szCs w:val="14"/>
                <w:color w:val="auto"/>
              </w:rPr>
              <w:t>Achieved</w:t>
            </w:r>
          </w:p>
        </w:tc>
        <w:tc>
          <w:tcPr>
            <w:tcW w:w="920" w:type="dxa"/>
            <w:vAlign w:val="bottom"/>
          </w:tcPr>
          <w:p>
            <w:pPr>
              <w:jc w:val="center"/>
              <w:spacing w:after="0"/>
              <w:rPr>
                <w:sz w:val="20"/>
                <w:szCs w:val="20"/>
                <w:color w:val="auto"/>
              </w:rPr>
            </w:pPr>
            <w:r>
              <w:rPr>
                <w:rFonts w:ascii="Arial" w:cs="Arial" w:eastAsia="Arial" w:hAnsi="Arial"/>
                <w:sz w:val="14"/>
                <w:szCs w:val="14"/>
                <w:color w:val="auto"/>
                <w:w w:val="98"/>
              </w:rPr>
              <w:t>Target</w:t>
            </w:r>
          </w:p>
        </w:tc>
      </w:tr>
      <w:tr>
        <w:trPr>
          <w:trHeight w:val="189"/>
        </w:trPr>
        <w:tc>
          <w:tcPr>
            <w:tcW w:w="600" w:type="dxa"/>
            <w:vAlign w:val="bottom"/>
          </w:tcPr>
          <w:p>
            <w:pPr>
              <w:spacing w:after="0"/>
              <w:rPr>
                <w:sz w:val="16"/>
                <w:szCs w:val="16"/>
                <w:color w:val="auto"/>
              </w:rPr>
            </w:pPr>
          </w:p>
        </w:tc>
        <w:tc>
          <w:tcPr>
            <w:tcW w:w="4320" w:type="dxa"/>
            <w:vAlign w:val="bottom"/>
          </w:tcPr>
          <w:p>
            <w:pPr>
              <w:ind w:left="100"/>
              <w:spacing w:after="0"/>
              <w:rPr>
                <w:sz w:val="20"/>
                <w:szCs w:val="20"/>
                <w:color w:val="auto"/>
              </w:rPr>
            </w:pPr>
            <w:r>
              <w:rPr>
                <w:rFonts w:ascii="Arial" w:cs="Arial" w:eastAsia="Arial" w:hAnsi="Arial"/>
                <w:sz w:val="14"/>
                <w:szCs w:val="14"/>
                <w:color w:val="auto"/>
              </w:rPr>
              <w:t>Development of Wynn Al Marjan Island (2)</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r>
    </w:tbl>
    <w:p>
      <w:pPr>
        <w:spacing w:after="0" w:line="123" w:lineRule="exact"/>
        <w:rPr>
          <w:sz w:val="20"/>
          <w:szCs w:val="20"/>
          <w:color w:val="auto"/>
        </w:rPr>
      </w:pPr>
    </w:p>
    <w:p>
      <w:pPr>
        <w:ind w:left="360" w:hanging="193"/>
        <w:spacing w:after="0"/>
        <w:tabs>
          <w:tab w:leader="none" w:pos="36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 2025, Wynn Las Vegas received five Forbes Five-Star awards. As a result, the Compensation Committee approved the payout of this goal at target.</w:t>
      </w:r>
    </w:p>
    <w:p>
      <w:pPr>
        <w:spacing w:after="0" w:line="102" w:lineRule="exact"/>
        <w:rPr>
          <w:rFonts w:ascii="Arial" w:cs="Arial" w:eastAsia="Arial" w:hAnsi="Arial"/>
          <w:sz w:val="12"/>
          <w:szCs w:val="12"/>
          <w:color w:val="auto"/>
        </w:rPr>
      </w:pPr>
    </w:p>
    <w:p>
      <w:pPr>
        <w:ind w:left="160" w:right="160" w:firstLine="7"/>
        <w:spacing w:after="0" w:line="279" w:lineRule="auto"/>
        <w:tabs>
          <w:tab w:leader="none" w:pos="347"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Compensation Committee set a specific goal to achieve a construction milestone of at least level 30 of the tower level floor plates, which was achieved in 2024; as such, the Compensation Committee approved the payout of this goal at target.</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2"/>
          <w:szCs w:val="12"/>
          <w:color w:val="351B3D"/>
        </w:rPr>
        <w:t>40</w:t>
      </w:r>
    </w:p>
    <w:p>
      <w:pPr>
        <w:sectPr>
          <w:pgSz w:w="11900" w:h="16838" w:orient="portrait"/>
          <w:cols w:equalWidth="0" w:num="1">
            <w:col w:w="11080"/>
          </w:cols>
          <w:pgMar w:left="320" w:top="478"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0" w:right="260"/>
        <w:spacing w:after="0" w:line="262" w:lineRule="auto"/>
        <w:rPr>
          <w:sz w:val="20"/>
          <w:szCs w:val="20"/>
          <w:color w:val="auto"/>
        </w:rPr>
      </w:pPr>
      <w:r>
        <w:rPr>
          <w:rFonts w:ascii="Arial" w:cs="Arial" w:eastAsia="Arial" w:hAnsi="Arial"/>
          <w:sz w:val="16"/>
          <w:szCs w:val="16"/>
          <w:color w:val="auto"/>
        </w:rPr>
        <w:t>In January 2025, the Compensation Committee approved a final payout percentage of 107.5% of target and the following 2024 annual incentive award payouts based on Company performance against each of the 2024 goals disclosed above, with the payout being split equally 50% between cash and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4437380</wp:posOffset>
            </wp:positionH>
            <wp:positionV relativeFrom="paragraph">
              <wp:posOffset>135890</wp:posOffset>
            </wp:positionV>
            <wp:extent cx="8255" cy="14776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1477645"/>
                    </a:xfrm>
                    <a:prstGeom prst="rect">
                      <a:avLst/>
                    </a:prstGeom>
                    <a:noFill/>
                  </pic:spPr>
                </pic:pic>
              </a:graphicData>
            </a:graphic>
          </wp:anchor>
        </w:drawing>
      </w:r>
    </w:p>
    <w:p>
      <w:pPr>
        <w:spacing w:after="0" w:line="194" w:lineRule="exact"/>
        <w:rPr>
          <w:sz w:val="20"/>
          <w:szCs w:val="20"/>
          <w:color w:val="auto"/>
        </w:rPr>
      </w:pPr>
    </w:p>
    <w:tbl>
      <w:tblPr>
        <w:tblLayout w:type="fixed"/>
        <w:tblInd w:w="160" w:type="dxa"/>
        <w:tblCellMar>
          <w:top w:w="0" w:type="dxa"/>
          <w:left w:w="0" w:type="dxa"/>
          <w:bottom w:w="0" w:type="dxa"/>
          <w:right w:w="0" w:type="dxa"/>
        </w:tblCellMar>
      </w:tblPr>
      <w:tr>
        <w:trPr>
          <w:trHeight w:val="344"/>
        </w:trPr>
        <w:tc>
          <w:tcPr>
            <w:tcW w:w="3520" w:type="dxa"/>
            <w:vAlign w:val="bottom"/>
            <w:shd w:val="clear" w:color="auto" w:fill="351B3D"/>
          </w:tcPr>
          <w:p>
            <w:pPr>
              <w:spacing w:after="0"/>
              <w:rPr>
                <w:sz w:val="24"/>
                <w:szCs w:val="24"/>
                <w:color w:val="auto"/>
              </w:rPr>
            </w:pPr>
          </w:p>
        </w:tc>
        <w:tc>
          <w:tcPr>
            <w:tcW w:w="1260" w:type="dxa"/>
            <w:vAlign w:val="bottom"/>
            <w:shd w:val="clear" w:color="auto" w:fill="351B3D"/>
          </w:tcPr>
          <w:p>
            <w:pPr>
              <w:spacing w:after="0"/>
              <w:rPr>
                <w:sz w:val="24"/>
                <w:szCs w:val="24"/>
                <w:color w:val="auto"/>
              </w:rPr>
            </w:pPr>
          </w:p>
        </w:tc>
        <w:tc>
          <w:tcPr>
            <w:tcW w:w="920" w:type="dxa"/>
            <w:vAlign w:val="bottom"/>
            <w:shd w:val="clear" w:color="auto" w:fill="351B3D"/>
          </w:tcPr>
          <w:p>
            <w:pPr>
              <w:spacing w:after="0"/>
              <w:rPr>
                <w:sz w:val="24"/>
                <w:szCs w:val="24"/>
                <w:color w:val="auto"/>
              </w:rPr>
            </w:pPr>
          </w:p>
        </w:tc>
        <w:tc>
          <w:tcPr>
            <w:tcW w:w="1120" w:type="dxa"/>
            <w:vAlign w:val="bottom"/>
            <w:shd w:val="clear" w:color="auto" w:fill="351B3D"/>
          </w:tcPr>
          <w:p>
            <w:pPr>
              <w:spacing w:after="0"/>
              <w:rPr>
                <w:sz w:val="24"/>
                <w:szCs w:val="24"/>
                <w:color w:val="auto"/>
              </w:rPr>
            </w:pPr>
          </w:p>
        </w:tc>
        <w:tc>
          <w:tcPr>
            <w:tcW w:w="1320" w:type="dxa"/>
            <w:vAlign w:val="bottom"/>
            <w:shd w:val="clear" w:color="auto" w:fill="351B3D"/>
          </w:tcPr>
          <w:p>
            <w:pPr>
              <w:spacing w:after="0"/>
              <w:rPr>
                <w:sz w:val="24"/>
                <w:szCs w:val="24"/>
                <w:color w:val="auto"/>
              </w:rPr>
            </w:pPr>
          </w:p>
        </w:tc>
        <w:tc>
          <w:tcPr>
            <w:tcW w:w="1480" w:type="dxa"/>
            <w:vAlign w:val="bottom"/>
            <w:gridSpan w:val="2"/>
            <w:shd w:val="clear" w:color="auto" w:fill="351B3D"/>
          </w:tcPr>
          <w:p>
            <w:pPr>
              <w:ind w:left="100"/>
              <w:spacing w:after="0"/>
              <w:rPr>
                <w:sz w:val="20"/>
                <w:szCs w:val="20"/>
                <w:color w:val="auto"/>
              </w:rPr>
            </w:pPr>
            <w:r>
              <w:rPr>
                <w:rFonts w:ascii="Arial" w:cs="Arial" w:eastAsia="Arial" w:hAnsi="Arial"/>
                <w:sz w:val="16"/>
                <w:szCs w:val="16"/>
                <w:color w:val="FFFFFF"/>
              </w:rPr>
              <w:t>ACTUAL AWARD</w:t>
            </w:r>
          </w:p>
        </w:tc>
        <w:tc>
          <w:tcPr>
            <w:tcW w:w="1040" w:type="dxa"/>
            <w:vAlign w:val="bottom"/>
            <w:shd w:val="clear" w:color="auto" w:fill="351B3D"/>
          </w:tcPr>
          <w:p>
            <w:pPr>
              <w:spacing w:after="0"/>
              <w:rPr>
                <w:sz w:val="24"/>
                <w:szCs w:val="24"/>
                <w:color w:val="auto"/>
              </w:rPr>
            </w:pPr>
          </w:p>
        </w:tc>
        <w:tc>
          <w:tcPr>
            <w:tcW w:w="260" w:type="dxa"/>
            <w:vAlign w:val="bottom"/>
            <w:shd w:val="clear" w:color="auto" w:fill="351B3D"/>
          </w:tcPr>
          <w:p>
            <w:pPr>
              <w:spacing w:after="0"/>
              <w:rPr>
                <w:sz w:val="24"/>
                <w:szCs w:val="24"/>
                <w:color w:val="auto"/>
              </w:rPr>
            </w:pPr>
          </w:p>
        </w:tc>
      </w:tr>
      <w:tr>
        <w:trPr>
          <w:trHeight w:val="310"/>
        </w:trPr>
        <w:tc>
          <w:tcPr>
            <w:tcW w:w="3520" w:type="dxa"/>
            <w:vAlign w:val="bottom"/>
            <w:shd w:val="clear" w:color="auto" w:fill="351B3D"/>
          </w:tcPr>
          <w:p>
            <w:pPr>
              <w:spacing w:after="0"/>
              <w:rPr>
                <w:sz w:val="24"/>
                <w:szCs w:val="24"/>
                <w:color w:val="auto"/>
              </w:rPr>
            </w:pPr>
          </w:p>
        </w:tc>
        <w:tc>
          <w:tcPr>
            <w:tcW w:w="1260" w:type="dxa"/>
            <w:vAlign w:val="bottom"/>
            <w:shd w:val="clear" w:color="auto" w:fill="351B3D"/>
          </w:tcPr>
          <w:p>
            <w:pPr>
              <w:spacing w:after="0"/>
              <w:rPr>
                <w:sz w:val="24"/>
                <w:szCs w:val="24"/>
                <w:color w:val="auto"/>
              </w:rPr>
            </w:pPr>
          </w:p>
        </w:tc>
        <w:tc>
          <w:tcPr>
            <w:tcW w:w="920" w:type="dxa"/>
            <w:vAlign w:val="bottom"/>
            <w:shd w:val="clear" w:color="auto" w:fill="351B3D"/>
          </w:tcPr>
          <w:p>
            <w:pPr>
              <w:spacing w:after="0"/>
              <w:rPr>
                <w:sz w:val="24"/>
                <w:szCs w:val="24"/>
                <w:color w:val="auto"/>
              </w:rPr>
            </w:pPr>
          </w:p>
        </w:tc>
        <w:tc>
          <w:tcPr>
            <w:tcW w:w="1120" w:type="dxa"/>
            <w:vAlign w:val="bottom"/>
            <w:shd w:val="clear" w:color="auto" w:fill="351B3D"/>
          </w:tcPr>
          <w:p>
            <w:pPr>
              <w:spacing w:after="0"/>
              <w:rPr>
                <w:sz w:val="24"/>
                <w:szCs w:val="24"/>
                <w:color w:val="auto"/>
              </w:rPr>
            </w:pPr>
          </w:p>
        </w:tc>
        <w:tc>
          <w:tcPr>
            <w:tcW w:w="1320" w:type="dxa"/>
            <w:vAlign w:val="bottom"/>
            <w:shd w:val="clear" w:color="auto" w:fill="351B3D"/>
          </w:tcPr>
          <w:p>
            <w:pPr>
              <w:jc w:val="center"/>
              <w:spacing w:after="0"/>
              <w:rPr>
                <w:sz w:val="20"/>
                <w:szCs w:val="20"/>
                <w:color w:val="auto"/>
              </w:rPr>
            </w:pPr>
            <w:r>
              <w:rPr>
                <w:rFonts w:ascii="Arial" w:cs="Arial" w:eastAsia="Arial" w:hAnsi="Arial"/>
                <w:sz w:val="16"/>
                <w:szCs w:val="16"/>
                <w:color w:val="FFFFFF"/>
                <w:w w:val="99"/>
              </w:rPr>
              <w:t>PERCENTAGE</w:t>
            </w:r>
          </w:p>
        </w:tc>
        <w:tc>
          <w:tcPr>
            <w:tcW w:w="1140" w:type="dxa"/>
            <w:vAlign w:val="bottom"/>
            <w:shd w:val="clear" w:color="auto" w:fill="351B3D"/>
          </w:tcPr>
          <w:p>
            <w:pPr>
              <w:spacing w:after="0"/>
              <w:rPr>
                <w:sz w:val="24"/>
                <w:szCs w:val="24"/>
                <w:color w:val="auto"/>
              </w:rPr>
            </w:pPr>
          </w:p>
        </w:tc>
        <w:tc>
          <w:tcPr>
            <w:tcW w:w="340" w:type="dxa"/>
            <w:vAlign w:val="bottom"/>
            <w:shd w:val="clear" w:color="auto" w:fill="351B3D"/>
          </w:tcPr>
          <w:p>
            <w:pPr>
              <w:spacing w:after="0"/>
              <w:rPr>
                <w:sz w:val="24"/>
                <w:szCs w:val="24"/>
                <w:color w:val="auto"/>
              </w:rPr>
            </w:pPr>
          </w:p>
        </w:tc>
        <w:tc>
          <w:tcPr>
            <w:tcW w:w="1040" w:type="dxa"/>
            <w:vAlign w:val="bottom"/>
            <w:shd w:val="clear" w:color="auto" w:fill="351B3D"/>
          </w:tcPr>
          <w:p>
            <w:pPr>
              <w:spacing w:after="0"/>
              <w:rPr>
                <w:sz w:val="24"/>
                <w:szCs w:val="24"/>
                <w:color w:val="auto"/>
              </w:rPr>
            </w:pPr>
          </w:p>
        </w:tc>
        <w:tc>
          <w:tcPr>
            <w:tcW w:w="260" w:type="dxa"/>
            <w:vAlign w:val="bottom"/>
            <w:shd w:val="clear" w:color="auto" w:fill="351B3D"/>
          </w:tcPr>
          <w:p>
            <w:pPr>
              <w:spacing w:after="0"/>
              <w:rPr>
                <w:sz w:val="24"/>
                <w:szCs w:val="24"/>
                <w:color w:val="auto"/>
              </w:rPr>
            </w:pPr>
          </w:p>
        </w:tc>
      </w:tr>
      <w:tr>
        <w:trPr>
          <w:trHeight w:val="211"/>
        </w:trPr>
        <w:tc>
          <w:tcPr>
            <w:tcW w:w="3520" w:type="dxa"/>
            <w:vAlign w:val="bottom"/>
            <w:shd w:val="clear" w:color="auto" w:fill="351B3D"/>
          </w:tcPr>
          <w:p>
            <w:pPr>
              <w:ind w:left="80"/>
              <w:spacing w:after="0"/>
              <w:rPr>
                <w:sz w:val="20"/>
                <w:szCs w:val="20"/>
                <w:color w:val="auto"/>
              </w:rPr>
            </w:pPr>
            <w:r>
              <w:rPr>
                <w:rFonts w:ascii="Arial" w:cs="Arial" w:eastAsia="Arial" w:hAnsi="Arial"/>
                <w:sz w:val="16"/>
                <w:szCs w:val="16"/>
                <w:color w:val="FFFFFF"/>
              </w:rPr>
              <w:t>NAMED EXECUTIVE OFFICER</w:t>
            </w:r>
          </w:p>
        </w:tc>
        <w:tc>
          <w:tcPr>
            <w:tcW w:w="1260" w:type="dxa"/>
            <w:vAlign w:val="bottom"/>
            <w:shd w:val="clear" w:color="auto" w:fill="351B3D"/>
          </w:tcPr>
          <w:p>
            <w:pPr>
              <w:ind w:left="120"/>
              <w:spacing w:after="0"/>
              <w:rPr>
                <w:sz w:val="20"/>
                <w:szCs w:val="20"/>
                <w:color w:val="auto"/>
              </w:rPr>
            </w:pPr>
            <w:r>
              <w:rPr>
                <w:rFonts w:ascii="Arial" w:cs="Arial" w:eastAsia="Arial" w:hAnsi="Arial"/>
                <w:sz w:val="16"/>
                <w:szCs w:val="16"/>
                <w:color w:val="FFFFFF"/>
                <w:w w:val="97"/>
              </w:rPr>
              <w:t>THRESHOLD </w:t>
            </w:r>
          </w:p>
        </w:tc>
        <w:tc>
          <w:tcPr>
            <w:tcW w:w="920" w:type="dxa"/>
            <w:vAlign w:val="bottom"/>
            <w:shd w:val="clear" w:color="auto" w:fill="351B3D"/>
          </w:tcPr>
          <w:p>
            <w:pPr>
              <w:ind w:left="120"/>
              <w:spacing w:after="0"/>
              <w:rPr>
                <w:sz w:val="20"/>
                <w:szCs w:val="20"/>
                <w:color w:val="auto"/>
              </w:rPr>
            </w:pPr>
            <w:r>
              <w:rPr>
                <w:rFonts w:ascii="Arial" w:cs="Arial" w:eastAsia="Arial" w:hAnsi="Arial"/>
                <w:sz w:val="16"/>
                <w:szCs w:val="16"/>
                <w:color w:val="FFFFFF"/>
                <w:w w:val="96"/>
              </w:rPr>
              <w:t>TARGET </w:t>
            </w:r>
          </w:p>
        </w:tc>
        <w:tc>
          <w:tcPr>
            <w:tcW w:w="1120" w:type="dxa"/>
            <w:vAlign w:val="bottom"/>
            <w:shd w:val="clear" w:color="auto" w:fill="351B3D"/>
          </w:tcPr>
          <w:p>
            <w:pPr>
              <w:ind w:left="120"/>
              <w:spacing w:after="0"/>
              <w:rPr>
                <w:sz w:val="20"/>
                <w:szCs w:val="20"/>
                <w:color w:val="auto"/>
              </w:rPr>
            </w:pPr>
            <w:r>
              <w:rPr>
                <w:rFonts w:ascii="Arial" w:cs="Arial" w:eastAsia="Arial" w:hAnsi="Arial"/>
                <w:sz w:val="16"/>
                <w:szCs w:val="16"/>
                <w:color w:val="FFFFFF"/>
                <w:w w:val="92"/>
              </w:rPr>
              <w:t>  MAXIMUM </w:t>
            </w:r>
          </w:p>
        </w:tc>
        <w:tc>
          <w:tcPr>
            <w:tcW w:w="1320" w:type="dxa"/>
            <w:vAlign w:val="bottom"/>
            <w:shd w:val="clear" w:color="auto" w:fill="351B3D"/>
          </w:tcPr>
          <w:p>
            <w:pPr>
              <w:jc w:val="center"/>
              <w:spacing w:after="0"/>
              <w:rPr>
                <w:sz w:val="20"/>
                <w:szCs w:val="20"/>
                <w:color w:val="auto"/>
              </w:rPr>
            </w:pPr>
            <w:r>
              <w:rPr>
                <w:rFonts w:ascii="Arial" w:cs="Arial" w:eastAsia="Arial" w:hAnsi="Arial"/>
                <w:sz w:val="16"/>
                <w:szCs w:val="16"/>
                <w:color w:val="FFFFFF"/>
                <w:w w:val="88"/>
              </w:rPr>
              <w:t>OF SALARY </w:t>
            </w:r>
          </w:p>
        </w:tc>
        <w:tc>
          <w:tcPr>
            <w:tcW w:w="1140" w:type="dxa"/>
            <w:vAlign w:val="bottom"/>
            <w:shd w:val="clear" w:color="auto" w:fill="351B3D"/>
          </w:tcPr>
          <w:p>
            <w:pPr>
              <w:jc w:val="right"/>
              <w:ind w:right="140"/>
              <w:spacing w:after="0"/>
              <w:rPr>
                <w:sz w:val="20"/>
                <w:szCs w:val="20"/>
                <w:color w:val="auto"/>
              </w:rPr>
            </w:pPr>
            <w:r>
              <w:rPr>
                <w:rFonts w:ascii="Arial" w:cs="Arial" w:eastAsia="Arial" w:hAnsi="Arial"/>
                <w:sz w:val="16"/>
                <w:szCs w:val="16"/>
                <w:color w:val="FFFFFF"/>
              </w:rPr>
              <w:t>CASH </w:t>
            </w:r>
          </w:p>
        </w:tc>
        <w:tc>
          <w:tcPr>
            <w:tcW w:w="340" w:type="dxa"/>
            <w:vAlign w:val="bottom"/>
            <w:shd w:val="clear" w:color="auto" w:fill="351B3D"/>
          </w:tcPr>
          <w:p>
            <w:pPr>
              <w:spacing w:after="0"/>
              <w:rPr>
                <w:sz w:val="18"/>
                <w:szCs w:val="18"/>
                <w:color w:val="auto"/>
              </w:rPr>
            </w:pPr>
          </w:p>
        </w:tc>
        <w:tc>
          <w:tcPr>
            <w:tcW w:w="1040" w:type="dxa"/>
            <w:vAlign w:val="bottom"/>
            <w:shd w:val="clear" w:color="auto" w:fill="351B3D"/>
          </w:tcPr>
          <w:p>
            <w:pPr>
              <w:jc w:val="right"/>
              <w:spacing w:after="0"/>
              <w:rPr>
                <w:sz w:val="20"/>
                <w:szCs w:val="20"/>
                <w:color w:val="auto"/>
              </w:rPr>
            </w:pPr>
            <w:r>
              <w:rPr>
                <w:rFonts w:ascii="Arial" w:cs="Arial" w:eastAsia="Arial" w:hAnsi="Arial"/>
                <w:sz w:val="16"/>
                <w:szCs w:val="16"/>
                <w:color w:val="FFFFFF"/>
              </w:rPr>
              <w:t xml:space="preserve">EQUITY (1) </w:t>
            </w:r>
          </w:p>
        </w:tc>
        <w:tc>
          <w:tcPr>
            <w:tcW w:w="260" w:type="dxa"/>
            <w:vAlign w:val="bottom"/>
            <w:shd w:val="clear" w:color="auto" w:fill="351B3D"/>
          </w:tcPr>
          <w:p>
            <w:pPr>
              <w:spacing w:after="0"/>
              <w:rPr>
                <w:sz w:val="18"/>
                <w:szCs w:val="18"/>
                <w:color w:val="auto"/>
              </w:rPr>
            </w:pPr>
          </w:p>
        </w:tc>
      </w:tr>
      <w:tr>
        <w:trPr>
          <w:trHeight w:val="70"/>
        </w:trPr>
        <w:tc>
          <w:tcPr>
            <w:tcW w:w="3520" w:type="dxa"/>
            <w:vAlign w:val="bottom"/>
            <w:shd w:val="clear" w:color="auto" w:fill="351B3D"/>
          </w:tcPr>
          <w:p>
            <w:pPr>
              <w:spacing w:after="0"/>
              <w:rPr>
                <w:sz w:val="6"/>
                <w:szCs w:val="6"/>
                <w:color w:val="auto"/>
              </w:rPr>
            </w:pPr>
          </w:p>
        </w:tc>
        <w:tc>
          <w:tcPr>
            <w:tcW w:w="1260" w:type="dxa"/>
            <w:vAlign w:val="bottom"/>
            <w:shd w:val="clear" w:color="auto" w:fill="351B3D"/>
          </w:tcPr>
          <w:p>
            <w:pPr>
              <w:spacing w:after="0"/>
              <w:rPr>
                <w:sz w:val="6"/>
                <w:szCs w:val="6"/>
                <w:color w:val="auto"/>
              </w:rPr>
            </w:pPr>
          </w:p>
        </w:tc>
        <w:tc>
          <w:tcPr>
            <w:tcW w:w="920" w:type="dxa"/>
            <w:vAlign w:val="bottom"/>
            <w:shd w:val="clear" w:color="auto" w:fill="351B3D"/>
          </w:tcPr>
          <w:p>
            <w:pPr>
              <w:spacing w:after="0"/>
              <w:rPr>
                <w:sz w:val="6"/>
                <w:szCs w:val="6"/>
                <w:color w:val="auto"/>
              </w:rPr>
            </w:pPr>
          </w:p>
        </w:tc>
        <w:tc>
          <w:tcPr>
            <w:tcW w:w="1120" w:type="dxa"/>
            <w:vAlign w:val="bottom"/>
            <w:shd w:val="clear" w:color="auto" w:fill="351B3D"/>
          </w:tcPr>
          <w:p>
            <w:pPr>
              <w:spacing w:after="0"/>
              <w:rPr>
                <w:sz w:val="6"/>
                <w:szCs w:val="6"/>
                <w:color w:val="auto"/>
              </w:rPr>
            </w:pPr>
          </w:p>
        </w:tc>
        <w:tc>
          <w:tcPr>
            <w:tcW w:w="1320" w:type="dxa"/>
            <w:vAlign w:val="bottom"/>
            <w:shd w:val="clear" w:color="auto" w:fill="351B3D"/>
          </w:tcPr>
          <w:p>
            <w:pPr>
              <w:spacing w:after="0"/>
              <w:rPr>
                <w:sz w:val="6"/>
                <w:szCs w:val="6"/>
                <w:color w:val="auto"/>
              </w:rPr>
            </w:pPr>
          </w:p>
        </w:tc>
        <w:tc>
          <w:tcPr>
            <w:tcW w:w="1140" w:type="dxa"/>
            <w:vAlign w:val="bottom"/>
            <w:shd w:val="clear" w:color="auto" w:fill="351B3D"/>
          </w:tcPr>
          <w:p>
            <w:pPr>
              <w:spacing w:after="0"/>
              <w:rPr>
                <w:sz w:val="6"/>
                <w:szCs w:val="6"/>
                <w:color w:val="auto"/>
              </w:rPr>
            </w:pPr>
          </w:p>
        </w:tc>
        <w:tc>
          <w:tcPr>
            <w:tcW w:w="340" w:type="dxa"/>
            <w:vAlign w:val="bottom"/>
            <w:shd w:val="clear" w:color="auto" w:fill="351B3D"/>
          </w:tcPr>
          <w:p>
            <w:pPr>
              <w:spacing w:after="0"/>
              <w:rPr>
                <w:sz w:val="6"/>
                <w:szCs w:val="6"/>
                <w:color w:val="auto"/>
              </w:rPr>
            </w:pPr>
          </w:p>
        </w:tc>
        <w:tc>
          <w:tcPr>
            <w:tcW w:w="1040" w:type="dxa"/>
            <w:vAlign w:val="bottom"/>
            <w:shd w:val="clear" w:color="auto" w:fill="351B3D"/>
          </w:tcPr>
          <w:p>
            <w:pPr>
              <w:spacing w:after="0"/>
              <w:rPr>
                <w:sz w:val="6"/>
                <w:szCs w:val="6"/>
                <w:color w:val="auto"/>
              </w:rPr>
            </w:pPr>
          </w:p>
        </w:tc>
        <w:tc>
          <w:tcPr>
            <w:tcW w:w="260" w:type="dxa"/>
            <w:vAlign w:val="bottom"/>
            <w:shd w:val="clear" w:color="auto" w:fill="351B3D"/>
          </w:tcPr>
          <w:p>
            <w:pPr>
              <w:spacing w:after="0"/>
              <w:rPr>
                <w:sz w:val="6"/>
                <w:szCs w:val="6"/>
                <w:color w:val="auto"/>
              </w:rPr>
            </w:pPr>
          </w:p>
        </w:tc>
      </w:tr>
      <w:tr>
        <w:trPr>
          <w:trHeight w:val="277"/>
        </w:trPr>
        <w:tc>
          <w:tcPr>
            <w:tcW w:w="3520" w:type="dxa"/>
            <w:vAlign w:val="bottom"/>
            <w:shd w:val="clear" w:color="auto" w:fill="D6D1D8"/>
          </w:tcPr>
          <w:p>
            <w:pPr>
              <w:ind w:left="80"/>
              <w:spacing w:after="0"/>
              <w:rPr>
                <w:sz w:val="20"/>
                <w:szCs w:val="20"/>
                <w:color w:val="auto"/>
              </w:rPr>
            </w:pPr>
            <w:r>
              <w:rPr>
                <w:rFonts w:ascii="Arial" w:cs="Arial" w:eastAsia="Arial" w:hAnsi="Arial"/>
                <w:sz w:val="16"/>
                <w:szCs w:val="16"/>
                <w:color w:val="auto"/>
              </w:rPr>
              <w:t>Craig S. Billings</w:t>
            </w:r>
          </w:p>
        </w:tc>
        <w:tc>
          <w:tcPr>
            <w:tcW w:w="1260" w:type="dxa"/>
            <w:vAlign w:val="bottom"/>
            <w:shd w:val="clear" w:color="auto" w:fill="D6D1D8"/>
          </w:tcPr>
          <w:p>
            <w:pPr>
              <w:ind w:left="440"/>
              <w:spacing w:after="0"/>
              <w:rPr>
                <w:sz w:val="20"/>
                <w:szCs w:val="20"/>
                <w:color w:val="auto"/>
              </w:rPr>
            </w:pPr>
            <w:r>
              <w:rPr>
                <w:rFonts w:ascii="Arial" w:cs="Arial" w:eastAsia="Arial" w:hAnsi="Arial"/>
                <w:sz w:val="16"/>
                <w:szCs w:val="16"/>
                <w:color w:val="auto"/>
              </w:rPr>
              <w:t>200% </w:t>
            </w:r>
          </w:p>
        </w:tc>
        <w:tc>
          <w:tcPr>
            <w:tcW w:w="920" w:type="dxa"/>
            <w:vAlign w:val="bottom"/>
            <w:shd w:val="clear" w:color="auto" w:fill="D6D1D8"/>
          </w:tcPr>
          <w:p>
            <w:pPr>
              <w:ind w:left="240"/>
              <w:spacing w:after="0"/>
              <w:rPr>
                <w:sz w:val="20"/>
                <w:szCs w:val="20"/>
                <w:color w:val="auto"/>
              </w:rPr>
            </w:pPr>
            <w:r>
              <w:rPr>
                <w:rFonts w:ascii="Arial" w:cs="Arial" w:eastAsia="Arial" w:hAnsi="Arial"/>
                <w:sz w:val="16"/>
                <w:szCs w:val="16"/>
                <w:color w:val="auto"/>
              </w:rPr>
              <w:t>  250% </w:t>
            </w:r>
          </w:p>
        </w:tc>
        <w:tc>
          <w:tcPr>
            <w:tcW w:w="1120" w:type="dxa"/>
            <w:vAlign w:val="bottom"/>
            <w:shd w:val="clear" w:color="auto" w:fill="D6D1D8"/>
          </w:tcPr>
          <w:p>
            <w:pPr>
              <w:ind w:left="320"/>
              <w:spacing w:after="0"/>
              <w:rPr>
                <w:sz w:val="20"/>
                <w:szCs w:val="20"/>
                <w:color w:val="auto"/>
              </w:rPr>
            </w:pPr>
            <w:r>
              <w:rPr>
                <w:rFonts w:ascii="Arial" w:cs="Arial" w:eastAsia="Arial" w:hAnsi="Arial"/>
                <w:sz w:val="16"/>
                <w:szCs w:val="16"/>
                <w:color w:val="auto"/>
              </w:rPr>
              <w:t>  300% </w:t>
            </w:r>
          </w:p>
        </w:tc>
        <w:tc>
          <w:tcPr>
            <w:tcW w:w="1320" w:type="dxa"/>
            <w:vAlign w:val="bottom"/>
            <w:shd w:val="clear" w:color="auto" w:fill="D6D1D8"/>
          </w:tcPr>
          <w:p>
            <w:pPr>
              <w:jc w:val="center"/>
              <w:ind w:left="40"/>
              <w:spacing w:after="0"/>
              <w:rPr>
                <w:sz w:val="20"/>
                <w:szCs w:val="20"/>
                <w:color w:val="auto"/>
              </w:rPr>
            </w:pPr>
            <w:r>
              <w:rPr>
                <w:rFonts w:ascii="Arial" w:cs="Arial" w:eastAsia="Arial" w:hAnsi="Arial"/>
                <w:sz w:val="16"/>
                <w:szCs w:val="16"/>
                <w:color w:val="auto"/>
                <w:w w:val="89"/>
              </w:rPr>
              <w:t>  268.75% </w:t>
            </w:r>
          </w:p>
        </w:tc>
        <w:tc>
          <w:tcPr>
            <w:tcW w:w="1140" w:type="dxa"/>
            <w:vAlign w:val="bottom"/>
            <w:shd w:val="clear" w:color="auto" w:fill="D6D1D8"/>
          </w:tcPr>
          <w:p>
            <w:pPr>
              <w:jc w:val="right"/>
              <w:spacing w:after="0"/>
              <w:rPr>
                <w:sz w:val="20"/>
                <w:szCs w:val="20"/>
                <w:color w:val="auto"/>
              </w:rPr>
            </w:pPr>
            <w:r>
              <w:rPr>
                <w:rFonts w:ascii="Arial" w:cs="Arial" w:eastAsia="Arial" w:hAnsi="Arial"/>
                <w:sz w:val="16"/>
                <w:szCs w:val="16"/>
                <w:color w:val="auto"/>
              </w:rPr>
              <w:t>$2,687,500 </w:t>
            </w:r>
          </w:p>
        </w:tc>
        <w:tc>
          <w:tcPr>
            <w:tcW w:w="340" w:type="dxa"/>
            <w:vAlign w:val="bottom"/>
            <w:shd w:val="clear" w:color="auto" w:fill="D6D1D8"/>
          </w:tcPr>
          <w:p>
            <w:pPr>
              <w:ind w:left="40"/>
              <w:spacing w:after="0"/>
              <w:rPr>
                <w:sz w:val="20"/>
                <w:szCs w:val="20"/>
                <w:color w:val="auto"/>
              </w:rPr>
            </w:pPr>
            <w:r>
              <w:rPr>
                <w:rFonts w:ascii="Arial" w:cs="Arial" w:eastAsia="Arial" w:hAnsi="Arial"/>
                <w:sz w:val="16"/>
                <w:szCs w:val="16"/>
                <w:color w:val="auto"/>
              </w:rPr>
              <w:t>    </w:t>
            </w:r>
          </w:p>
        </w:tc>
        <w:tc>
          <w:tcPr>
            <w:tcW w:w="1040" w:type="dxa"/>
            <w:vAlign w:val="bottom"/>
            <w:shd w:val="clear" w:color="auto" w:fill="D6D1D8"/>
          </w:tcPr>
          <w:p>
            <w:pPr>
              <w:jc w:val="right"/>
              <w:spacing w:after="0"/>
              <w:rPr>
                <w:sz w:val="20"/>
                <w:szCs w:val="20"/>
                <w:color w:val="auto"/>
              </w:rPr>
            </w:pPr>
            <w:r>
              <w:rPr>
                <w:rFonts w:ascii="Arial" w:cs="Arial" w:eastAsia="Arial" w:hAnsi="Arial"/>
                <w:sz w:val="16"/>
                <w:szCs w:val="16"/>
                <w:color w:val="auto"/>
                <w:w w:val="97"/>
              </w:rPr>
              <w:t>$2,687,500 </w:t>
            </w:r>
          </w:p>
        </w:tc>
        <w:tc>
          <w:tcPr>
            <w:tcW w:w="260" w:type="dxa"/>
            <w:vAlign w:val="bottom"/>
            <w:shd w:val="clear" w:color="auto" w:fill="D6D1D8"/>
          </w:tcPr>
          <w:p>
            <w:pPr>
              <w:ind w:left="40"/>
              <w:spacing w:after="0"/>
              <w:rPr>
                <w:sz w:val="20"/>
                <w:szCs w:val="20"/>
                <w:color w:val="auto"/>
              </w:rPr>
            </w:pPr>
            <w:r>
              <w:rPr>
                <w:rFonts w:ascii="Arial" w:cs="Arial" w:eastAsia="Arial" w:hAnsi="Arial"/>
                <w:sz w:val="16"/>
                <w:szCs w:val="16"/>
                <w:color w:val="auto"/>
                <w:w w:val="95"/>
              </w:rPr>
              <w:t>    </w:t>
            </w:r>
          </w:p>
        </w:tc>
      </w:tr>
      <w:tr>
        <w:trPr>
          <w:trHeight w:val="70"/>
        </w:trPr>
        <w:tc>
          <w:tcPr>
            <w:tcW w:w="3520" w:type="dxa"/>
            <w:vAlign w:val="bottom"/>
            <w:shd w:val="clear" w:color="auto" w:fill="D6D1D8"/>
          </w:tcPr>
          <w:p>
            <w:pPr>
              <w:spacing w:after="0"/>
              <w:rPr>
                <w:sz w:val="6"/>
                <w:szCs w:val="6"/>
                <w:color w:val="auto"/>
              </w:rPr>
            </w:pPr>
          </w:p>
        </w:tc>
        <w:tc>
          <w:tcPr>
            <w:tcW w:w="1260" w:type="dxa"/>
            <w:vAlign w:val="bottom"/>
            <w:shd w:val="clear" w:color="auto" w:fill="D6D1D8"/>
          </w:tcPr>
          <w:p>
            <w:pPr>
              <w:spacing w:after="0"/>
              <w:rPr>
                <w:sz w:val="6"/>
                <w:szCs w:val="6"/>
                <w:color w:val="auto"/>
              </w:rPr>
            </w:pPr>
          </w:p>
        </w:tc>
        <w:tc>
          <w:tcPr>
            <w:tcW w:w="920" w:type="dxa"/>
            <w:vAlign w:val="bottom"/>
            <w:shd w:val="clear" w:color="auto" w:fill="D6D1D8"/>
          </w:tcPr>
          <w:p>
            <w:pPr>
              <w:spacing w:after="0"/>
              <w:rPr>
                <w:sz w:val="6"/>
                <w:szCs w:val="6"/>
                <w:color w:val="auto"/>
              </w:rPr>
            </w:pPr>
          </w:p>
        </w:tc>
        <w:tc>
          <w:tcPr>
            <w:tcW w:w="1120" w:type="dxa"/>
            <w:vAlign w:val="bottom"/>
            <w:shd w:val="clear" w:color="auto" w:fill="D6D1D8"/>
          </w:tcPr>
          <w:p>
            <w:pPr>
              <w:spacing w:after="0"/>
              <w:rPr>
                <w:sz w:val="6"/>
                <w:szCs w:val="6"/>
                <w:color w:val="auto"/>
              </w:rPr>
            </w:pPr>
          </w:p>
        </w:tc>
        <w:tc>
          <w:tcPr>
            <w:tcW w:w="1320" w:type="dxa"/>
            <w:vAlign w:val="bottom"/>
            <w:shd w:val="clear" w:color="auto" w:fill="D6D1D8"/>
          </w:tcPr>
          <w:p>
            <w:pPr>
              <w:spacing w:after="0"/>
              <w:rPr>
                <w:sz w:val="6"/>
                <w:szCs w:val="6"/>
                <w:color w:val="auto"/>
              </w:rPr>
            </w:pPr>
          </w:p>
        </w:tc>
        <w:tc>
          <w:tcPr>
            <w:tcW w:w="1140" w:type="dxa"/>
            <w:vAlign w:val="bottom"/>
            <w:shd w:val="clear" w:color="auto" w:fill="D6D1D8"/>
          </w:tcPr>
          <w:p>
            <w:pPr>
              <w:spacing w:after="0"/>
              <w:rPr>
                <w:sz w:val="6"/>
                <w:szCs w:val="6"/>
                <w:color w:val="auto"/>
              </w:rPr>
            </w:pPr>
          </w:p>
        </w:tc>
        <w:tc>
          <w:tcPr>
            <w:tcW w:w="340" w:type="dxa"/>
            <w:vAlign w:val="bottom"/>
            <w:shd w:val="clear" w:color="auto" w:fill="D6D1D8"/>
          </w:tcPr>
          <w:p>
            <w:pPr>
              <w:spacing w:after="0"/>
              <w:rPr>
                <w:sz w:val="6"/>
                <w:szCs w:val="6"/>
                <w:color w:val="auto"/>
              </w:rPr>
            </w:pPr>
          </w:p>
        </w:tc>
        <w:tc>
          <w:tcPr>
            <w:tcW w:w="1040" w:type="dxa"/>
            <w:vAlign w:val="bottom"/>
            <w:shd w:val="clear" w:color="auto" w:fill="D6D1D8"/>
          </w:tcPr>
          <w:p>
            <w:pPr>
              <w:spacing w:after="0"/>
              <w:rPr>
                <w:sz w:val="6"/>
                <w:szCs w:val="6"/>
                <w:color w:val="auto"/>
              </w:rPr>
            </w:pPr>
          </w:p>
        </w:tc>
        <w:tc>
          <w:tcPr>
            <w:tcW w:w="260" w:type="dxa"/>
            <w:vAlign w:val="bottom"/>
            <w:shd w:val="clear" w:color="auto" w:fill="D6D1D8"/>
          </w:tcPr>
          <w:p>
            <w:pPr>
              <w:spacing w:after="0"/>
              <w:rPr>
                <w:sz w:val="6"/>
                <w:szCs w:val="6"/>
                <w:color w:val="auto"/>
              </w:rPr>
            </w:pPr>
          </w:p>
        </w:tc>
      </w:tr>
      <w:tr>
        <w:trPr>
          <w:trHeight w:val="277"/>
        </w:trPr>
        <w:tc>
          <w:tcPr>
            <w:tcW w:w="3520" w:type="dxa"/>
            <w:vAlign w:val="bottom"/>
          </w:tcPr>
          <w:p>
            <w:pPr>
              <w:ind w:left="80"/>
              <w:spacing w:after="0"/>
              <w:rPr>
                <w:sz w:val="20"/>
                <w:szCs w:val="20"/>
                <w:color w:val="auto"/>
              </w:rPr>
            </w:pPr>
            <w:r>
              <w:rPr>
                <w:rFonts w:ascii="Arial" w:cs="Arial" w:eastAsia="Arial" w:hAnsi="Arial"/>
                <w:sz w:val="16"/>
                <w:szCs w:val="16"/>
                <w:color w:val="auto"/>
              </w:rPr>
              <w:t>Julie M. Cameron-Doe</w:t>
            </w:r>
          </w:p>
        </w:tc>
        <w:tc>
          <w:tcPr>
            <w:tcW w:w="1260" w:type="dxa"/>
            <w:vAlign w:val="bottom"/>
          </w:tcPr>
          <w:p>
            <w:pPr>
              <w:ind w:left="440"/>
              <w:spacing w:after="0"/>
              <w:rPr>
                <w:sz w:val="20"/>
                <w:szCs w:val="20"/>
                <w:color w:val="auto"/>
              </w:rPr>
            </w:pPr>
            <w:r>
              <w:rPr>
                <w:rFonts w:ascii="Arial" w:cs="Arial" w:eastAsia="Arial" w:hAnsi="Arial"/>
                <w:sz w:val="16"/>
                <w:szCs w:val="16"/>
                <w:color w:val="auto"/>
              </w:rPr>
              <w:t>160% </w:t>
            </w:r>
          </w:p>
        </w:tc>
        <w:tc>
          <w:tcPr>
            <w:tcW w:w="920" w:type="dxa"/>
            <w:vAlign w:val="bottom"/>
          </w:tcPr>
          <w:p>
            <w:pPr>
              <w:ind w:left="240"/>
              <w:spacing w:after="0"/>
              <w:rPr>
                <w:sz w:val="20"/>
                <w:szCs w:val="20"/>
                <w:color w:val="auto"/>
              </w:rPr>
            </w:pPr>
            <w:r>
              <w:rPr>
                <w:rFonts w:ascii="Arial" w:cs="Arial" w:eastAsia="Arial" w:hAnsi="Arial"/>
                <w:sz w:val="16"/>
                <w:szCs w:val="16"/>
                <w:color w:val="auto"/>
              </w:rPr>
              <w:t>  200% </w:t>
            </w:r>
          </w:p>
        </w:tc>
        <w:tc>
          <w:tcPr>
            <w:tcW w:w="1120" w:type="dxa"/>
            <w:vAlign w:val="bottom"/>
          </w:tcPr>
          <w:p>
            <w:pPr>
              <w:ind w:left="320"/>
              <w:spacing w:after="0"/>
              <w:rPr>
                <w:sz w:val="20"/>
                <w:szCs w:val="20"/>
                <w:color w:val="auto"/>
              </w:rPr>
            </w:pPr>
            <w:r>
              <w:rPr>
                <w:rFonts w:ascii="Arial" w:cs="Arial" w:eastAsia="Arial" w:hAnsi="Arial"/>
                <w:sz w:val="16"/>
                <w:szCs w:val="16"/>
                <w:color w:val="auto"/>
              </w:rPr>
              <w:t>  240% </w:t>
            </w:r>
          </w:p>
        </w:tc>
        <w:tc>
          <w:tcPr>
            <w:tcW w:w="1320" w:type="dxa"/>
            <w:vAlign w:val="bottom"/>
          </w:tcPr>
          <w:p>
            <w:pPr>
              <w:jc w:val="center"/>
              <w:ind w:left="60"/>
              <w:spacing w:after="0"/>
              <w:rPr>
                <w:sz w:val="20"/>
                <w:szCs w:val="20"/>
                <w:color w:val="auto"/>
              </w:rPr>
            </w:pPr>
            <w:r>
              <w:rPr>
                <w:rFonts w:ascii="Arial" w:cs="Arial" w:eastAsia="Arial" w:hAnsi="Arial"/>
                <w:sz w:val="16"/>
                <w:szCs w:val="16"/>
                <w:color w:val="auto"/>
                <w:w w:val="86"/>
              </w:rPr>
              <w:t>  215% </w:t>
            </w:r>
          </w:p>
        </w:tc>
        <w:tc>
          <w:tcPr>
            <w:tcW w:w="1140" w:type="dxa"/>
            <w:vAlign w:val="bottom"/>
          </w:tcPr>
          <w:p>
            <w:pPr>
              <w:jc w:val="right"/>
              <w:spacing w:after="0"/>
              <w:rPr>
                <w:sz w:val="20"/>
                <w:szCs w:val="20"/>
                <w:color w:val="auto"/>
              </w:rPr>
            </w:pPr>
            <w:r>
              <w:rPr>
                <w:rFonts w:ascii="Arial" w:cs="Arial" w:eastAsia="Arial" w:hAnsi="Arial"/>
                <w:sz w:val="16"/>
                <w:szCs w:val="16"/>
                <w:color w:val="auto"/>
              </w:rPr>
              <w:t>$1,021,250 </w:t>
            </w:r>
          </w:p>
        </w:tc>
        <w:tc>
          <w:tcPr>
            <w:tcW w:w="340" w:type="dxa"/>
            <w:vAlign w:val="bottom"/>
          </w:tcPr>
          <w:p>
            <w:pPr>
              <w:ind w:left="40"/>
              <w:spacing w:after="0"/>
              <w:rPr>
                <w:sz w:val="20"/>
                <w:szCs w:val="20"/>
                <w:color w:val="auto"/>
              </w:rPr>
            </w:pPr>
            <w:r>
              <w:rPr>
                <w:rFonts w:ascii="Arial" w:cs="Arial" w:eastAsia="Arial" w:hAnsi="Arial"/>
                <w:sz w:val="16"/>
                <w:szCs w:val="16"/>
                <w:color w:val="auto"/>
              </w:rPr>
              <w:t>    </w:t>
            </w:r>
          </w:p>
        </w:tc>
        <w:tc>
          <w:tcPr>
            <w:tcW w:w="1040" w:type="dxa"/>
            <w:vAlign w:val="bottom"/>
          </w:tcPr>
          <w:p>
            <w:pPr>
              <w:jc w:val="right"/>
              <w:spacing w:after="0"/>
              <w:rPr>
                <w:sz w:val="20"/>
                <w:szCs w:val="20"/>
                <w:color w:val="auto"/>
              </w:rPr>
            </w:pPr>
            <w:r>
              <w:rPr>
                <w:rFonts w:ascii="Arial" w:cs="Arial" w:eastAsia="Arial" w:hAnsi="Arial"/>
                <w:sz w:val="16"/>
                <w:szCs w:val="16"/>
                <w:color w:val="auto"/>
                <w:w w:val="97"/>
              </w:rPr>
              <w:t>$1,021,250 </w:t>
            </w:r>
          </w:p>
        </w:tc>
        <w:tc>
          <w:tcPr>
            <w:tcW w:w="260" w:type="dxa"/>
            <w:vAlign w:val="bottom"/>
          </w:tcPr>
          <w:p>
            <w:pPr>
              <w:ind w:left="40"/>
              <w:spacing w:after="0"/>
              <w:rPr>
                <w:sz w:val="20"/>
                <w:szCs w:val="20"/>
                <w:color w:val="auto"/>
              </w:rPr>
            </w:pPr>
            <w:r>
              <w:rPr>
                <w:rFonts w:ascii="Arial" w:cs="Arial" w:eastAsia="Arial" w:hAnsi="Arial"/>
                <w:sz w:val="16"/>
                <w:szCs w:val="16"/>
                <w:color w:val="auto"/>
                <w:w w:val="95"/>
              </w:rPr>
              <w:t>    </w:t>
            </w:r>
          </w:p>
        </w:tc>
      </w:tr>
      <w:tr>
        <w:trPr>
          <w:trHeight w:val="70"/>
        </w:trPr>
        <w:tc>
          <w:tcPr>
            <w:tcW w:w="35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60" w:type="dxa"/>
            <w:vAlign w:val="bottom"/>
          </w:tcPr>
          <w:p>
            <w:pPr>
              <w:spacing w:after="0"/>
              <w:rPr>
                <w:sz w:val="6"/>
                <w:szCs w:val="6"/>
                <w:color w:val="auto"/>
              </w:rPr>
            </w:pPr>
          </w:p>
        </w:tc>
      </w:tr>
      <w:tr>
        <w:trPr>
          <w:trHeight w:val="277"/>
        </w:trPr>
        <w:tc>
          <w:tcPr>
            <w:tcW w:w="3520" w:type="dxa"/>
            <w:vAlign w:val="bottom"/>
            <w:shd w:val="clear" w:color="auto" w:fill="D6D1D8"/>
          </w:tcPr>
          <w:p>
            <w:pPr>
              <w:ind w:left="80"/>
              <w:spacing w:after="0"/>
              <w:rPr>
                <w:sz w:val="20"/>
                <w:szCs w:val="20"/>
                <w:color w:val="auto"/>
              </w:rPr>
            </w:pPr>
            <w:r>
              <w:rPr>
                <w:rFonts w:ascii="Arial" w:cs="Arial" w:eastAsia="Arial" w:hAnsi="Arial"/>
                <w:sz w:val="16"/>
                <w:szCs w:val="16"/>
                <w:color w:val="auto"/>
              </w:rPr>
              <w:t>Jacqui Krum (2)</w:t>
            </w:r>
          </w:p>
        </w:tc>
        <w:tc>
          <w:tcPr>
            <w:tcW w:w="1260" w:type="dxa"/>
            <w:vAlign w:val="bottom"/>
            <w:shd w:val="clear" w:color="auto" w:fill="D6D1D8"/>
          </w:tcPr>
          <w:p>
            <w:pPr>
              <w:ind w:left="440"/>
              <w:spacing w:after="0"/>
              <w:rPr>
                <w:sz w:val="20"/>
                <w:szCs w:val="20"/>
                <w:color w:val="auto"/>
              </w:rPr>
            </w:pPr>
            <w:r>
              <w:rPr>
                <w:rFonts w:ascii="Arial" w:cs="Arial" w:eastAsia="Arial" w:hAnsi="Arial"/>
                <w:sz w:val="16"/>
                <w:szCs w:val="16"/>
                <w:color w:val="auto"/>
              </w:rPr>
              <w:t>  80% </w:t>
            </w:r>
          </w:p>
        </w:tc>
        <w:tc>
          <w:tcPr>
            <w:tcW w:w="920" w:type="dxa"/>
            <w:vAlign w:val="bottom"/>
            <w:shd w:val="clear" w:color="auto" w:fill="D6D1D8"/>
          </w:tcPr>
          <w:p>
            <w:pPr>
              <w:ind w:left="240"/>
              <w:spacing w:after="0"/>
              <w:rPr>
                <w:sz w:val="20"/>
                <w:szCs w:val="20"/>
                <w:color w:val="auto"/>
              </w:rPr>
            </w:pPr>
            <w:r>
              <w:rPr>
                <w:rFonts w:ascii="Arial" w:cs="Arial" w:eastAsia="Arial" w:hAnsi="Arial"/>
                <w:sz w:val="16"/>
                <w:szCs w:val="16"/>
                <w:color w:val="auto"/>
              </w:rPr>
              <w:t>  100% </w:t>
            </w:r>
          </w:p>
        </w:tc>
        <w:tc>
          <w:tcPr>
            <w:tcW w:w="1120" w:type="dxa"/>
            <w:vAlign w:val="bottom"/>
            <w:shd w:val="clear" w:color="auto" w:fill="D6D1D8"/>
          </w:tcPr>
          <w:p>
            <w:pPr>
              <w:ind w:left="320"/>
              <w:spacing w:after="0"/>
              <w:rPr>
                <w:sz w:val="20"/>
                <w:szCs w:val="20"/>
                <w:color w:val="auto"/>
              </w:rPr>
            </w:pPr>
            <w:r>
              <w:rPr>
                <w:rFonts w:ascii="Arial" w:cs="Arial" w:eastAsia="Arial" w:hAnsi="Arial"/>
                <w:sz w:val="16"/>
                <w:szCs w:val="16"/>
                <w:color w:val="auto"/>
              </w:rPr>
              <w:t>  120% </w:t>
            </w:r>
          </w:p>
        </w:tc>
        <w:tc>
          <w:tcPr>
            <w:tcW w:w="1320" w:type="dxa"/>
            <w:vAlign w:val="bottom"/>
            <w:shd w:val="clear" w:color="auto" w:fill="D6D1D8"/>
          </w:tcPr>
          <w:p>
            <w:pPr>
              <w:jc w:val="center"/>
              <w:ind w:left="60"/>
              <w:spacing w:after="0"/>
              <w:rPr>
                <w:sz w:val="20"/>
                <w:szCs w:val="20"/>
                <w:color w:val="auto"/>
              </w:rPr>
            </w:pPr>
            <w:r>
              <w:rPr>
                <w:rFonts w:ascii="Arial" w:cs="Arial" w:eastAsia="Arial" w:hAnsi="Arial"/>
                <w:sz w:val="16"/>
                <w:szCs w:val="16"/>
                <w:color w:val="auto"/>
                <w:w w:val="86"/>
              </w:rPr>
              <w:t>  163% </w:t>
            </w:r>
          </w:p>
        </w:tc>
        <w:tc>
          <w:tcPr>
            <w:tcW w:w="1140" w:type="dxa"/>
            <w:vAlign w:val="bottom"/>
            <w:shd w:val="clear" w:color="auto" w:fill="D6D1D8"/>
          </w:tcPr>
          <w:p>
            <w:pPr>
              <w:jc w:val="right"/>
              <w:spacing w:after="0"/>
              <w:rPr>
                <w:sz w:val="20"/>
                <w:szCs w:val="20"/>
                <w:color w:val="auto"/>
              </w:rPr>
            </w:pPr>
            <w:r>
              <w:rPr>
                <w:rFonts w:ascii="Arial" w:cs="Arial" w:eastAsia="Arial" w:hAnsi="Arial"/>
                <w:sz w:val="16"/>
                <w:szCs w:val="16"/>
                <w:color w:val="auto"/>
              </w:rPr>
              <w:t>$   443,438 </w:t>
            </w:r>
          </w:p>
        </w:tc>
        <w:tc>
          <w:tcPr>
            <w:tcW w:w="340" w:type="dxa"/>
            <w:vAlign w:val="bottom"/>
            <w:shd w:val="clear" w:color="auto" w:fill="D6D1D8"/>
          </w:tcPr>
          <w:p>
            <w:pPr>
              <w:ind w:left="40"/>
              <w:spacing w:after="0"/>
              <w:rPr>
                <w:sz w:val="20"/>
                <w:szCs w:val="20"/>
                <w:color w:val="auto"/>
              </w:rPr>
            </w:pPr>
            <w:r>
              <w:rPr>
                <w:rFonts w:ascii="Arial" w:cs="Arial" w:eastAsia="Arial" w:hAnsi="Arial"/>
                <w:sz w:val="16"/>
                <w:szCs w:val="16"/>
                <w:color w:val="auto"/>
              </w:rPr>
              <w:t>    </w:t>
            </w:r>
          </w:p>
        </w:tc>
        <w:tc>
          <w:tcPr>
            <w:tcW w:w="1040" w:type="dxa"/>
            <w:vAlign w:val="bottom"/>
            <w:shd w:val="clear" w:color="auto" w:fill="D6D1D8"/>
          </w:tcPr>
          <w:p>
            <w:pPr>
              <w:jc w:val="right"/>
              <w:spacing w:after="0"/>
              <w:rPr>
                <w:sz w:val="20"/>
                <w:szCs w:val="20"/>
                <w:color w:val="auto"/>
              </w:rPr>
            </w:pPr>
            <w:r>
              <w:rPr>
                <w:rFonts w:ascii="Arial" w:cs="Arial" w:eastAsia="Arial" w:hAnsi="Arial"/>
                <w:sz w:val="16"/>
                <w:szCs w:val="16"/>
                <w:color w:val="auto"/>
                <w:w w:val="99"/>
              </w:rPr>
              <w:t>$   443,438 </w:t>
            </w:r>
          </w:p>
        </w:tc>
        <w:tc>
          <w:tcPr>
            <w:tcW w:w="260" w:type="dxa"/>
            <w:vAlign w:val="bottom"/>
            <w:shd w:val="clear" w:color="auto" w:fill="D6D1D8"/>
          </w:tcPr>
          <w:p>
            <w:pPr>
              <w:ind w:left="40"/>
              <w:spacing w:after="0"/>
              <w:rPr>
                <w:sz w:val="20"/>
                <w:szCs w:val="20"/>
                <w:color w:val="auto"/>
              </w:rPr>
            </w:pPr>
            <w:r>
              <w:rPr>
                <w:rFonts w:ascii="Arial" w:cs="Arial" w:eastAsia="Arial" w:hAnsi="Arial"/>
                <w:sz w:val="16"/>
                <w:szCs w:val="16"/>
                <w:color w:val="auto"/>
                <w:w w:val="95"/>
              </w:rPr>
              <w:t>    </w:t>
            </w:r>
          </w:p>
        </w:tc>
      </w:tr>
      <w:tr>
        <w:trPr>
          <w:trHeight w:val="70"/>
        </w:trPr>
        <w:tc>
          <w:tcPr>
            <w:tcW w:w="3520" w:type="dxa"/>
            <w:vAlign w:val="bottom"/>
            <w:shd w:val="clear" w:color="auto" w:fill="D6D1D8"/>
          </w:tcPr>
          <w:p>
            <w:pPr>
              <w:spacing w:after="0"/>
              <w:rPr>
                <w:sz w:val="6"/>
                <w:szCs w:val="6"/>
                <w:color w:val="auto"/>
              </w:rPr>
            </w:pPr>
          </w:p>
        </w:tc>
        <w:tc>
          <w:tcPr>
            <w:tcW w:w="1260" w:type="dxa"/>
            <w:vAlign w:val="bottom"/>
            <w:shd w:val="clear" w:color="auto" w:fill="D6D1D8"/>
          </w:tcPr>
          <w:p>
            <w:pPr>
              <w:spacing w:after="0"/>
              <w:rPr>
                <w:sz w:val="6"/>
                <w:szCs w:val="6"/>
                <w:color w:val="auto"/>
              </w:rPr>
            </w:pPr>
          </w:p>
        </w:tc>
        <w:tc>
          <w:tcPr>
            <w:tcW w:w="920" w:type="dxa"/>
            <w:vAlign w:val="bottom"/>
            <w:shd w:val="clear" w:color="auto" w:fill="D6D1D8"/>
          </w:tcPr>
          <w:p>
            <w:pPr>
              <w:spacing w:after="0"/>
              <w:rPr>
                <w:sz w:val="6"/>
                <w:szCs w:val="6"/>
                <w:color w:val="auto"/>
              </w:rPr>
            </w:pPr>
          </w:p>
        </w:tc>
        <w:tc>
          <w:tcPr>
            <w:tcW w:w="1120" w:type="dxa"/>
            <w:vAlign w:val="bottom"/>
            <w:shd w:val="clear" w:color="auto" w:fill="D6D1D8"/>
          </w:tcPr>
          <w:p>
            <w:pPr>
              <w:spacing w:after="0"/>
              <w:rPr>
                <w:sz w:val="6"/>
                <w:szCs w:val="6"/>
                <w:color w:val="auto"/>
              </w:rPr>
            </w:pPr>
          </w:p>
        </w:tc>
        <w:tc>
          <w:tcPr>
            <w:tcW w:w="1320" w:type="dxa"/>
            <w:vAlign w:val="bottom"/>
            <w:shd w:val="clear" w:color="auto" w:fill="D6D1D8"/>
          </w:tcPr>
          <w:p>
            <w:pPr>
              <w:spacing w:after="0"/>
              <w:rPr>
                <w:sz w:val="6"/>
                <w:szCs w:val="6"/>
                <w:color w:val="auto"/>
              </w:rPr>
            </w:pPr>
          </w:p>
        </w:tc>
        <w:tc>
          <w:tcPr>
            <w:tcW w:w="1140" w:type="dxa"/>
            <w:vAlign w:val="bottom"/>
            <w:shd w:val="clear" w:color="auto" w:fill="D6D1D8"/>
          </w:tcPr>
          <w:p>
            <w:pPr>
              <w:spacing w:after="0"/>
              <w:rPr>
                <w:sz w:val="6"/>
                <w:szCs w:val="6"/>
                <w:color w:val="auto"/>
              </w:rPr>
            </w:pPr>
          </w:p>
        </w:tc>
        <w:tc>
          <w:tcPr>
            <w:tcW w:w="340" w:type="dxa"/>
            <w:vAlign w:val="bottom"/>
            <w:shd w:val="clear" w:color="auto" w:fill="D6D1D8"/>
          </w:tcPr>
          <w:p>
            <w:pPr>
              <w:spacing w:after="0"/>
              <w:rPr>
                <w:sz w:val="6"/>
                <w:szCs w:val="6"/>
                <w:color w:val="auto"/>
              </w:rPr>
            </w:pPr>
          </w:p>
        </w:tc>
        <w:tc>
          <w:tcPr>
            <w:tcW w:w="1040" w:type="dxa"/>
            <w:vAlign w:val="bottom"/>
            <w:shd w:val="clear" w:color="auto" w:fill="D6D1D8"/>
          </w:tcPr>
          <w:p>
            <w:pPr>
              <w:spacing w:after="0"/>
              <w:rPr>
                <w:sz w:val="6"/>
                <w:szCs w:val="6"/>
                <w:color w:val="auto"/>
              </w:rPr>
            </w:pPr>
          </w:p>
        </w:tc>
        <w:tc>
          <w:tcPr>
            <w:tcW w:w="260" w:type="dxa"/>
            <w:vAlign w:val="bottom"/>
            <w:shd w:val="clear" w:color="auto" w:fill="D6D1D8"/>
          </w:tcPr>
          <w:p>
            <w:pPr>
              <w:spacing w:after="0"/>
              <w:rPr>
                <w:sz w:val="6"/>
                <w:szCs w:val="6"/>
                <w:color w:val="auto"/>
              </w:rPr>
            </w:pPr>
          </w:p>
        </w:tc>
      </w:tr>
      <w:tr>
        <w:trPr>
          <w:trHeight w:val="277"/>
        </w:trPr>
        <w:tc>
          <w:tcPr>
            <w:tcW w:w="3520" w:type="dxa"/>
            <w:vAlign w:val="bottom"/>
          </w:tcPr>
          <w:p>
            <w:pPr>
              <w:ind w:left="80"/>
              <w:spacing w:after="0"/>
              <w:rPr>
                <w:sz w:val="20"/>
                <w:szCs w:val="20"/>
                <w:color w:val="auto"/>
              </w:rPr>
            </w:pPr>
            <w:r>
              <w:rPr>
                <w:rFonts w:ascii="Arial" w:cs="Arial" w:eastAsia="Arial" w:hAnsi="Arial"/>
                <w:sz w:val="16"/>
                <w:szCs w:val="16"/>
                <w:color w:val="auto"/>
              </w:rPr>
              <w:t>Ellen F. Whittemore</w:t>
            </w:r>
          </w:p>
        </w:tc>
        <w:tc>
          <w:tcPr>
            <w:tcW w:w="1260" w:type="dxa"/>
            <w:vAlign w:val="bottom"/>
          </w:tcPr>
          <w:p>
            <w:pPr>
              <w:ind w:left="440"/>
              <w:spacing w:after="0"/>
              <w:rPr>
                <w:sz w:val="20"/>
                <w:szCs w:val="20"/>
                <w:color w:val="auto"/>
              </w:rPr>
            </w:pPr>
            <w:r>
              <w:rPr>
                <w:rFonts w:ascii="Arial" w:cs="Arial" w:eastAsia="Arial" w:hAnsi="Arial"/>
                <w:sz w:val="16"/>
                <w:szCs w:val="16"/>
                <w:color w:val="auto"/>
              </w:rPr>
              <w:t>160% </w:t>
            </w:r>
          </w:p>
        </w:tc>
        <w:tc>
          <w:tcPr>
            <w:tcW w:w="920" w:type="dxa"/>
            <w:vAlign w:val="bottom"/>
          </w:tcPr>
          <w:p>
            <w:pPr>
              <w:ind w:left="240"/>
              <w:spacing w:after="0"/>
              <w:rPr>
                <w:sz w:val="20"/>
                <w:szCs w:val="20"/>
                <w:color w:val="auto"/>
              </w:rPr>
            </w:pPr>
            <w:r>
              <w:rPr>
                <w:rFonts w:ascii="Arial" w:cs="Arial" w:eastAsia="Arial" w:hAnsi="Arial"/>
                <w:sz w:val="16"/>
                <w:szCs w:val="16"/>
                <w:color w:val="auto"/>
              </w:rPr>
              <w:t>  200% </w:t>
            </w:r>
          </w:p>
        </w:tc>
        <w:tc>
          <w:tcPr>
            <w:tcW w:w="1120" w:type="dxa"/>
            <w:vAlign w:val="bottom"/>
          </w:tcPr>
          <w:p>
            <w:pPr>
              <w:ind w:left="320"/>
              <w:spacing w:after="0"/>
              <w:rPr>
                <w:sz w:val="20"/>
                <w:szCs w:val="20"/>
                <w:color w:val="auto"/>
              </w:rPr>
            </w:pPr>
            <w:r>
              <w:rPr>
                <w:rFonts w:ascii="Arial" w:cs="Arial" w:eastAsia="Arial" w:hAnsi="Arial"/>
                <w:sz w:val="16"/>
                <w:szCs w:val="16"/>
                <w:color w:val="auto"/>
              </w:rPr>
              <w:t>  240% </w:t>
            </w:r>
          </w:p>
        </w:tc>
        <w:tc>
          <w:tcPr>
            <w:tcW w:w="1320" w:type="dxa"/>
            <w:vAlign w:val="bottom"/>
          </w:tcPr>
          <w:p>
            <w:pPr>
              <w:jc w:val="center"/>
              <w:ind w:left="60"/>
              <w:spacing w:after="0"/>
              <w:rPr>
                <w:sz w:val="20"/>
                <w:szCs w:val="20"/>
                <w:color w:val="auto"/>
              </w:rPr>
            </w:pPr>
            <w:r>
              <w:rPr>
                <w:rFonts w:ascii="Arial" w:cs="Arial" w:eastAsia="Arial" w:hAnsi="Arial"/>
                <w:sz w:val="16"/>
                <w:szCs w:val="16"/>
                <w:color w:val="auto"/>
                <w:w w:val="86"/>
              </w:rPr>
              <w:t>  215% </w:t>
            </w:r>
          </w:p>
        </w:tc>
        <w:tc>
          <w:tcPr>
            <w:tcW w:w="1140" w:type="dxa"/>
            <w:vAlign w:val="bottom"/>
          </w:tcPr>
          <w:p>
            <w:pPr>
              <w:jc w:val="right"/>
              <w:spacing w:after="0"/>
              <w:rPr>
                <w:sz w:val="20"/>
                <w:szCs w:val="20"/>
                <w:color w:val="auto"/>
              </w:rPr>
            </w:pPr>
            <w:r>
              <w:rPr>
                <w:rFonts w:ascii="Arial" w:cs="Arial" w:eastAsia="Arial" w:hAnsi="Arial"/>
                <w:sz w:val="16"/>
                <w:szCs w:val="16"/>
                <w:color w:val="auto"/>
              </w:rPr>
              <w:t>$   967,500 </w:t>
            </w:r>
          </w:p>
        </w:tc>
        <w:tc>
          <w:tcPr>
            <w:tcW w:w="340" w:type="dxa"/>
            <w:vAlign w:val="bottom"/>
          </w:tcPr>
          <w:p>
            <w:pPr>
              <w:ind w:left="40"/>
              <w:spacing w:after="0"/>
              <w:rPr>
                <w:sz w:val="20"/>
                <w:szCs w:val="20"/>
                <w:color w:val="auto"/>
              </w:rPr>
            </w:pPr>
            <w:r>
              <w:rPr>
                <w:rFonts w:ascii="Arial" w:cs="Arial" w:eastAsia="Arial" w:hAnsi="Arial"/>
                <w:sz w:val="16"/>
                <w:szCs w:val="16"/>
                <w:color w:val="auto"/>
              </w:rPr>
              <w:t>    </w:t>
            </w:r>
          </w:p>
        </w:tc>
        <w:tc>
          <w:tcPr>
            <w:tcW w:w="1040" w:type="dxa"/>
            <w:vAlign w:val="bottom"/>
          </w:tcPr>
          <w:p>
            <w:pPr>
              <w:jc w:val="right"/>
              <w:spacing w:after="0"/>
              <w:rPr>
                <w:sz w:val="20"/>
                <w:szCs w:val="20"/>
                <w:color w:val="auto"/>
              </w:rPr>
            </w:pPr>
            <w:r>
              <w:rPr>
                <w:rFonts w:ascii="Arial" w:cs="Arial" w:eastAsia="Arial" w:hAnsi="Arial"/>
                <w:sz w:val="16"/>
                <w:szCs w:val="16"/>
                <w:color w:val="auto"/>
                <w:w w:val="99"/>
              </w:rPr>
              <w:t>$   967,500 </w:t>
            </w:r>
          </w:p>
        </w:tc>
        <w:tc>
          <w:tcPr>
            <w:tcW w:w="260" w:type="dxa"/>
            <w:vAlign w:val="bottom"/>
          </w:tcPr>
          <w:p>
            <w:pPr>
              <w:ind w:left="40"/>
              <w:spacing w:after="0"/>
              <w:rPr>
                <w:sz w:val="20"/>
                <w:szCs w:val="20"/>
                <w:color w:val="auto"/>
              </w:rPr>
            </w:pPr>
            <w:r>
              <w:rPr>
                <w:rFonts w:ascii="Arial" w:cs="Arial" w:eastAsia="Arial" w:hAnsi="Arial"/>
                <w:sz w:val="16"/>
                <w:szCs w:val="16"/>
                <w:color w:val="auto"/>
                <w:w w:val="95"/>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6169660</wp:posOffset>
            </wp:positionH>
            <wp:positionV relativeFrom="paragraph">
              <wp:posOffset>-1143635</wp:posOffset>
            </wp:positionV>
            <wp:extent cx="8255" cy="11887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1188720"/>
                    </a:xfrm>
                    <a:prstGeom prst="rect">
                      <a:avLst/>
                    </a:prstGeom>
                    <a:noFill/>
                  </pic:spPr>
                </pic:pic>
              </a:graphicData>
            </a:graphic>
          </wp:anchor>
        </w:drawing>
        <w:drawing>
          <wp:anchor simplePos="0" relativeHeight="251657728" behindDoc="1" locked="0" layoutInCell="0" allowOverlap="1">
            <wp:simplePos x="0" y="0"/>
            <wp:positionH relativeFrom="column">
              <wp:posOffset>5303520</wp:posOffset>
            </wp:positionH>
            <wp:positionV relativeFrom="paragraph">
              <wp:posOffset>-1143635</wp:posOffset>
            </wp:positionV>
            <wp:extent cx="8255" cy="11887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1188720"/>
                    </a:xfrm>
                    <a:prstGeom prst="rect">
                      <a:avLst/>
                    </a:prstGeom>
                    <a:noFill/>
                  </pic:spPr>
                </pic:pic>
              </a:graphicData>
            </a:graphic>
          </wp:anchor>
        </w:drawing>
        <w:drawing>
          <wp:anchor simplePos="0" relativeHeight="251657728" behindDoc="1" locked="0" layoutInCell="0" allowOverlap="1">
            <wp:simplePos x="0" y="0"/>
            <wp:positionH relativeFrom="column">
              <wp:posOffset>3724275</wp:posOffset>
            </wp:positionH>
            <wp:positionV relativeFrom="paragraph">
              <wp:posOffset>-1143635</wp:posOffset>
            </wp:positionV>
            <wp:extent cx="8255" cy="11887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1188720"/>
                    </a:xfrm>
                    <a:prstGeom prst="rect">
                      <a:avLst/>
                    </a:prstGeom>
                    <a:noFill/>
                  </pic:spPr>
                </pic:pic>
              </a:graphicData>
            </a:graphic>
          </wp:anchor>
        </w:drawing>
        <w:drawing>
          <wp:anchor simplePos="0" relativeHeight="251657728" behindDoc="1" locked="0" layoutInCell="0" allowOverlap="1">
            <wp:simplePos x="0" y="0"/>
            <wp:positionH relativeFrom="column">
              <wp:posOffset>3146425</wp:posOffset>
            </wp:positionH>
            <wp:positionV relativeFrom="paragraph">
              <wp:posOffset>-1143635</wp:posOffset>
            </wp:positionV>
            <wp:extent cx="8255" cy="11887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1188720"/>
                    </a:xfrm>
                    <a:prstGeom prst="rect">
                      <a:avLst/>
                    </a:prstGeom>
                    <a:noFill/>
                  </pic:spPr>
                </pic:pic>
              </a:graphicData>
            </a:graphic>
          </wp:anchor>
        </w:drawing>
        <w:drawing>
          <wp:anchor simplePos="0" relativeHeight="251657728" behindDoc="1" locked="0" layoutInCell="0" allowOverlap="1">
            <wp:simplePos x="0" y="0"/>
            <wp:positionH relativeFrom="column">
              <wp:posOffset>2339975</wp:posOffset>
            </wp:positionH>
            <wp:positionV relativeFrom="paragraph">
              <wp:posOffset>-1143635</wp:posOffset>
            </wp:positionV>
            <wp:extent cx="8255" cy="11887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1188720"/>
                    </a:xfrm>
                    <a:prstGeom prst="rect">
                      <a:avLst/>
                    </a:prstGeom>
                    <a:noFill/>
                  </pic:spPr>
                </pic:pic>
              </a:graphicData>
            </a:graphic>
          </wp:anchor>
        </w:drawing>
      </w:r>
    </w:p>
    <w:p>
      <w:pPr>
        <w:spacing w:after="0" w:line="139" w:lineRule="exact"/>
        <w:rPr>
          <w:sz w:val="20"/>
          <w:szCs w:val="20"/>
          <w:color w:val="auto"/>
        </w:rPr>
      </w:pPr>
    </w:p>
    <w:p>
      <w:pPr>
        <w:ind w:left="160" w:right="320" w:firstLine="7"/>
        <w:spacing w:after="0" w:line="279" w:lineRule="auto"/>
        <w:tabs>
          <w:tab w:leader="none" w:pos="347"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amounts set forth in this column reflect the aggregate grant date fair value of stock awards granted, as computed in accordance with FASB ASC Topic 718. These stock awards are fully vested upon grant but remain subject to our stock ownership guidelines.</w:t>
      </w:r>
    </w:p>
    <w:p>
      <w:pPr>
        <w:spacing w:after="0" w:line="53" w:lineRule="exact"/>
        <w:rPr>
          <w:rFonts w:ascii="Arial" w:cs="Arial" w:eastAsia="Arial" w:hAnsi="Arial"/>
          <w:sz w:val="12"/>
          <w:szCs w:val="12"/>
          <w:color w:val="auto"/>
        </w:rPr>
      </w:pPr>
    </w:p>
    <w:p>
      <w:pPr>
        <w:ind w:left="160" w:right="220" w:firstLine="7"/>
        <w:spacing w:after="0" w:line="248" w:lineRule="auto"/>
        <w:tabs>
          <w:tab w:leader="none" w:pos="347" w:val="left"/>
        </w:tabs>
        <w:numPr>
          <w:ilvl w:val="0"/>
          <w:numId w:val="30"/>
        </w:numPr>
        <w:rPr>
          <w:rFonts w:ascii="Arial" w:cs="Arial" w:eastAsia="Arial" w:hAnsi="Arial"/>
          <w:sz w:val="12"/>
          <w:szCs w:val="12"/>
          <w:color w:val="auto"/>
        </w:rPr>
      </w:pPr>
      <w:r>
        <w:rPr>
          <w:rFonts w:ascii="Arial" w:cs="Arial" w:eastAsia="Arial" w:hAnsi="Arial"/>
          <w:sz w:val="12"/>
          <w:szCs w:val="12"/>
          <w:color w:val="auto"/>
        </w:rPr>
        <w:t>Ms. Krum’s 2024 annual incentive award payout was prorated by 50% due to her partial year of service as the Company’s Executive Vice President, General Counsel and Secretary. The cash portion of Ms. Krum’s 2024 annual incentive award shown in this table does not include the bonus she received in early 2024 related to her previous role as General Counsel for Encore Boston Harbor (which totaled $176,008). In order to calculate Ms. Krum’s “Percentage of Salary” for purposes of this table, we included the full amount of base salary received by Ms. Krum during 2024, which includes her base salary received for her role as the Company’s Senior Vice President and General Counsel at Encore Boston Harbor prior to December 1, 2024.</w:t>
      </w:r>
    </w:p>
    <w:p>
      <w:pPr>
        <w:spacing w:after="0" w:line="182" w:lineRule="exact"/>
        <w:rPr>
          <w:sz w:val="20"/>
          <w:szCs w:val="20"/>
          <w:color w:val="auto"/>
        </w:rPr>
      </w:pPr>
    </w:p>
    <w:p>
      <w:pPr>
        <w:ind w:left="160" w:right="160"/>
        <w:spacing w:after="0" w:line="256" w:lineRule="auto"/>
        <w:rPr>
          <w:sz w:val="20"/>
          <w:szCs w:val="20"/>
          <w:color w:val="auto"/>
        </w:rPr>
      </w:pPr>
      <w:r>
        <w:rPr>
          <w:rFonts w:ascii="Arial" w:cs="Arial" w:eastAsia="Arial" w:hAnsi="Arial"/>
          <w:sz w:val="16"/>
          <w:szCs w:val="16"/>
          <w:color w:val="351B3D"/>
        </w:rPr>
        <w:t xml:space="preserve">LONG-TERM INCENTIVES: </w:t>
      </w:r>
      <w:r>
        <w:rPr>
          <w:rFonts w:ascii="Arial" w:cs="Arial" w:eastAsia="Arial" w:hAnsi="Arial"/>
          <w:sz w:val="16"/>
          <w:szCs w:val="16"/>
          <w:color w:val="000000"/>
        </w:rPr>
        <w:t>In response to shareholder feedback, beginning in 2018, the Compensation Committee transitioned from periodic grants to</w:t>
      </w:r>
      <w:r>
        <w:rPr>
          <w:rFonts w:ascii="Arial" w:cs="Arial" w:eastAsia="Arial" w:hAnsi="Arial"/>
          <w:sz w:val="16"/>
          <w:szCs w:val="16"/>
          <w:color w:val="351B3D"/>
        </w:rPr>
        <w:t xml:space="preserve"> </w:t>
      </w:r>
      <w:r>
        <w:rPr>
          <w:rFonts w:ascii="Arial" w:cs="Arial" w:eastAsia="Arial" w:hAnsi="Arial"/>
          <w:sz w:val="16"/>
          <w:szCs w:val="16"/>
          <w:color w:val="000000"/>
        </w:rPr>
        <w:t>annual grants with three-year vesting, and in 2023, implemented a policy of requiring that at least 55% of equity grants made to NEOs be subject to performance conditions to ensure a superior focus on operational excellence as well as better align executives’ interests with those of long-term shareholders.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RATIONALE FOR CHOICE OF LONG-TERM METRICS</w:t>
      </w:r>
    </w:p>
    <w:p>
      <w:pPr>
        <w:spacing w:after="0" w:line="19" w:lineRule="exact"/>
        <w:rPr>
          <w:sz w:val="20"/>
          <w:szCs w:val="20"/>
          <w:color w:val="auto"/>
        </w:rPr>
      </w:pPr>
    </w:p>
    <w:p>
      <w:pPr>
        <w:ind w:left="160" w:right="340"/>
        <w:spacing w:after="0" w:line="249" w:lineRule="auto"/>
        <w:rPr>
          <w:sz w:val="20"/>
          <w:szCs w:val="20"/>
          <w:color w:val="auto"/>
        </w:rPr>
      </w:pPr>
      <w:r>
        <w:rPr>
          <w:rFonts w:ascii="Arial" w:cs="Arial" w:eastAsia="Arial" w:hAnsi="Arial"/>
          <w:sz w:val="16"/>
          <w:szCs w:val="16"/>
          <w:color w:val="auto"/>
        </w:rPr>
        <w:t>The Compensation Committee believes that the combination of targeted, high-return investments along with continual revenue and EBITDAR relative outperformance are essential to long-term shareholder value creation. The Compensation Committee believes this is best reflected in the consistent generation of Revenue and EBITDAR “fair share” premiums, which the Compensation Committee expects will be a key driver of strong long-term absolute TSR performance. The decision to select these metrics was based on careful consideration of the following factors:</w:t>
      </w:r>
    </w:p>
    <w:p>
      <w:pPr>
        <w:spacing w:after="0" w:line="210" w:lineRule="exact"/>
        <w:rPr>
          <w:sz w:val="20"/>
          <w:szCs w:val="20"/>
          <w:color w:val="auto"/>
        </w:rPr>
      </w:pPr>
    </w:p>
    <w:p>
      <w:pPr>
        <w:ind w:left="1240" w:right="260" w:hanging="431"/>
        <w:spacing w:after="0" w:line="262" w:lineRule="auto"/>
        <w:tabs>
          <w:tab w:leader="none" w:pos="12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Company’s strategy is to attract and retain premium customers in each market in which the Company operates, driving outsized Operating Revenue and Adjusted Property EBITDAR performance relative to peers over the long run. The consistent generation of “fair share” premiums indicates that our properties are continually outperforming the competition in revenue and EBITDAR.</w:t>
      </w:r>
    </w:p>
    <w:p>
      <w:pPr>
        <w:spacing w:after="0" w:line="199" w:lineRule="exact"/>
        <w:rPr>
          <w:rFonts w:ascii="Arial" w:cs="Arial" w:eastAsia="Arial" w:hAnsi="Arial"/>
          <w:sz w:val="16"/>
          <w:szCs w:val="16"/>
          <w:color w:val="auto"/>
        </w:rPr>
      </w:pPr>
    </w:p>
    <w:p>
      <w:pPr>
        <w:ind w:left="1240" w:right="700" w:hanging="431"/>
        <w:spacing w:after="0" w:line="279" w:lineRule="auto"/>
        <w:tabs>
          <w:tab w:leader="none" w:pos="12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Consistently achieving premium fair share incentivizes a long-term strategic operating approach, including diligent and consistent investment in facilities and team members across the business cycle.</w:t>
      </w:r>
    </w:p>
    <w:p>
      <w:pPr>
        <w:spacing w:after="0" w:line="187" w:lineRule="exact"/>
        <w:rPr>
          <w:rFonts w:ascii="Arial" w:cs="Arial" w:eastAsia="Arial" w:hAnsi="Arial"/>
          <w:sz w:val="16"/>
          <w:szCs w:val="16"/>
          <w:color w:val="auto"/>
        </w:rPr>
      </w:pPr>
    </w:p>
    <w:p>
      <w:pPr>
        <w:ind w:left="1240" w:right="340" w:hanging="431"/>
        <w:spacing w:after="0" w:line="279" w:lineRule="auto"/>
        <w:tabs>
          <w:tab w:leader="none" w:pos="12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Utilizing fair share metrics also prevents management from unduly benefiting from favorable market tailwinds, and instead incentivizes consistent outperformance relative to our competitors regardless of the overall market conditions.</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080"/>
          </w:cols>
          <w:pgMar w:left="320" w:top="478"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40" w:right="260" w:hanging="431"/>
        <w:spacing w:after="0" w:line="279" w:lineRule="auto"/>
        <w:tabs>
          <w:tab w:leader="none" w:pos="12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Utilizing absolute TSR incentivizes management to focus on driving long-term shareholder returns and directly aligns management with the experience of shareholders.</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2024 LONG-TERM INCENTIVE GRANTS</w:t>
      </w:r>
    </w:p>
    <w:p>
      <w:pPr>
        <w:spacing w:after="0" w:line="19" w:lineRule="exact"/>
        <w:rPr>
          <w:sz w:val="20"/>
          <w:szCs w:val="20"/>
          <w:color w:val="auto"/>
        </w:rPr>
      </w:pPr>
    </w:p>
    <w:p>
      <w:pPr>
        <w:ind w:left="160" w:right="340"/>
        <w:spacing w:after="0" w:line="247" w:lineRule="auto"/>
        <w:rPr>
          <w:sz w:val="20"/>
          <w:szCs w:val="20"/>
          <w:color w:val="auto"/>
        </w:rPr>
      </w:pPr>
      <w:r>
        <w:rPr>
          <w:rFonts w:ascii="Arial" w:cs="Arial" w:eastAsia="Arial" w:hAnsi="Arial"/>
          <w:sz w:val="16"/>
          <w:szCs w:val="16"/>
          <w:color w:val="auto"/>
        </w:rPr>
        <w:t>For 2024, the Compensation Committee granted time-based restricted stock awards, performance-based restricted stock awards and/or performance share units (“PSUs”) under the Omnibus Plan to our NEOs, as outlined in the tables below. Each grant is subject to continued service through the applicable vesting date unless certain acceleration provisions are met, as discussed in “Summary compensation tables” — “Potential payments upon termination, retirement or change in control.” Additional information and the required disclosure under Item 402(d) of Regulation S-K for 2024 can be found in the section titled “2024 Grants of Plan-Based Awards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4530725</wp:posOffset>
            </wp:positionH>
            <wp:positionV relativeFrom="paragraph">
              <wp:posOffset>144780</wp:posOffset>
            </wp:positionV>
            <wp:extent cx="8255" cy="19786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1978660"/>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144780</wp:posOffset>
            </wp:positionV>
            <wp:extent cx="8255" cy="19786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1978660"/>
                    </a:xfrm>
                    <a:prstGeom prst="rect">
                      <a:avLst/>
                    </a:prstGeom>
                    <a:noFill/>
                  </pic:spPr>
                </pic:pic>
              </a:graphicData>
            </a:graphic>
          </wp:anchor>
        </w:drawing>
      </w:r>
    </w:p>
    <w:p>
      <w:pPr>
        <w:spacing w:after="0" w:line="208" w:lineRule="exact"/>
        <w:rPr>
          <w:sz w:val="20"/>
          <w:szCs w:val="20"/>
          <w:color w:val="auto"/>
        </w:rPr>
      </w:pPr>
    </w:p>
    <w:tbl>
      <w:tblPr>
        <w:tblLayout w:type="fixed"/>
        <w:tblInd w:w="160" w:type="dxa"/>
        <w:tblCellMar>
          <w:top w:w="0" w:type="dxa"/>
          <w:left w:w="0" w:type="dxa"/>
          <w:bottom w:w="0" w:type="dxa"/>
          <w:right w:w="0" w:type="dxa"/>
        </w:tblCellMar>
      </w:tblPr>
      <w:tr>
        <w:trPr>
          <w:trHeight w:val="264"/>
        </w:trPr>
        <w:tc>
          <w:tcPr>
            <w:tcW w:w="2560" w:type="dxa"/>
            <w:vAlign w:val="bottom"/>
            <w:shd w:val="clear" w:color="auto" w:fill="351B3D"/>
          </w:tcPr>
          <w:p>
            <w:pPr>
              <w:spacing w:after="0"/>
              <w:rPr>
                <w:sz w:val="22"/>
                <w:szCs w:val="22"/>
                <w:color w:val="auto"/>
              </w:rPr>
            </w:pPr>
          </w:p>
        </w:tc>
        <w:tc>
          <w:tcPr>
            <w:tcW w:w="4040" w:type="dxa"/>
            <w:vAlign w:val="bottom"/>
            <w:gridSpan w:val="6"/>
            <w:shd w:val="clear" w:color="auto" w:fill="351B3D"/>
          </w:tcPr>
          <w:p>
            <w:pPr>
              <w:ind w:left="660"/>
              <w:spacing w:after="0"/>
              <w:rPr>
                <w:sz w:val="20"/>
                <w:szCs w:val="20"/>
                <w:color w:val="auto"/>
              </w:rPr>
            </w:pPr>
            <w:r>
              <w:rPr>
                <w:rFonts w:ascii="Arial" w:cs="Arial" w:eastAsia="Arial" w:hAnsi="Arial"/>
                <w:sz w:val="16"/>
                <w:szCs w:val="16"/>
                <w:color w:val="FFFFFF"/>
              </w:rPr>
              <w:t>PERFORMANCE BASED STOCK AWARDS</w:t>
            </w:r>
          </w:p>
        </w:tc>
        <w:tc>
          <w:tcPr>
            <w:tcW w:w="340" w:type="dxa"/>
            <w:vAlign w:val="bottom"/>
            <w:shd w:val="clear" w:color="auto" w:fill="351B3D"/>
          </w:tcPr>
          <w:p>
            <w:pPr>
              <w:spacing w:after="0"/>
              <w:rPr>
                <w:sz w:val="22"/>
                <w:szCs w:val="22"/>
                <w:color w:val="auto"/>
              </w:rPr>
            </w:pPr>
          </w:p>
        </w:tc>
        <w:tc>
          <w:tcPr>
            <w:tcW w:w="200" w:type="dxa"/>
            <w:vAlign w:val="bottom"/>
            <w:shd w:val="clear" w:color="auto" w:fill="351B3D"/>
          </w:tcPr>
          <w:p>
            <w:pPr>
              <w:spacing w:after="0"/>
              <w:rPr>
                <w:sz w:val="22"/>
                <w:szCs w:val="22"/>
                <w:color w:val="auto"/>
              </w:rPr>
            </w:pPr>
          </w:p>
        </w:tc>
        <w:tc>
          <w:tcPr>
            <w:tcW w:w="1080" w:type="dxa"/>
            <w:vAlign w:val="bottom"/>
            <w:shd w:val="clear" w:color="auto" w:fill="351B3D"/>
          </w:tcPr>
          <w:p>
            <w:pPr>
              <w:spacing w:after="0"/>
              <w:rPr>
                <w:sz w:val="22"/>
                <w:szCs w:val="22"/>
                <w:color w:val="auto"/>
              </w:rPr>
            </w:pPr>
          </w:p>
        </w:tc>
        <w:tc>
          <w:tcPr>
            <w:tcW w:w="1140" w:type="dxa"/>
            <w:vAlign w:val="bottom"/>
            <w:shd w:val="clear" w:color="auto" w:fill="351B3D"/>
          </w:tcPr>
          <w:p>
            <w:pPr>
              <w:spacing w:after="0"/>
              <w:rPr>
                <w:sz w:val="22"/>
                <w:szCs w:val="22"/>
                <w:color w:val="auto"/>
              </w:rPr>
            </w:pPr>
          </w:p>
        </w:tc>
        <w:tc>
          <w:tcPr>
            <w:tcW w:w="100" w:type="dxa"/>
            <w:vAlign w:val="bottom"/>
            <w:shd w:val="clear" w:color="auto" w:fill="351B3D"/>
          </w:tcPr>
          <w:p>
            <w:pPr>
              <w:spacing w:after="0"/>
              <w:rPr>
                <w:sz w:val="22"/>
                <w:szCs w:val="22"/>
                <w:color w:val="auto"/>
              </w:rPr>
            </w:pPr>
          </w:p>
        </w:tc>
        <w:tc>
          <w:tcPr>
            <w:tcW w:w="1460" w:type="dxa"/>
            <w:vAlign w:val="bottom"/>
            <w:shd w:val="clear" w:color="auto" w:fill="351B3D"/>
          </w:tcPr>
          <w:p>
            <w:pPr>
              <w:spacing w:after="0"/>
              <w:rPr>
                <w:sz w:val="22"/>
                <w:szCs w:val="22"/>
                <w:color w:val="auto"/>
              </w:rPr>
            </w:pPr>
          </w:p>
        </w:tc>
      </w:tr>
      <w:tr>
        <w:trPr>
          <w:trHeight w:val="270"/>
        </w:trPr>
        <w:tc>
          <w:tcPr>
            <w:tcW w:w="2560" w:type="dxa"/>
            <w:vAlign w:val="bottom"/>
            <w:shd w:val="clear" w:color="auto" w:fill="351B3D"/>
          </w:tcPr>
          <w:p>
            <w:pPr>
              <w:spacing w:after="0"/>
              <w:rPr>
                <w:sz w:val="23"/>
                <w:szCs w:val="23"/>
                <w:color w:val="auto"/>
              </w:rPr>
            </w:pPr>
          </w:p>
        </w:tc>
        <w:tc>
          <w:tcPr>
            <w:tcW w:w="1880" w:type="dxa"/>
            <w:vAlign w:val="bottom"/>
            <w:gridSpan w:val="3"/>
            <w:shd w:val="clear" w:color="auto" w:fill="351B3D"/>
          </w:tcPr>
          <w:p>
            <w:pPr>
              <w:jc w:val="center"/>
              <w:ind w:left="80"/>
              <w:spacing w:after="0"/>
              <w:rPr>
                <w:sz w:val="20"/>
                <w:szCs w:val="20"/>
                <w:color w:val="auto"/>
              </w:rPr>
            </w:pPr>
            <w:r>
              <w:rPr>
                <w:rFonts w:ascii="Arial" w:cs="Arial" w:eastAsia="Arial" w:hAnsi="Arial"/>
                <w:sz w:val="16"/>
                <w:szCs w:val="16"/>
                <w:color w:val="FFFFFF"/>
                <w:w w:val="99"/>
              </w:rPr>
              <w:t>FAIR SHARE</w:t>
            </w:r>
          </w:p>
        </w:tc>
        <w:tc>
          <w:tcPr>
            <w:tcW w:w="260" w:type="dxa"/>
            <w:vAlign w:val="bottom"/>
            <w:shd w:val="clear" w:color="auto" w:fill="351B3D"/>
          </w:tcPr>
          <w:p>
            <w:pPr>
              <w:spacing w:after="0"/>
              <w:rPr>
                <w:sz w:val="23"/>
                <w:szCs w:val="23"/>
                <w:color w:val="auto"/>
              </w:rPr>
            </w:pPr>
          </w:p>
        </w:tc>
        <w:tc>
          <w:tcPr>
            <w:tcW w:w="1100" w:type="dxa"/>
            <w:vAlign w:val="bottom"/>
            <w:shd w:val="clear" w:color="auto" w:fill="351B3D"/>
          </w:tcPr>
          <w:p>
            <w:pPr>
              <w:spacing w:after="0"/>
              <w:rPr>
                <w:sz w:val="23"/>
                <w:szCs w:val="23"/>
                <w:color w:val="auto"/>
              </w:rPr>
            </w:pPr>
          </w:p>
        </w:tc>
        <w:tc>
          <w:tcPr>
            <w:tcW w:w="800" w:type="dxa"/>
            <w:vAlign w:val="bottom"/>
            <w:shd w:val="clear" w:color="auto" w:fill="351B3D"/>
          </w:tcPr>
          <w:p>
            <w:pPr>
              <w:spacing w:after="0"/>
              <w:rPr>
                <w:sz w:val="23"/>
                <w:szCs w:val="23"/>
                <w:color w:val="auto"/>
              </w:rPr>
            </w:pPr>
          </w:p>
        </w:tc>
        <w:tc>
          <w:tcPr>
            <w:tcW w:w="340" w:type="dxa"/>
            <w:vAlign w:val="bottom"/>
            <w:shd w:val="clear" w:color="auto" w:fill="351B3D"/>
          </w:tcPr>
          <w:p>
            <w:pPr>
              <w:spacing w:after="0"/>
              <w:rPr>
                <w:sz w:val="23"/>
                <w:szCs w:val="23"/>
                <w:color w:val="auto"/>
              </w:rPr>
            </w:pPr>
          </w:p>
        </w:tc>
        <w:tc>
          <w:tcPr>
            <w:tcW w:w="200" w:type="dxa"/>
            <w:vAlign w:val="bottom"/>
            <w:shd w:val="clear" w:color="auto" w:fill="351B3D"/>
          </w:tcPr>
          <w:p>
            <w:pPr>
              <w:spacing w:after="0"/>
              <w:rPr>
                <w:sz w:val="23"/>
                <w:szCs w:val="23"/>
                <w:color w:val="auto"/>
              </w:rPr>
            </w:pPr>
          </w:p>
        </w:tc>
        <w:tc>
          <w:tcPr>
            <w:tcW w:w="1080" w:type="dxa"/>
            <w:vAlign w:val="bottom"/>
            <w:shd w:val="clear" w:color="auto" w:fill="351B3D"/>
          </w:tcPr>
          <w:p>
            <w:pPr>
              <w:spacing w:after="0"/>
              <w:rPr>
                <w:sz w:val="23"/>
                <w:szCs w:val="23"/>
                <w:color w:val="auto"/>
              </w:rPr>
            </w:pPr>
          </w:p>
        </w:tc>
        <w:tc>
          <w:tcPr>
            <w:tcW w:w="1140" w:type="dxa"/>
            <w:vAlign w:val="bottom"/>
            <w:shd w:val="clear" w:color="auto" w:fill="351B3D"/>
          </w:tcPr>
          <w:p>
            <w:pPr>
              <w:spacing w:after="0"/>
              <w:rPr>
                <w:sz w:val="23"/>
                <w:szCs w:val="23"/>
                <w:color w:val="auto"/>
              </w:rPr>
            </w:pPr>
          </w:p>
        </w:tc>
        <w:tc>
          <w:tcPr>
            <w:tcW w:w="100" w:type="dxa"/>
            <w:vAlign w:val="bottom"/>
            <w:shd w:val="clear" w:color="auto" w:fill="351B3D"/>
          </w:tcPr>
          <w:p>
            <w:pPr>
              <w:spacing w:after="0"/>
              <w:rPr>
                <w:sz w:val="23"/>
                <w:szCs w:val="23"/>
                <w:color w:val="auto"/>
              </w:rPr>
            </w:pPr>
          </w:p>
        </w:tc>
        <w:tc>
          <w:tcPr>
            <w:tcW w:w="1460" w:type="dxa"/>
            <w:vAlign w:val="bottom"/>
            <w:shd w:val="clear" w:color="auto" w:fill="351B3D"/>
          </w:tcPr>
          <w:p>
            <w:pPr>
              <w:spacing w:after="0"/>
              <w:rPr>
                <w:sz w:val="23"/>
                <w:szCs w:val="23"/>
                <w:color w:val="auto"/>
              </w:rPr>
            </w:pPr>
          </w:p>
        </w:tc>
      </w:tr>
      <w:tr>
        <w:trPr>
          <w:trHeight w:val="187"/>
        </w:trPr>
        <w:tc>
          <w:tcPr>
            <w:tcW w:w="2560" w:type="dxa"/>
            <w:vAlign w:val="bottom"/>
            <w:shd w:val="clear" w:color="auto" w:fill="351B3D"/>
          </w:tcPr>
          <w:p>
            <w:pPr>
              <w:spacing w:after="0"/>
              <w:rPr>
                <w:sz w:val="16"/>
                <w:szCs w:val="16"/>
                <w:color w:val="auto"/>
              </w:rPr>
            </w:pPr>
          </w:p>
        </w:tc>
        <w:tc>
          <w:tcPr>
            <w:tcW w:w="1880" w:type="dxa"/>
            <w:vAlign w:val="bottom"/>
            <w:gridSpan w:val="3"/>
            <w:shd w:val="clear" w:color="auto" w:fill="351B3D"/>
          </w:tcPr>
          <w:p>
            <w:pPr>
              <w:jc w:val="center"/>
              <w:ind w:left="80"/>
              <w:spacing w:after="0"/>
              <w:rPr>
                <w:sz w:val="20"/>
                <w:szCs w:val="20"/>
                <w:color w:val="auto"/>
              </w:rPr>
            </w:pPr>
            <w:r>
              <w:rPr>
                <w:rFonts w:ascii="Arial" w:cs="Arial" w:eastAsia="Arial" w:hAnsi="Arial"/>
                <w:sz w:val="16"/>
                <w:szCs w:val="16"/>
                <w:color w:val="FFFFFF"/>
                <w:w w:val="99"/>
              </w:rPr>
              <w:t>PERFORMANCE</w:t>
            </w:r>
          </w:p>
        </w:tc>
        <w:tc>
          <w:tcPr>
            <w:tcW w:w="260" w:type="dxa"/>
            <w:vAlign w:val="bottom"/>
            <w:shd w:val="clear" w:color="auto" w:fill="351B3D"/>
          </w:tcPr>
          <w:p>
            <w:pPr>
              <w:spacing w:after="0"/>
              <w:rPr>
                <w:sz w:val="16"/>
                <w:szCs w:val="16"/>
                <w:color w:val="auto"/>
              </w:rPr>
            </w:pPr>
          </w:p>
        </w:tc>
        <w:tc>
          <w:tcPr>
            <w:tcW w:w="1100" w:type="dxa"/>
            <w:vAlign w:val="bottom"/>
            <w:shd w:val="clear" w:color="auto" w:fill="351B3D"/>
          </w:tcPr>
          <w:p>
            <w:pPr>
              <w:spacing w:after="0"/>
              <w:rPr>
                <w:sz w:val="16"/>
                <w:szCs w:val="16"/>
                <w:color w:val="auto"/>
              </w:rPr>
            </w:pPr>
          </w:p>
        </w:tc>
        <w:tc>
          <w:tcPr>
            <w:tcW w:w="800" w:type="dxa"/>
            <w:vAlign w:val="bottom"/>
            <w:shd w:val="clear" w:color="auto" w:fill="351B3D"/>
          </w:tcPr>
          <w:p>
            <w:pPr>
              <w:spacing w:after="0"/>
              <w:rPr>
                <w:sz w:val="16"/>
                <w:szCs w:val="16"/>
                <w:color w:val="auto"/>
              </w:rPr>
            </w:pPr>
          </w:p>
        </w:tc>
        <w:tc>
          <w:tcPr>
            <w:tcW w:w="340" w:type="dxa"/>
            <w:vAlign w:val="bottom"/>
            <w:shd w:val="clear" w:color="auto" w:fill="351B3D"/>
          </w:tcPr>
          <w:p>
            <w:pPr>
              <w:spacing w:after="0"/>
              <w:rPr>
                <w:sz w:val="16"/>
                <w:szCs w:val="16"/>
                <w:color w:val="auto"/>
              </w:rPr>
            </w:pPr>
          </w:p>
        </w:tc>
        <w:tc>
          <w:tcPr>
            <w:tcW w:w="200" w:type="dxa"/>
            <w:vAlign w:val="bottom"/>
            <w:shd w:val="clear" w:color="auto" w:fill="351B3D"/>
          </w:tcPr>
          <w:p>
            <w:pPr>
              <w:spacing w:after="0"/>
              <w:rPr>
                <w:sz w:val="16"/>
                <w:szCs w:val="16"/>
                <w:color w:val="auto"/>
              </w:rPr>
            </w:pPr>
          </w:p>
        </w:tc>
        <w:tc>
          <w:tcPr>
            <w:tcW w:w="2220" w:type="dxa"/>
            <w:vAlign w:val="bottom"/>
            <w:gridSpan w:val="2"/>
            <w:shd w:val="clear" w:color="auto" w:fill="351B3D"/>
          </w:tcPr>
          <w:p>
            <w:pPr>
              <w:jc w:val="right"/>
              <w:ind w:right="260"/>
              <w:spacing w:after="0"/>
              <w:rPr>
                <w:sz w:val="20"/>
                <w:szCs w:val="20"/>
                <w:color w:val="auto"/>
              </w:rPr>
            </w:pPr>
            <w:r>
              <w:rPr>
                <w:rFonts w:ascii="Arial" w:cs="Arial" w:eastAsia="Arial" w:hAnsi="Arial"/>
                <w:sz w:val="16"/>
                <w:szCs w:val="16"/>
                <w:color w:val="FFFFFF"/>
              </w:rPr>
              <w:t>TIME-BASED STOCK</w:t>
            </w:r>
          </w:p>
        </w:tc>
        <w:tc>
          <w:tcPr>
            <w:tcW w:w="100" w:type="dxa"/>
            <w:vAlign w:val="bottom"/>
            <w:shd w:val="clear" w:color="auto" w:fill="351B3D"/>
          </w:tcPr>
          <w:p>
            <w:pPr>
              <w:spacing w:after="0"/>
              <w:rPr>
                <w:sz w:val="16"/>
                <w:szCs w:val="16"/>
                <w:color w:val="auto"/>
              </w:rPr>
            </w:pPr>
          </w:p>
        </w:tc>
        <w:tc>
          <w:tcPr>
            <w:tcW w:w="1460" w:type="dxa"/>
            <w:vAlign w:val="bottom"/>
            <w:shd w:val="clear" w:color="auto" w:fill="351B3D"/>
          </w:tcPr>
          <w:p>
            <w:pPr>
              <w:spacing w:after="0"/>
              <w:rPr>
                <w:sz w:val="16"/>
                <w:szCs w:val="16"/>
                <w:color w:val="auto"/>
              </w:rPr>
            </w:pPr>
          </w:p>
        </w:tc>
      </w:tr>
      <w:tr>
        <w:trPr>
          <w:trHeight w:val="225"/>
        </w:trPr>
        <w:tc>
          <w:tcPr>
            <w:tcW w:w="2560" w:type="dxa"/>
            <w:vAlign w:val="bottom"/>
            <w:shd w:val="clear" w:color="auto" w:fill="351B3D"/>
          </w:tcPr>
          <w:p>
            <w:pPr>
              <w:spacing w:after="0"/>
              <w:rPr>
                <w:sz w:val="19"/>
                <w:szCs w:val="19"/>
                <w:color w:val="auto"/>
              </w:rPr>
            </w:pPr>
          </w:p>
        </w:tc>
        <w:tc>
          <w:tcPr>
            <w:tcW w:w="1880" w:type="dxa"/>
            <w:vAlign w:val="bottom"/>
            <w:gridSpan w:val="3"/>
            <w:shd w:val="clear" w:color="auto" w:fill="351B3D"/>
          </w:tcPr>
          <w:p>
            <w:pPr>
              <w:jc w:val="center"/>
              <w:ind w:left="100"/>
              <w:spacing w:after="0"/>
              <w:rPr>
                <w:sz w:val="20"/>
                <w:szCs w:val="20"/>
                <w:color w:val="auto"/>
              </w:rPr>
            </w:pPr>
            <w:r>
              <w:rPr>
                <w:rFonts w:ascii="Arial" w:cs="Arial" w:eastAsia="Arial" w:hAnsi="Arial"/>
                <w:sz w:val="16"/>
                <w:szCs w:val="16"/>
                <w:color w:val="FFFFFF"/>
                <w:w w:val="99"/>
              </w:rPr>
              <w:t>AWARDS (1)</w:t>
            </w:r>
          </w:p>
        </w:tc>
        <w:tc>
          <w:tcPr>
            <w:tcW w:w="260" w:type="dxa"/>
            <w:vAlign w:val="bottom"/>
            <w:shd w:val="clear" w:color="auto" w:fill="351B3D"/>
          </w:tcPr>
          <w:p>
            <w:pPr>
              <w:spacing w:after="0"/>
              <w:rPr>
                <w:sz w:val="19"/>
                <w:szCs w:val="19"/>
                <w:color w:val="auto"/>
              </w:rPr>
            </w:pPr>
          </w:p>
        </w:tc>
        <w:tc>
          <w:tcPr>
            <w:tcW w:w="1900" w:type="dxa"/>
            <w:vAlign w:val="bottom"/>
            <w:gridSpan w:val="2"/>
            <w:shd w:val="clear" w:color="auto" w:fill="351B3D"/>
          </w:tcPr>
          <w:p>
            <w:pPr>
              <w:ind w:left="380"/>
              <w:spacing w:after="0"/>
              <w:rPr>
                <w:sz w:val="20"/>
                <w:szCs w:val="20"/>
                <w:color w:val="auto"/>
              </w:rPr>
            </w:pPr>
            <w:r>
              <w:rPr>
                <w:rFonts w:ascii="Arial" w:cs="Arial" w:eastAsia="Arial" w:hAnsi="Arial"/>
                <w:sz w:val="16"/>
                <w:szCs w:val="16"/>
                <w:color w:val="FFFFFF"/>
              </w:rPr>
              <w:t>ABSOLUTE TSR (2)</w:t>
            </w:r>
          </w:p>
        </w:tc>
        <w:tc>
          <w:tcPr>
            <w:tcW w:w="340" w:type="dxa"/>
            <w:vAlign w:val="bottom"/>
            <w:shd w:val="clear" w:color="auto" w:fill="351B3D"/>
          </w:tcPr>
          <w:p>
            <w:pPr>
              <w:spacing w:after="0"/>
              <w:rPr>
                <w:sz w:val="19"/>
                <w:szCs w:val="19"/>
                <w:color w:val="auto"/>
              </w:rPr>
            </w:pPr>
          </w:p>
        </w:tc>
        <w:tc>
          <w:tcPr>
            <w:tcW w:w="200" w:type="dxa"/>
            <w:vAlign w:val="bottom"/>
            <w:shd w:val="clear" w:color="auto" w:fill="351B3D"/>
          </w:tcPr>
          <w:p>
            <w:pPr>
              <w:spacing w:after="0"/>
              <w:rPr>
                <w:sz w:val="19"/>
                <w:szCs w:val="19"/>
                <w:color w:val="auto"/>
              </w:rPr>
            </w:pPr>
          </w:p>
        </w:tc>
        <w:tc>
          <w:tcPr>
            <w:tcW w:w="2220" w:type="dxa"/>
            <w:vAlign w:val="bottom"/>
            <w:gridSpan w:val="2"/>
            <w:shd w:val="clear" w:color="auto" w:fill="351B3D"/>
          </w:tcPr>
          <w:p>
            <w:pPr>
              <w:jc w:val="right"/>
              <w:ind w:right="580"/>
              <w:spacing w:after="0"/>
              <w:rPr>
                <w:sz w:val="20"/>
                <w:szCs w:val="20"/>
                <w:color w:val="auto"/>
              </w:rPr>
            </w:pPr>
            <w:r>
              <w:rPr>
                <w:rFonts w:ascii="Arial" w:cs="Arial" w:eastAsia="Arial" w:hAnsi="Arial"/>
                <w:sz w:val="16"/>
                <w:szCs w:val="16"/>
                <w:color w:val="FFFFFF"/>
              </w:rPr>
              <w:t>AWARDS (3)</w:t>
            </w:r>
          </w:p>
        </w:tc>
        <w:tc>
          <w:tcPr>
            <w:tcW w:w="100" w:type="dxa"/>
            <w:vAlign w:val="bottom"/>
            <w:shd w:val="clear" w:color="auto" w:fill="351B3D"/>
          </w:tcPr>
          <w:p>
            <w:pPr>
              <w:spacing w:after="0"/>
              <w:rPr>
                <w:sz w:val="19"/>
                <w:szCs w:val="19"/>
                <w:color w:val="auto"/>
              </w:rPr>
            </w:pPr>
          </w:p>
        </w:tc>
        <w:tc>
          <w:tcPr>
            <w:tcW w:w="1460" w:type="dxa"/>
            <w:vAlign w:val="bottom"/>
            <w:shd w:val="clear" w:color="auto" w:fill="351B3D"/>
          </w:tcPr>
          <w:p>
            <w:pPr>
              <w:spacing w:after="0"/>
              <w:rPr>
                <w:sz w:val="19"/>
                <w:szCs w:val="19"/>
                <w:color w:val="auto"/>
              </w:rPr>
            </w:pPr>
          </w:p>
        </w:tc>
      </w:tr>
      <w:tr>
        <w:trPr>
          <w:trHeight w:val="297"/>
        </w:trPr>
        <w:tc>
          <w:tcPr>
            <w:tcW w:w="2560" w:type="dxa"/>
            <w:vAlign w:val="bottom"/>
            <w:shd w:val="clear" w:color="auto" w:fill="351B3D"/>
          </w:tcPr>
          <w:p>
            <w:pPr>
              <w:spacing w:after="0"/>
              <w:rPr>
                <w:sz w:val="24"/>
                <w:szCs w:val="24"/>
                <w:color w:val="auto"/>
              </w:rPr>
            </w:pPr>
          </w:p>
        </w:tc>
        <w:tc>
          <w:tcPr>
            <w:tcW w:w="760" w:type="dxa"/>
            <w:vAlign w:val="bottom"/>
            <w:shd w:val="clear" w:color="auto" w:fill="351B3D"/>
          </w:tcPr>
          <w:p>
            <w:pPr>
              <w:spacing w:after="0"/>
              <w:rPr>
                <w:sz w:val="24"/>
                <w:szCs w:val="24"/>
                <w:color w:val="auto"/>
              </w:rPr>
            </w:pPr>
          </w:p>
        </w:tc>
        <w:tc>
          <w:tcPr>
            <w:tcW w:w="180" w:type="dxa"/>
            <w:vAlign w:val="bottom"/>
            <w:shd w:val="clear" w:color="auto" w:fill="351B3D"/>
          </w:tcPr>
          <w:p>
            <w:pPr>
              <w:spacing w:after="0"/>
              <w:rPr>
                <w:sz w:val="24"/>
                <w:szCs w:val="24"/>
                <w:color w:val="auto"/>
              </w:rPr>
            </w:pPr>
          </w:p>
        </w:tc>
        <w:tc>
          <w:tcPr>
            <w:tcW w:w="940" w:type="dxa"/>
            <w:vAlign w:val="bottom"/>
            <w:shd w:val="clear" w:color="auto" w:fill="351B3D"/>
          </w:tcPr>
          <w:p>
            <w:pPr>
              <w:spacing w:after="0"/>
              <w:rPr>
                <w:sz w:val="24"/>
                <w:szCs w:val="24"/>
                <w:color w:val="auto"/>
              </w:rPr>
            </w:pPr>
          </w:p>
        </w:tc>
        <w:tc>
          <w:tcPr>
            <w:tcW w:w="260" w:type="dxa"/>
            <w:vAlign w:val="bottom"/>
            <w:shd w:val="clear" w:color="auto" w:fill="351B3D"/>
          </w:tcPr>
          <w:p>
            <w:pPr>
              <w:spacing w:after="0"/>
              <w:rPr>
                <w:sz w:val="24"/>
                <w:szCs w:val="24"/>
                <w:color w:val="auto"/>
              </w:rPr>
            </w:pPr>
          </w:p>
        </w:tc>
        <w:tc>
          <w:tcPr>
            <w:tcW w:w="1100" w:type="dxa"/>
            <w:vAlign w:val="bottom"/>
            <w:shd w:val="clear" w:color="auto" w:fill="351B3D"/>
          </w:tcPr>
          <w:p>
            <w:pPr>
              <w:spacing w:after="0"/>
              <w:rPr>
                <w:sz w:val="24"/>
                <w:szCs w:val="24"/>
                <w:color w:val="auto"/>
              </w:rPr>
            </w:pPr>
          </w:p>
        </w:tc>
        <w:tc>
          <w:tcPr>
            <w:tcW w:w="800" w:type="dxa"/>
            <w:vAlign w:val="bottom"/>
            <w:shd w:val="clear" w:color="auto" w:fill="351B3D"/>
          </w:tcPr>
          <w:p>
            <w:pPr>
              <w:spacing w:after="0"/>
              <w:rPr>
                <w:sz w:val="24"/>
                <w:szCs w:val="24"/>
                <w:color w:val="auto"/>
              </w:rPr>
            </w:pPr>
          </w:p>
        </w:tc>
        <w:tc>
          <w:tcPr>
            <w:tcW w:w="340" w:type="dxa"/>
            <w:vAlign w:val="bottom"/>
            <w:shd w:val="clear" w:color="auto" w:fill="351B3D"/>
          </w:tcPr>
          <w:p>
            <w:pPr>
              <w:spacing w:after="0"/>
              <w:rPr>
                <w:sz w:val="24"/>
                <w:szCs w:val="24"/>
                <w:color w:val="auto"/>
              </w:rPr>
            </w:pPr>
          </w:p>
        </w:tc>
        <w:tc>
          <w:tcPr>
            <w:tcW w:w="200" w:type="dxa"/>
            <w:vAlign w:val="bottom"/>
            <w:shd w:val="clear" w:color="auto" w:fill="351B3D"/>
          </w:tcPr>
          <w:p>
            <w:pPr>
              <w:spacing w:after="0"/>
              <w:rPr>
                <w:sz w:val="24"/>
                <w:szCs w:val="24"/>
                <w:color w:val="auto"/>
              </w:rPr>
            </w:pPr>
          </w:p>
        </w:tc>
        <w:tc>
          <w:tcPr>
            <w:tcW w:w="1080" w:type="dxa"/>
            <w:vAlign w:val="bottom"/>
            <w:shd w:val="clear" w:color="auto" w:fill="351B3D"/>
          </w:tcPr>
          <w:p>
            <w:pPr>
              <w:spacing w:after="0"/>
              <w:rPr>
                <w:sz w:val="24"/>
                <w:szCs w:val="24"/>
                <w:color w:val="auto"/>
              </w:rPr>
            </w:pPr>
          </w:p>
        </w:tc>
        <w:tc>
          <w:tcPr>
            <w:tcW w:w="1140" w:type="dxa"/>
            <w:vAlign w:val="bottom"/>
            <w:shd w:val="clear" w:color="auto" w:fill="351B3D"/>
          </w:tcPr>
          <w:p>
            <w:pPr>
              <w:spacing w:after="0"/>
              <w:rPr>
                <w:sz w:val="24"/>
                <w:szCs w:val="24"/>
                <w:color w:val="auto"/>
              </w:rPr>
            </w:pPr>
          </w:p>
        </w:tc>
        <w:tc>
          <w:tcPr>
            <w:tcW w:w="100" w:type="dxa"/>
            <w:vAlign w:val="bottom"/>
            <w:shd w:val="clear" w:color="auto" w:fill="351B3D"/>
          </w:tcPr>
          <w:p>
            <w:pPr>
              <w:spacing w:after="0"/>
              <w:rPr>
                <w:sz w:val="24"/>
                <w:szCs w:val="24"/>
                <w:color w:val="auto"/>
              </w:rPr>
            </w:pPr>
          </w:p>
        </w:tc>
        <w:tc>
          <w:tcPr>
            <w:tcW w:w="1460" w:type="dxa"/>
            <w:vAlign w:val="bottom"/>
            <w:shd w:val="clear" w:color="auto" w:fill="351B3D"/>
          </w:tcPr>
          <w:p>
            <w:pPr>
              <w:jc w:val="center"/>
              <w:ind w:right="120"/>
              <w:spacing w:after="0"/>
              <w:rPr>
                <w:sz w:val="20"/>
                <w:szCs w:val="20"/>
                <w:color w:val="auto"/>
              </w:rPr>
            </w:pPr>
            <w:r>
              <w:rPr>
                <w:rFonts w:ascii="Arial" w:cs="Arial" w:eastAsia="Arial" w:hAnsi="Arial"/>
                <w:sz w:val="16"/>
                <w:szCs w:val="16"/>
                <w:color w:val="FFFFFF"/>
                <w:w w:val="98"/>
              </w:rPr>
              <w:t>GRANT DATE</w:t>
            </w:r>
          </w:p>
        </w:tc>
      </w:tr>
      <w:tr>
        <w:trPr>
          <w:trHeight w:val="187"/>
        </w:trPr>
        <w:tc>
          <w:tcPr>
            <w:tcW w:w="2560" w:type="dxa"/>
            <w:vAlign w:val="bottom"/>
            <w:shd w:val="clear" w:color="auto" w:fill="351B3D"/>
          </w:tcPr>
          <w:p>
            <w:pPr>
              <w:spacing w:after="0"/>
              <w:rPr>
                <w:sz w:val="16"/>
                <w:szCs w:val="16"/>
                <w:color w:val="auto"/>
              </w:rPr>
            </w:pPr>
          </w:p>
        </w:tc>
        <w:tc>
          <w:tcPr>
            <w:tcW w:w="760" w:type="dxa"/>
            <w:vAlign w:val="bottom"/>
            <w:shd w:val="clear" w:color="auto" w:fill="351B3D"/>
          </w:tcPr>
          <w:p>
            <w:pPr>
              <w:spacing w:after="0"/>
              <w:rPr>
                <w:sz w:val="16"/>
                <w:szCs w:val="16"/>
                <w:color w:val="auto"/>
              </w:rPr>
            </w:pPr>
          </w:p>
        </w:tc>
        <w:tc>
          <w:tcPr>
            <w:tcW w:w="180" w:type="dxa"/>
            <w:vAlign w:val="bottom"/>
            <w:shd w:val="clear" w:color="auto" w:fill="351B3D"/>
          </w:tcPr>
          <w:p>
            <w:pPr>
              <w:spacing w:after="0"/>
              <w:rPr>
                <w:sz w:val="16"/>
                <w:szCs w:val="16"/>
                <w:color w:val="auto"/>
              </w:rPr>
            </w:pPr>
          </w:p>
        </w:tc>
        <w:tc>
          <w:tcPr>
            <w:tcW w:w="940" w:type="dxa"/>
            <w:vAlign w:val="bottom"/>
            <w:shd w:val="clear" w:color="auto" w:fill="351B3D"/>
          </w:tcPr>
          <w:p>
            <w:pPr>
              <w:jc w:val="center"/>
              <w:ind w:left="80"/>
              <w:spacing w:after="0"/>
              <w:rPr>
                <w:sz w:val="20"/>
                <w:szCs w:val="20"/>
                <w:color w:val="auto"/>
              </w:rPr>
            </w:pPr>
            <w:r>
              <w:rPr>
                <w:rFonts w:ascii="Arial" w:cs="Arial" w:eastAsia="Arial" w:hAnsi="Arial"/>
                <w:sz w:val="16"/>
                <w:szCs w:val="16"/>
                <w:color w:val="FFFFFF"/>
              </w:rPr>
              <w:t>% OF</w:t>
            </w:r>
          </w:p>
        </w:tc>
        <w:tc>
          <w:tcPr>
            <w:tcW w:w="260" w:type="dxa"/>
            <w:vAlign w:val="bottom"/>
            <w:shd w:val="clear" w:color="auto" w:fill="351B3D"/>
          </w:tcPr>
          <w:p>
            <w:pPr>
              <w:spacing w:after="0"/>
              <w:rPr>
                <w:sz w:val="16"/>
                <w:szCs w:val="16"/>
                <w:color w:val="auto"/>
              </w:rPr>
            </w:pPr>
          </w:p>
        </w:tc>
        <w:tc>
          <w:tcPr>
            <w:tcW w:w="1100" w:type="dxa"/>
            <w:vAlign w:val="bottom"/>
            <w:shd w:val="clear" w:color="auto" w:fill="351B3D"/>
          </w:tcPr>
          <w:p>
            <w:pPr>
              <w:spacing w:after="0"/>
              <w:rPr>
                <w:sz w:val="16"/>
                <w:szCs w:val="16"/>
                <w:color w:val="auto"/>
              </w:rPr>
            </w:pPr>
          </w:p>
        </w:tc>
        <w:tc>
          <w:tcPr>
            <w:tcW w:w="1140" w:type="dxa"/>
            <w:vAlign w:val="bottom"/>
            <w:gridSpan w:val="2"/>
            <w:shd w:val="clear" w:color="auto" w:fill="351B3D"/>
          </w:tcPr>
          <w:p>
            <w:pPr>
              <w:jc w:val="center"/>
              <w:ind w:left="120"/>
              <w:spacing w:after="0"/>
              <w:rPr>
                <w:sz w:val="20"/>
                <w:szCs w:val="20"/>
                <w:color w:val="auto"/>
              </w:rPr>
            </w:pPr>
            <w:r>
              <w:rPr>
                <w:rFonts w:ascii="Arial" w:cs="Arial" w:eastAsia="Arial" w:hAnsi="Arial"/>
                <w:sz w:val="16"/>
                <w:szCs w:val="16"/>
                <w:color w:val="FFFFFF"/>
              </w:rPr>
              <w:t>% OF</w:t>
            </w:r>
          </w:p>
        </w:tc>
        <w:tc>
          <w:tcPr>
            <w:tcW w:w="200" w:type="dxa"/>
            <w:vAlign w:val="bottom"/>
            <w:shd w:val="clear" w:color="auto" w:fill="351B3D"/>
          </w:tcPr>
          <w:p>
            <w:pPr>
              <w:spacing w:after="0"/>
              <w:rPr>
                <w:sz w:val="16"/>
                <w:szCs w:val="16"/>
                <w:color w:val="auto"/>
              </w:rPr>
            </w:pPr>
          </w:p>
        </w:tc>
        <w:tc>
          <w:tcPr>
            <w:tcW w:w="1080" w:type="dxa"/>
            <w:vAlign w:val="bottom"/>
            <w:shd w:val="clear" w:color="auto" w:fill="351B3D"/>
          </w:tcPr>
          <w:p>
            <w:pPr>
              <w:spacing w:after="0"/>
              <w:rPr>
                <w:sz w:val="16"/>
                <w:szCs w:val="16"/>
                <w:color w:val="auto"/>
              </w:rPr>
            </w:pPr>
          </w:p>
        </w:tc>
        <w:tc>
          <w:tcPr>
            <w:tcW w:w="1140" w:type="dxa"/>
            <w:vAlign w:val="bottom"/>
            <w:shd w:val="clear" w:color="auto" w:fill="351B3D"/>
          </w:tcPr>
          <w:p>
            <w:pPr>
              <w:jc w:val="center"/>
              <w:ind w:left="120"/>
              <w:spacing w:after="0"/>
              <w:rPr>
                <w:sz w:val="20"/>
                <w:szCs w:val="20"/>
                <w:color w:val="auto"/>
              </w:rPr>
            </w:pPr>
            <w:r>
              <w:rPr>
                <w:rFonts w:ascii="Arial" w:cs="Arial" w:eastAsia="Arial" w:hAnsi="Arial"/>
                <w:sz w:val="16"/>
                <w:szCs w:val="16"/>
                <w:color w:val="FFFFFF"/>
              </w:rPr>
              <w:t>% OF</w:t>
            </w:r>
          </w:p>
        </w:tc>
        <w:tc>
          <w:tcPr>
            <w:tcW w:w="100" w:type="dxa"/>
            <w:vAlign w:val="bottom"/>
            <w:shd w:val="clear" w:color="auto" w:fill="351B3D"/>
          </w:tcPr>
          <w:p>
            <w:pPr>
              <w:spacing w:after="0"/>
              <w:rPr>
                <w:sz w:val="16"/>
                <w:szCs w:val="16"/>
                <w:color w:val="auto"/>
              </w:rPr>
            </w:pPr>
          </w:p>
        </w:tc>
        <w:tc>
          <w:tcPr>
            <w:tcW w:w="1460" w:type="dxa"/>
            <w:vAlign w:val="bottom"/>
            <w:shd w:val="clear" w:color="auto" w:fill="351B3D"/>
          </w:tcPr>
          <w:p>
            <w:pPr>
              <w:jc w:val="center"/>
              <w:ind w:right="120"/>
              <w:spacing w:after="0"/>
              <w:rPr>
                <w:sz w:val="20"/>
                <w:szCs w:val="20"/>
                <w:color w:val="auto"/>
              </w:rPr>
            </w:pPr>
            <w:r>
              <w:rPr>
                <w:rFonts w:ascii="Arial" w:cs="Arial" w:eastAsia="Arial" w:hAnsi="Arial"/>
                <w:sz w:val="16"/>
                <w:szCs w:val="16"/>
                <w:color w:val="FFFFFF"/>
                <w:w w:val="98"/>
              </w:rPr>
              <w:t>FAIR VALUE OF</w:t>
            </w:r>
          </w:p>
        </w:tc>
      </w:tr>
      <w:tr>
        <w:trPr>
          <w:trHeight w:val="187"/>
        </w:trPr>
        <w:tc>
          <w:tcPr>
            <w:tcW w:w="2560" w:type="dxa"/>
            <w:vAlign w:val="bottom"/>
            <w:shd w:val="clear" w:color="auto" w:fill="351B3D"/>
          </w:tcPr>
          <w:p>
            <w:pPr>
              <w:spacing w:after="0"/>
              <w:rPr>
                <w:sz w:val="16"/>
                <w:szCs w:val="16"/>
                <w:color w:val="auto"/>
              </w:rPr>
            </w:pPr>
          </w:p>
        </w:tc>
        <w:tc>
          <w:tcPr>
            <w:tcW w:w="760" w:type="dxa"/>
            <w:vAlign w:val="bottom"/>
            <w:shd w:val="clear" w:color="auto" w:fill="351B3D"/>
          </w:tcPr>
          <w:p>
            <w:pPr>
              <w:jc w:val="center"/>
              <w:ind w:left="100"/>
              <w:spacing w:after="0"/>
              <w:rPr>
                <w:sz w:val="20"/>
                <w:szCs w:val="20"/>
                <w:color w:val="auto"/>
              </w:rPr>
            </w:pPr>
            <w:r>
              <w:rPr>
                <w:rFonts w:ascii="Arial" w:cs="Arial" w:eastAsia="Arial" w:hAnsi="Arial"/>
                <w:sz w:val="16"/>
                <w:szCs w:val="16"/>
                <w:color w:val="FFFFFF"/>
                <w:w w:val="95"/>
              </w:rPr>
              <w:t># OF</w:t>
            </w:r>
          </w:p>
        </w:tc>
        <w:tc>
          <w:tcPr>
            <w:tcW w:w="180" w:type="dxa"/>
            <w:vAlign w:val="bottom"/>
            <w:shd w:val="clear" w:color="auto" w:fill="351B3D"/>
          </w:tcPr>
          <w:p>
            <w:pPr>
              <w:spacing w:after="0"/>
              <w:rPr>
                <w:sz w:val="16"/>
                <w:szCs w:val="16"/>
                <w:color w:val="auto"/>
              </w:rPr>
            </w:pPr>
          </w:p>
        </w:tc>
        <w:tc>
          <w:tcPr>
            <w:tcW w:w="940" w:type="dxa"/>
            <w:vAlign w:val="bottom"/>
            <w:shd w:val="clear" w:color="auto" w:fill="351B3D"/>
          </w:tcPr>
          <w:p>
            <w:pPr>
              <w:jc w:val="center"/>
              <w:ind w:left="80"/>
              <w:spacing w:after="0"/>
              <w:rPr>
                <w:sz w:val="20"/>
                <w:szCs w:val="20"/>
                <w:color w:val="auto"/>
              </w:rPr>
            </w:pPr>
            <w:r>
              <w:rPr>
                <w:rFonts w:ascii="Arial" w:cs="Arial" w:eastAsia="Arial" w:hAnsi="Arial"/>
                <w:sz w:val="16"/>
                <w:szCs w:val="16"/>
                <w:color w:val="FFFFFF"/>
              </w:rPr>
              <w:t>ANNUAL</w:t>
            </w:r>
          </w:p>
        </w:tc>
        <w:tc>
          <w:tcPr>
            <w:tcW w:w="260" w:type="dxa"/>
            <w:vAlign w:val="bottom"/>
            <w:shd w:val="clear" w:color="auto" w:fill="351B3D"/>
          </w:tcPr>
          <w:p>
            <w:pPr>
              <w:spacing w:after="0"/>
              <w:rPr>
                <w:sz w:val="16"/>
                <w:szCs w:val="16"/>
                <w:color w:val="auto"/>
              </w:rPr>
            </w:pPr>
          </w:p>
        </w:tc>
        <w:tc>
          <w:tcPr>
            <w:tcW w:w="1100" w:type="dxa"/>
            <w:vAlign w:val="bottom"/>
            <w:shd w:val="clear" w:color="auto" w:fill="351B3D"/>
          </w:tcPr>
          <w:p>
            <w:pPr>
              <w:ind w:left="380"/>
              <w:spacing w:after="0"/>
              <w:rPr>
                <w:sz w:val="20"/>
                <w:szCs w:val="20"/>
                <w:color w:val="auto"/>
              </w:rPr>
            </w:pPr>
            <w:r>
              <w:rPr>
                <w:rFonts w:ascii="Arial" w:cs="Arial" w:eastAsia="Arial" w:hAnsi="Arial"/>
                <w:sz w:val="16"/>
                <w:szCs w:val="16"/>
                <w:color w:val="FFFFFF"/>
              </w:rPr>
              <w:t># OF</w:t>
            </w:r>
          </w:p>
        </w:tc>
        <w:tc>
          <w:tcPr>
            <w:tcW w:w="1140" w:type="dxa"/>
            <w:vAlign w:val="bottom"/>
            <w:gridSpan w:val="2"/>
            <w:shd w:val="clear" w:color="auto" w:fill="351B3D"/>
          </w:tcPr>
          <w:p>
            <w:pPr>
              <w:jc w:val="center"/>
              <w:ind w:left="120"/>
              <w:spacing w:after="0"/>
              <w:rPr>
                <w:sz w:val="20"/>
                <w:szCs w:val="20"/>
                <w:color w:val="auto"/>
              </w:rPr>
            </w:pPr>
            <w:r>
              <w:rPr>
                <w:rFonts w:ascii="Arial" w:cs="Arial" w:eastAsia="Arial" w:hAnsi="Arial"/>
                <w:sz w:val="16"/>
                <w:szCs w:val="16"/>
                <w:color w:val="FFFFFF"/>
              </w:rPr>
              <w:t>ANNUAL</w:t>
            </w:r>
          </w:p>
        </w:tc>
        <w:tc>
          <w:tcPr>
            <w:tcW w:w="200" w:type="dxa"/>
            <w:vAlign w:val="bottom"/>
            <w:shd w:val="clear" w:color="auto" w:fill="351B3D"/>
          </w:tcPr>
          <w:p>
            <w:pPr>
              <w:spacing w:after="0"/>
              <w:rPr>
                <w:sz w:val="16"/>
                <w:szCs w:val="16"/>
                <w:color w:val="auto"/>
              </w:rPr>
            </w:pPr>
          </w:p>
        </w:tc>
        <w:tc>
          <w:tcPr>
            <w:tcW w:w="1080" w:type="dxa"/>
            <w:vAlign w:val="bottom"/>
            <w:shd w:val="clear" w:color="auto" w:fill="351B3D"/>
          </w:tcPr>
          <w:p>
            <w:pPr>
              <w:jc w:val="right"/>
              <w:ind w:right="280"/>
              <w:spacing w:after="0"/>
              <w:rPr>
                <w:sz w:val="20"/>
                <w:szCs w:val="20"/>
                <w:color w:val="auto"/>
              </w:rPr>
            </w:pPr>
            <w:r>
              <w:rPr>
                <w:rFonts w:ascii="Arial" w:cs="Arial" w:eastAsia="Arial" w:hAnsi="Arial"/>
                <w:sz w:val="16"/>
                <w:szCs w:val="16"/>
                <w:color w:val="FFFFFF"/>
              </w:rPr>
              <w:t># OF</w:t>
            </w:r>
          </w:p>
        </w:tc>
        <w:tc>
          <w:tcPr>
            <w:tcW w:w="1140" w:type="dxa"/>
            <w:vAlign w:val="bottom"/>
            <w:shd w:val="clear" w:color="auto" w:fill="351B3D"/>
          </w:tcPr>
          <w:p>
            <w:pPr>
              <w:jc w:val="center"/>
              <w:ind w:left="120"/>
              <w:spacing w:after="0"/>
              <w:rPr>
                <w:sz w:val="20"/>
                <w:szCs w:val="20"/>
                <w:color w:val="auto"/>
              </w:rPr>
            </w:pPr>
            <w:r>
              <w:rPr>
                <w:rFonts w:ascii="Arial" w:cs="Arial" w:eastAsia="Arial" w:hAnsi="Arial"/>
                <w:sz w:val="16"/>
                <w:szCs w:val="16"/>
                <w:color w:val="FFFFFF"/>
              </w:rPr>
              <w:t>ANNUAL</w:t>
            </w:r>
          </w:p>
        </w:tc>
        <w:tc>
          <w:tcPr>
            <w:tcW w:w="100" w:type="dxa"/>
            <w:vAlign w:val="bottom"/>
            <w:shd w:val="clear" w:color="auto" w:fill="351B3D"/>
          </w:tcPr>
          <w:p>
            <w:pPr>
              <w:spacing w:after="0"/>
              <w:rPr>
                <w:sz w:val="16"/>
                <w:szCs w:val="16"/>
                <w:color w:val="auto"/>
              </w:rPr>
            </w:pPr>
          </w:p>
        </w:tc>
        <w:tc>
          <w:tcPr>
            <w:tcW w:w="1460" w:type="dxa"/>
            <w:vAlign w:val="bottom"/>
            <w:shd w:val="clear" w:color="auto" w:fill="351B3D"/>
          </w:tcPr>
          <w:p>
            <w:pPr>
              <w:jc w:val="center"/>
              <w:ind w:right="100"/>
              <w:spacing w:after="0"/>
              <w:rPr>
                <w:sz w:val="20"/>
                <w:szCs w:val="20"/>
                <w:color w:val="auto"/>
              </w:rPr>
            </w:pPr>
            <w:r>
              <w:rPr>
                <w:rFonts w:ascii="Arial" w:cs="Arial" w:eastAsia="Arial" w:hAnsi="Arial"/>
                <w:sz w:val="16"/>
                <w:szCs w:val="16"/>
                <w:color w:val="FFFFFF"/>
                <w:w w:val="96"/>
              </w:rPr>
              <w:t>AWARDS</w:t>
            </w:r>
          </w:p>
        </w:tc>
      </w:tr>
      <w:tr>
        <w:trPr>
          <w:trHeight w:val="248"/>
        </w:trPr>
        <w:tc>
          <w:tcPr>
            <w:tcW w:w="2560" w:type="dxa"/>
            <w:vAlign w:val="bottom"/>
            <w:tcBorders>
              <w:bottom w:val="single" w:sz="8" w:color="351B3D"/>
            </w:tcBorders>
            <w:shd w:val="clear" w:color="auto" w:fill="351B3D"/>
          </w:tcPr>
          <w:p>
            <w:pPr>
              <w:ind w:left="80"/>
              <w:spacing w:after="0"/>
              <w:rPr>
                <w:sz w:val="20"/>
                <w:szCs w:val="20"/>
                <w:color w:val="auto"/>
              </w:rPr>
            </w:pPr>
            <w:r>
              <w:rPr>
                <w:rFonts w:ascii="Arial" w:cs="Arial" w:eastAsia="Arial" w:hAnsi="Arial"/>
                <w:sz w:val="16"/>
                <w:szCs w:val="16"/>
                <w:color w:val="FFFFFF"/>
              </w:rPr>
              <w:t>NAMED EXECUTIVE OFFICER</w:t>
            </w:r>
          </w:p>
        </w:tc>
        <w:tc>
          <w:tcPr>
            <w:tcW w:w="940" w:type="dxa"/>
            <w:vAlign w:val="bottom"/>
            <w:tcBorders>
              <w:bottom w:val="single" w:sz="8" w:color="351B3D"/>
            </w:tcBorders>
            <w:gridSpan w:val="2"/>
            <w:shd w:val="clear" w:color="auto" w:fill="351B3D"/>
          </w:tcPr>
          <w:p>
            <w:pPr>
              <w:jc w:val="center"/>
              <w:spacing w:after="0"/>
              <w:rPr>
                <w:sz w:val="20"/>
                <w:szCs w:val="20"/>
                <w:color w:val="auto"/>
              </w:rPr>
            </w:pPr>
            <w:r>
              <w:rPr>
                <w:rFonts w:ascii="Arial" w:cs="Arial" w:eastAsia="Arial" w:hAnsi="Arial"/>
                <w:sz w:val="16"/>
                <w:szCs w:val="16"/>
                <w:color w:val="FFFFFF"/>
                <w:w w:val="90"/>
              </w:rPr>
              <w:t>  SHARES </w:t>
            </w:r>
          </w:p>
        </w:tc>
        <w:tc>
          <w:tcPr>
            <w:tcW w:w="1200" w:type="dxa"/>
            <w:vAlign w:val="bottom"/>
            <w:tcBorders>
              <w:bottom w:val="single" w:sz="8" w:color="351B3D"/>
            </w:tcBorders>
            <w:gridSpan w:val="2"/>
            <w:shd w:val="clear" w:color="auto" w:fill="351B3D"/>
          </w:tcPr>
          <w:p>
            <w:pPr>
              <w:jc w:val="center"/>
              <w:ind w:right="40"/>
              <w:spacing w:after="0"/>
              <w:rPr>
                <w:sz w:val="20"/>
                <w:szCs w:val="20"/>
                <w:color w:val="auto"/>
              </w:rPr>
            </w:pPr>
            <w:r>
              <w:rPr>
                <w:rFonts w:ascii="Arial" w:cs="Arial" w:eastAsia="Arial" w:hAnsi="Arial"/>
                <w:sz w:val="16"/>
                <w:szCs w:val="16"/>
                <w:color w:val="FFFFFF"/>
                <w:w w:val="99"/>
              </w:rPr>
              <w:t xml:space="preserve">  EQUITY (4) </w:t>
            </w:r>
          </w:p>
        </w:tc>
        <w:tc>
          <w:tcPr>
            <w:tcW w:w="1100" w:type="dxa"/>
            <w:vAlign w:val="bottom"/>
            <w:tcBorders>
              <w:bottom w:val="single" w:sz="8" w:color="351B3D"/>
            </w:tcBorders>
            <w:shd w:val="clear" w:color="auto" w:fill="351B3D"/>
          </w:tcPr>
          <w:p>
            <w:pPr>
              <w:jc w:val="right"/>
              <w:ind w:right="80"/>
              <w:spacing w:after="0"/>
              <w:rPr>
                <w:sz w:val="20"/>
                <w:szCs w:val="20"/>
                <w:color w:val="auto"/>
              </w:rPr>
            </w:pPr>
            <w:r>
              <w:rPr>
                <w:rFonts w:ascii="Arial" w:cs="Arial" w:eastAsia="Arial" w:hAnsi="Arial"/>
                <w:sz w:val="16"/>
                <w:szCs w:val="16"/>
                <w:color w:val="FFFFFF"/>
              </w:rPr>
              <w:t>  SHARES </w:t>
            </w:r>
          </w:p>
        </w:tc>
        <w:tc>
          <w:tcPr>
            <w:tcW w:w="1140" w:type="dxa"/>
            <w:vAlign w:val="bottom"/>
            <w:tcBorders>
              <w:bottom w:val="single" w:sz="8" w:color="351B3D"/>
            </w:tcBorders>
            <w:gridSpan w:val="2"/>
            <w:shd w:val="clear" w:color="auto" w:fill="351B3D"/>
          </w:tcPr>
          <w:p>
            <w:pPr>
              <w:jc w:val="center"/>
              <w:ind w:left="100"/>
              <w:spacing w:after="0"/>
              <w:rPr>
                <w:sz w:val="20"/>
                <w:szCs w:val="20"/>
                <w:color w:val="auto"/>
              </w:rPr>
            </w:pPr>
            <w:r>
              <w:rPr>
                <w:rFonts w:ascii="Arial" w:cs="Arial" w:eastAsia="Arial" w:hAnsi="Arial"/>
                <w:sz w:val="16"/>
                <w:szCs w:val="16"/>
                <w:color w:val="FFFFFF"/>
                <w:w w:val="99"/>
              </w:rPr>
              <w:t xml:space="preserve">  EQUITY (4) </w:t>
            </w:r>
          </w:p>
        </w:tc>
        <w:tc>
          <w:tcPr>
            <w:tcW w:w="200" w:type="dxa"/>
            <w:vAlign w:val="bottom"/>
            <w:tcBorders>
              <w:bottom w:val="single" w:sz="8" w:color="351B3D"/>
            </w:tcBorders>
            <w:shd w:val="clear" w:color="auto" w:fill="351B3D"/>
          </w:tcPr>
          <w:p>
            <w:pPr>
              <w:spacing w:after="0"/>
              <w:rPr>
                <w:sz w:val="21"/>
                <w:szCs w:val="21"/>
                <w:color w:val="auto"/>
              </w:rPr>
            </w:pPr>
          </w:p>
        </w:tc>
        <w:tc>
          <w:tcPr>
            <w:tcW w:w="1080" w:type="dxa"/>
            <w:vAlign w:val="bottom"/>
            <w:tcBorders>
              <w:bottom w:val="single" w:sz="8" w:color="351B3D"/>
            </w:tcBorders>
            <w:shd w:val="clear" w:color="auto" w:fill="351B3D"/>
          </w:tcPr>
          <w:p>
            <w:pPr>
              <w:jc w:val="right"/>
              <w:ind w:right="80"/>
              <w:spacing w:after="0"/>
              <w:rPr>
                <w:sz w:val="20"/>
                <w:szCs w:val="20"/>
                <w:color w:val="auto"/>
              </w:rPr>
            </w:pPr>
            <w:r>
              <w:rPr>
                <w:rFonts w:ascii="Arial" w:cs="Arial" w:eastAsia="Arial" w:hAnsi="Arial"/>
                <w:sz w:val="16"/>
                <w:szCs w:val="16"/>
                <w:color w:val="FFFFFF"/>
              </w:rPr>
              <w:t>  SHARES </w:t>
            </w:r>
          </w:p>
        </w:tc>
        <w:tc>
          <w:tcPr>
            <w:tcW w:w="1140" w:type="dxa"/>
            <w:vAlign w:val="bottom"/>
            <w:tcBorders>
              <w:bottom w:val="single" w:sz="8" w:color="351B3D"/>
            </w:tcBorders>
            <w:shd w:val="clear" w:color="auto" w:fill="351B3D"/>
          </w:tcPr>
          <w:p>
            <w:pPr>
              <w:jc w:val="center"/>
              <w:ind w:left="100"/>
              <w:spacing w:after="0"/>
              <w:rPr>
                <w:sz w:val="20"/>
                <w:szCs w:val="20"/>
                <w:color w:val="auto"/>
              </w:rPr>
            </w:pPr>
            <w:r>
              <w:rPr>
                <w:rFonts w:ascii="Arial" w:cs="Arial" w:eastAsia="Arial" w:hAnsi="Arial"/>
                <w:sz w:val="16"/>
                <w:szCs w:val="16"/>
                <w:color w:val="FFFFFF"/>
                <w:w w:val="99"/>
              </w:rPr>
              <w:t xml:space="preserve">  EQUITY (4) </w:t>
            </w:r>
          </w:p>
        </w:tc>
        <w:tc>
          <w:tcPr>
            <w:tcW w:w="100" w:type="dxa"/>
            <w:vAlign w:val="bottom"/>
            <w:tcBorders>
              <w:bottom w:val="single" w:sz="8" w:color="351B3D"/>
            </w:tcBorders>
            <w:shd w:val="clear" w:color="auto" w:fill="351B3D"/>
          </w:tcPr>
          <w:p>
            <w:pPr>
              <w:spacing w:after="0"/>
              <w:rPr>
                <w:sz w:val="21"/>
                <w:szCs w:val="21"/>
                <w:color w:val="auto"/>
              </w:rPr>
            </w:pPr>
          </w:p>
        </w:tc>
        <w:tc>
          <w:tcPr>
            <w:tcW w:w="1460" w:type="dxa"/>
            <w:vAlign w:val="bottom"/>
            <w:tcBorders>
              <w:bottom w:val="single" w:sz="8" w:color="351B3D"/>
            </w:tcBorders>
            <w:shd w:val="clear" w:color="auto" w:fill="351B3D"/>
          </w:tcPr>
          <w:p>
            <w:pPr>
              <w:ind w:left="420"/>
              <w:spacing w:after="0"/>
              <w:rPr>
                <w:sz w:val="20"/>
                <w:szCs w:val="20"/>
                <w:color w:val="auto"/>
              </w:rPr>
            </w:pPr>
            <w:r>
              <w:rPr>
                <w:rFonts w:ascii="Arial" w:cs="Arial" w:eastAsia="Arial" w:hAnsi="Arial"/>
                <w:sz w:val="16"/>
                <w:szCs w:val="16"/>
                <w:color w:val="FFFFFF"/>
              </w:rPr>
              <w:t>($) (5)</w:t>
            </w:r>
          </w:p>
        </w:tc>
      </w:tr>
      <w:tr>
        <w:trPr>
          <w:trHeight w:val="237"/>
        </w:trPr>
        <w:tc>
          <w:tcPr>
            <w:tcW w:w="2560" w:type="dxa"/>
            <w:vAlign w:val="bottom"/>
            <w:shd w:val="clear" w:color="auto" w:fill="D6D1D8"/>
          </w:tcPr>
          <w:p>
            <w:pPr>
              <w:ind w:left="80"/>
              <w:spacing w:after="0"/>
              <w:rPr>
                <w:sz w:val="20"/>
                <w:szCs w:val="20"/>
                <w:color w:val="auto"/>
              </w:rPr>
            </w:pPr>
            <w:r>
              <w:rPr>
                <w:rFonts w:ascii="Arial" w:cs="Arial" w:eastAsia="Arial" w:hAnsi="Arial"/>
                <w:sz w:val="16"/>
                <w:szCs w:val="16"/>
                <w:color w:val="auto"/>
              </w:rPr>
              <w:t>Craig S. Billings</w:t>
            </w:r>
          </w:p>
        </w:tc>
        <w:tc>
          <w:tcPr>
            <w:tcW w:w="760" w:type="dxa"/>
            <w:vAlign w:val="bottom"/>
            <w:shd w:val="clear" w:color="auto" w:fill="D6D1D8"/>
          </w:tcPr>
          <w:p>
            <w:pPr>
              <w:jc w:val="right"/>
              <w:spacing w:after="0"/>
              <w:rPr>
                <w:sz w:val="20"/>
                <w:szCs w:val="20"/>
                <w:color w:val="auto"/>
              </w:rPr>
            </w:pPr>
            <w:r>
              <w:rPr>
                <w:rFonts w:ascii="Arial" w:cs="Arial" w:eastAsia="Arial" w:hAnsi="Arial"/>
                <w:sz w:val="16"/>
                <w:szCs w:val="16"/>
                <w:color w:val="auto"/>
              </w:rPr>
              <w:t>25,825 </w:t>
            </w:r>
          </w:p>
        </w:tc>
        <w:tc>
          <w:tcPr>
            <w:tcW w:w="180" w:type="dxa"/>
            <w:vAlign w:val="bottom"/>
            <w:shd w:val="clear" w:color="auto" w:fill="D6D1D8"/>
          </w:tcPr>
          <w:p>
            <w:pPr>
              <w:ind w:left="60"/>
              <w:spacing w:after="0"/>
              <w:rPr>
                <w:sz w:val="20"/>
                <w:szCs w:val="20"/>
                <w:color w:val="auto"/>
              </w:rPr>
            </w:pPr>
            <w:r>
              <w:rPr>
                <w:rFonts w:ascii="Arial" w:cs="Arial" w:eastAsia="Arial" w:hAnsi="Arial"/>
                <w:sz w:val="16"/>
                <w:szCs w:val="16"/>
                <w:color w:val="auto"/>
              </w:rPr>
              <w:t>  </w:t>
            </w:r>
          </w:p>
        </w:tc>
        <w:tc>
          <w:tcPr>
            <w:tcW w:w="940" w:type="dxa"/>
            <w:vAlign w:val="bottom"/>
            <w:shd w:val="clear" w:color="auto" w:fill="D6D1D8"/>
          </w:tcPr>
          <w:p>
            <w:pPr>
              <w:jc w:val="right"/>
              <w:spacing w:after="0"/>
              <w:rPr>
                <w:sz w:val="20"/>
                <w:szCs w:val="20"/>
                <w:color w:val="auto"/>
              </w:rPr>
            </w:pPr>
            <w:r>
              <w:rPr>
                <w:rFonts w:ascii="Arial" w:cs="Arial" w:eastAsia="Arial" w:hAnsi="Arial"/>
                <w:sz w:val="16"/>
                <w:szCs w:val="16"/>
                <w:color w:val="auto"/>
              </w:rPr>
              <w:t>   30% </w:t>
            </w:r>
          </w:p>
        </w:tc>
        <w:tc>
          <w:tcPr>
            <w:tcW w:w="260" w:type="dxa"/>
            <w:vAlign w:val="bottom"/>
            <w:shd w:val="clear" w:color="auto" w:fill="D6D1D8"/>
          </w:tcPr>
          <w:p>
            <w:pPr>
              <w:ind w:left="60"/>
              <w:spacing w:after="0"/>
              <w:rPr>
                <w:sz w:val="20"/>
                <w:szCs w:val="20"/>
                <w:color w:val="auto"/>
              </w:rPr>
            </w:pPr>
            <w:r>
              <w:rPr>
                <w:rFonts w:ascii="Arial" w:cs="Arial" w:eastAsia="Arial" w:hAnsi="Arial"/>
                <w:sz w:val="16"/>
                <w:szCs w:val="16"/>
                <w:color w:val="auto"/>
              </w:rPr>
              <w:t>  </w:t>
            </w:r>
          </w:p>
        </w:tc>
        <w:tc>
          <w:tcPr>
            <w:tcW w:w="1100" w:type="dxa"/>
            <w:vAlign w:val="bottom"/>
            <w:shd w:val="clear" w:color="auto" w:fill="D6D1D8"/>
          </w:tcPr>
          <w:p>
            <w:pPr>
              <w:jc w:val="right"/>
              <w:ind w:right="100"/>
              <w:spacing w:after="0"/>
              <w:rPr>
                <w:sz w:val="20"/>
                <w:szCs w:val="20"/>
                <w:color w:val="auto"/>
              </w:rPr>
            </w:pPr>
            <w:r>
              <w:rPr>
                <w:rFonts w:ascii="Arial" w:cs="Arial" w:eastAsia="Arial" w:hAnsi="Arial"/>
                <w:sz w:val="16"/>
                <w:szCs w:val="16"/>
                <w:color w:val="auto"/>
              </w:rPr>
              <w:t>21,521   </w:t>
            </w:r>
          </w:p>
        </w:tc>
        <w:tc>
          <w:tcPr>
            <w:tcW w:w="1140" w:type="dxa"/>
            <w:vAlign w:val="bottom"/>
            <w:gridSpan w:val="2"/>
            <w:shd w:val="clear" w:color="auto" w:fill="D6D1D8"/>
          </w:tcPr>
          <w:p>
            <w:pPr>
              <w:jc w:val="center"/>
              <w:ind w:left="500"/>
              <w:spacing w:after="0"/>
              <w:rPr>
                <w:sz w:val="20"/>
                <w:szCs w:val="20"/>
                <w:color w:val="auto"/>
              </w:rPr>
            </w:pPr>
            <w:r>
              <w:rPr>
                <w:rFonts w:ascii="Arial" w:cs="Arial" w:eastAsia="Arial" w:hAnsi="Arial"/>
                <w:sz w:val="16"/>
                <w:szCs w:val="16"/>
                <w:color w:val="auto"/>
                <w:w w:val="74"/>
              </w:rPr>
              <w:t>25% </w:t>
            </w:r>
          </w:p>
        </w:tc>
        <w:tc>
          <w:tcPr>
            <w:tcW w:w="200" w:type="dxa"/>
            <w:vAlign w:val="bottom"/>
            <w:shd w:val="clear" w:color="auto" w:fill="D6D1D8"/>
          </w:tcPr>
          <w:p>
            <w:pPr>
              <w:ind w:left="20"/>
              <w:spacing w:after="0"/>
              <w:rPr>
                <w:sz w:val="20"/>
                <w:szCs w:val="20"/>
                <w:color w:val="auto"/>
              </w:rPr>
            </w:pPr>
            <w:r>
              <w:rPr>
                <w:rFonts w:ascii="Arial" w:cs="Arial" w:eastAsia="Arial" w:hAnsi="Arial"/>
                <w:sz w:val="16"/>
                <w:szCs w:val="16"/>
                <w:color w:val="auto"/>
              </w:rPr>
              <w:t> </w:t>
            </w:r>
          </w:p>
        </w:tc>
        <w:tc>
          <w:tcPr>
            <w:tcW w:w="1080" w:type="dxa"/>
            <w:vAlign w:val="bottom"/>
            <w:shd w:val="clear" w:color="auto" w:fill="D6D1D8"/>
          </w:tcPr>
          <w:p>
            <w:pPr>
              <w:jc w:val="right"/>
              <w:ind w:right="100"/>
              <w:spacing w:after="0"/>
              <w:rPr>
                <w:sz w:val="20"/>
                <w:szCs w:val="20"/>
                <w:color w:val="auto"/>
              </w:rPr>
            </w:pPr>
            <w:r>
              <w:rPr>
                <w:rFonts w:ascii="Arial" w:cs="Arial" w:eastAsia="Arial" w:hAnsi="Arial"/>
                <w:sz w:val="16"/>
                <w:szCs w:val="16"/>
                <w:color w:val="auto"/>
              </w:rPr>
              <w:t>38,737   </w:t>
            </w:r>
          </w:p>
        </w:tc>
        <w:tc>
          <w:tcPr>
            <w:tcW w:w="1140" w:type="dxa"/>
            <w:vAlign w:val="bottom"/>
            <w:shd w:val="clear" w:color="auto" w:fill="D6D1D8"/>
          </w:tcPr>
          <w:p>
            <w:pPr>
              <w:jc w:val="right"/>
              <w:ind w:right="20"/>
              <w:spacing w:after="0"/>
              <w:rPr>
                <w:sz w:val="20"/>
                <w:szCs w:val="20"/>
                <w:color w:val="auto"/>
              </w:rPr>
            </w:pPr>
            <w:r>
              <w:rPr>
                <w:rFonts w:ascii="Arial" w:cs="Arial" w:eastAsia="Arial" w:hAnsi="Arial"/>
                <w:sz w:val="16"/>
                <w:szCs w:val="16"/>
                <w:color w:val="auto"/>
              </w:rPr>
              <w:t>45% </w:t>
            </w:r>
          </w:p>
        </w:tc>
        <w:tc>
          <w:tcPr>
            <w:tcW w:w="100" w:type="dxa"/>
            <w:vAlign w:val="bottom"/>
            <w:shd w:val="clear" w:color="auto" w:fill="D6D1D8"/>
          </w:tcPr>
          <w:p>
            <w:pPr>
              <w:ind w:left="20"/>
              <w:spacing w:after="0"/>
              <w:rPr>
                <w:sz w:val="20"/>
                <w:szCs w:val="20"/>
                <w:color w:val="auto"/>
              </w:rPr>
            </w:pPr>
            <w:r>
              <w:rPr>
                <w:rFonts w:ascii="Arial" w:cs="Arial" w:eastAsia="Arial" w:hAnsi="Arial"/>
                <w:sz w:val="16"/>
                <w:szCs w:val="16"/>
                <w:color w:val="auto"/>
              </w:rPr>
              <w:t> </w:t>
            </w:r>
          </w:p>
        </w:tc>
        <w:tc>
          <w:tcPr>
            <w:tcW w:w="1460" w:type="dxa"/>
            <w:vAlign w:val="bottom"/>
            <w:shd w:val="clear" w:color="auto" w:fill="D6D1D8"/>
          </w:tcPr>
          <w:p>
            <w:pPr>
              <w:ind w:left="420"/>
              <w:spacing w:after="0"/>
              <w:rPr>
                <w:sz w:val="20"/>
                <w:szCs w:val="20"/>
                <w:color w:val="auto"/>
              </w:rPr>
            </w:pPr>
            <w:r>
              <w:rPr>
                <w:rFonts w:ascii="Arial" w:cs="Arial" w:eastAsia="Arial" w:hAnsi="Arial"/>
                <w:sz w:val="16"/>
                <w:szCs w:val="16"/>
                <w:color w:val="auto"/>
              </w:rPr>
              <w:t>$8,526,095</w:t>
            </w:r>
          </w:p>
        </w:tc>
      </w:tr>
      <w:tr>
        <w:trPr>
          <w:trHeight w:val="70"/>
        </w:trPr>
        <w:tc>
          <w:tcPr>
            <w:tcW w:w="2560" w:type="dxa"/>
            <w:vAlign w:val="bottom"/>
            <w:shd w:val="clear" w:color="auto" w:fill="D6D1D8"/>
          </w:tcPr>
          <w:p>
            <w:pPr>
              <w:spacing w:after="0"/>
              <w:rPr>
                <w:sz w:val="6"/>
                <w:szCs w:val="6"/>
                <w:color w:val="auto"/>
              </w:rPr>
            </w:pPr>
          </w:p>
        </w:tc>
        <w:tc>
          <w:tcPr>
            <w:tcW w:w="760" w:type="dxa"/>
            <w:vAlign w:val="bottom"/>
            <w:shd w:val="clear" w:color="auto" w:fill="D6D1D8"/>
          </w:tcPr>
          <w:p>
            <w:pPr>
              <w:spacing w:after="0"/>
              <w:rPr>
                <w:sz w:val="6"/>
                <w:szCs w:val="6"/>
                <w:color w:val="auto"/>
              </w:rPr>
            </w:pPr>
          </w:p>
        </w:tc>
        <w:tc>
          <w:tcPr>
            <w:tcW w:w="180" w:type="dxa"/>
            <w:vAlign w:val="bottom"/>
            <w:shd w:val="clear" w:color="auto" w:fill="D6D1D8"/>
          </w:tcPr>
          <w:p>
            <w:pPr>
              <w:spacing w:after="0"/>
              <w:rPr>
                <w:sz w:val="6"/>
                <w:szCs w:val="6"/>
                <w:color w:val="auto"/>
              </w:rPr>
            </w:pPr>
          </w:p>
        </w:tc>
        <w:tc>
          <w:tcPr>
            <w:tcW w:w="940" w:type="dxa"/>
            <w:vAlign w:val="bottom"/>
            <w:shd w:val="clear" w:color="auto" w:fill="D6D1D8"/>
          </w:tcPr>
          <w:p>
            <w:pPr>
              <w:spacing w:after="0"/>
              <w:rPr>
                <w:sz w:val="6"/>
                <w:szCs w:val="6"/>
                <w:color w:val="auto"/>
              </w:rPr>
            </w:pPr>
          </w:p>
        </w:tc>
        <w:tc>
          <w:tcPr>
            <w:tcW w:w="260" w:type="dxa"/>
            <w:vAlign w:val="bottom"/>
            <w:shd w:val="clear" w:color="auto" w:fill="D6D1D8"/>
          </w:tcPr>
          <w:p>
            <w:pPr>
              <w:spacing w:after="0"/>
              <w:rPr>
                <w:sz w:val="6"/>
                <w:szCs w:val="6"/>
                <w:color w:val="auto"/>
              </w:rPr>
            </w:pPr>
          </w:p>
        </w:tc>
        <w:tc>
          <w:tcPr>
            <w:tcW w:w="1100" w:type="dxa"/>
            <w:vAlign w:val="bottom"/>
            <w:shd w:val="clear" w:color="auto" w:fill="D6D1D8"/>
          </w:tcPr>
          <w:p>
            <w:pPr>
              <w:spacing w:after="0"/>
              <w:rPr>
                <w:sz w:val="6"/>
                <w:szCs w:val="6"/>
                <w:color w:val="auto"/>
              </w:rPr>
            </w:pPr>
          </w:p>
        </w:tc>
        <w:tc>
          <w:tcPr>
            <w:tcW w:w="1140" w:type="dxa"/>
            <w:vAlign w:val="bottom"/>
            <w:gridSpan w:val="2"/>
            <w:shd w:val="clear" w:color="auto" w:fill="D6D1D8"/>
          </w:tcPr>
          <w:p>
            <w:pPr>
              <w:spacing w:after="0"/>
              <w:rPr>
                <w:sz w:val="6"/>
                <w:szCs w:val="6"/>
                <w:color w:val="auto"/>
              </w:rPr>
            </w:pPr>
          </w:p>
        </w:tc>
        <w:tc>
          <w:tcPr>
            <w:tcW w:w="200" w:type="dxa"/>
            <w:vAlign w:val="bottom"/>
            <w:shd w:val="clear" w:color="auto" w:fill="D6D1D8"/>
          </w:tcPr>
          <w:p>
            <w:pPr>
              <w:spacing w:after="0"/>
              <w:rPr>
                <w:sz w:val="6"/>
                <w:szCs w:val="6"/>
                <w:color w:val="auto"/>
              </w:rPr>
            </w:pPr>
          </w:p>
        </w:tc>
        <w:tc>
          <w:tcPr>
            <w:tcW w:w="1080" w:type="dxa"/>
            <w:vAlign w:val="bottom"/>
            <w:shd w:val="clear" w:color="auto" w:fill="D6D1D8"/>
          </w:tcPr>
          <w:p>
            <w:pPr>
              <w:spacing w:after="0"/>
              <w:rPr>
                <w:sz w:val="6"/>
                <w:szCs w:val="6"/>
                <w:color w:val="auto"/>
              </w:rPr>
            </w:pPr>
          </w:p>
        </w:tc>
        <w:tc>
          <w:tcPr>
            <w:tcW w:w="1140" w:type="dxa"/>
            <w:vAlign w:val="bottom"/>
            <w:shd w:val="clear" w:color="auto" w:fill="D6D1D8"/>
          </w:tcPr>
          <w:p>
            <w:pPr>
              <w:spacing w:after="0"/>
              <w:rPr>
                <w:sz w:val="6"/>
                <w:szCs w:val="6"/>
                <w:color w:val="auto"/>
              </w:rPr>
            </w:pPr>
          </w:p>
        </w:tc>
        <w:tc>
          <w:tcPr>
            <w:tcW w:w="100" w:type="dxa"/>
            <w:vAlign w:val="bottom"/>
            <w:shd w:val="clear" w:color="auto" w:fill="D6D1D8"/>
          </w:tcPr>
          <w:p>
            <w:pPr>
              <w:spacing w:after="0"/>
              <w:rPr>
                <w:sz w:val="6"/>
                <w:szCs w:val="6"/>
                <w:color w:val="auto"/>
              </w:rPr>
            </w:pPr>
          </w:p>
        </w:tc>
        <w:tc>
          <w:tcPr>
            <w:tcW w:w="1460" w:type="dxa"/>
            <w:vAlign w:val="bottom"/>
            <w:shd w:val="clear" w:color="auto" w:fill="D6D1D8"/>
          </w:tcPr>
          <w:p>
            <w:pPr>
              <w:spacing w:after="0"/>
              <w:rPr>
                <w:sz w:val="6"/>
                <w:szCs w:val="6"/>
                <w:color w:val="auto"/>
              </w:rPr>
            </w:pPr>
          </w:p>
        </w:tc>
      </w:tr>
      <w:tr>
        <w:trPr>
          <w:trHeight w:val="237"/>
        </w:trPr>
        <w:tc>
          <w:tcPr>
            <w:tcW w:w="2560" w:type="dxa"/>
            <w:vAlign w:val="bottom"/>
          </w:tcPr>
          <w:p>
            <w:pPr>
              <w:ind w:left="80"/>
              <w:spacing w:after="0"/>
              <w:rPr>
                <w:sz w:val="20"/>
                <w:szCs w:val="20"/>
                <w:color w:val="auto"/>
              </w:rPr>
            </w:pPr>
            <w:r>
              <w:rPr>
                <w:rFonts w:ascii="Arial" w:cs="Arial" w:eastAsia="Arial" w:hAnsi="Arial"/>
                <w:sz w:val="16"/>
                <w:szCs w:val="16"/>
                <w:color w:val="auto"/>
              </w:rPr>
              <w:t>Julie M. Cameron-Doe</w:t>
            </w:r>
          </w:p>
        </w:tc>
        <w:tc>
          <w:tcPr>
            <w:tcW w:w="760" w:type="dxa"/>
            <w:vAlign w:val="bottom"/>
          </w:tcPr>
          <w:p>
            <w:pPr>
              <w:jc w:val="right"/>
              <w:spacing w:after="0"/>
              <w:rPr>
                <w:sz w:val="20"/>
                <w:szCs w:val="20"/>
                <w:color w:val="auto"/>
              </w:rPr>
            </w:pPr>
            <w:r>
              <w:rPr>
                <w:rFonts w:ascii="Arial" w:cs="Arial" w:eastAsia="Arial" w:hAnsi="Arial"/>
                <w:sz w:val="16"/>
                <w:szCs w:val="16"/>
                <w:color w:val="auto"/>
              </w:rPr>
              <w:t>5,236 </w:t>
            </w:r>
          </w:p>
        </w:tc>
        <w:tc>
          <w:tcPr>
            <w:tcW w:w="180" w:type="dxa"/>
            <w:vAlign w:val="bottom"/>
          </w:tcPr>
          <w:p>
            <w:pPr>
              <w:ind w:left="60"/>
              <w:spacing w:after="0"/>
              <w:rPr>
                <w:sz w:val="20"/>
                <w:szCs w:val="20"/>
                <w:color w:val="auto"/>
              </w:rPr>
            </w:pPr>
            <w:r>
              <w:rPr>
                <w:rFonts w:ascii="Arial" w:cs="Arial" w:eastAsia="Arial" w:hAnsi="Arial"/>
                <w:sz w:val="16"/>
                <w:szCs w:val="16"/>
                <w:color w:val="auto"/>
              </w:rPr>
              <w:t>  </w:t>
            </w:r>
          </w:p>
        </w:tc>
        <w:tc>
          <w:tcPr>
            <w:tcW w:w="940" w:type="dxa"/>
            <w:vAlign w:val="bottom"/>
          </w:tcPr>
          <w:p>
            <w:pPr>
              <w:jc w:val="right"/>
              <w:spacing w:after="0"/>
              <w:rPr>
                <w:sz w:val="20"/>
                <w:szCs w:val="20"/>
                <w:color w:val="auto"/>
              </w:rPr>
            </w:pPr>
            <w:r>
              <w:rPr>
                <w:rFonts w:ascii="Arial" w:cs="Arial" w:eastAsia="Arial" w:hAnsi="Arial"/>
                <w:sz w:val="16"/>
                <w:szCs w:val="16"/>
                <w:color w:val="auto"/>
              </w:rPr>
              <w:t>30% </w:t>
            </w:r>
          </w:p>
        </w:tc>
        <w:tc>
          <w:tcPr>
            <w:tcW w:w="260" w:type="dxa"/>
            <w:vAlign w:val="bottom"/>
          </w:tcPr>
          <w:p>
            <w:pPr>
              <w:ind w:left="60"/>
              <w:spacing w:after="0"/>
              <w:rPr>
                <w:sz w:val="20"/>
                <w:szCs w:val="20"/>
                <w:color w:val="auto"/>
              </w:rPr>
            </w:pPr>
            <w:r>
              <w:rPr>
                <w:rFonts w:ascii="Arial" w:cs="Arial" w:eastAsia="Arial" w:hAnsi="Arial"/>
                <w:sz w:val="16"/>
                <w:szCs w:val="16"/>
                <w:color w:val="auto"/>
              </w:rPr>
              <w:t>  </w:t>
            </w: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4,364   </w:t>
            </w:r>
          </w:p>
        </w:tc>
        <w:tc>
          <w:tcPr>
            <w:tcW w:w="1140" w:type="dxa"/>
            <w:vAlign w:val="bottom"/>
            <w:gridSpan w:val="2"/>
          </w:tcPr>
          <w:p>
            <w:pPr>
              <w:jc w:val="center"/>
              <w:ind w:left="500"/>
              <w:spacing w:after="0"/>
              <w:rPr>
                <w:sz w:val="20"/>
                <w:szCs w:val="20"/>
                <w:color w:val="auto"/>
              </w:rPr>
            </w:pPr>
            <w:r>
              <w:rPr>
                <w:rFonts w:ascii="Arial" w:cs="Arial" w:eastAsia="Arial" w:hAnsi="Arial"/>
                <w:sz w:val="16"/>
                <w:szCs w:val="16"/>
                <w:color w:val="auto"/>
                <w:w w:val="74"/>
              </w:rPr>
              <w:t>25% </w:t>
            </w:r>
          </w:p>
        </w:tc>
        <w:tc>
          <w:tcPr>
            <w:tcW w:w="200" w:type="dxa"/>
            <w:vAlign w:val="bottom"/>
          </w:tcPr>
          <w:p>
            <w:pPr>
              <w:ind w:left="20"/>
              <w:spacing w:after="0"/>
              <w:rPr>
                <w:sz w:val="20"/>
                <w:szCs w:val="20"/>
                <w:color w:val="auto"/>
              </w:rPr>
            </w:pPr>
            <w:r>
              <w:rPr>
                <w:rFonts w:ascii="Arial" w:cs="Arial" w:eastAsia="Arial" w:hAnsi="Arial"/>
                <w:sz w:val="16"/>
                <w:szCs w:val="16"/>
                <w:color w:val="auto"/>
              </w:rPr>
              <w:t> </w:t>
            </w: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7,854   </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45% </w:t>
            </w:r>
          </w:p>
        </w:tc>
        <w:tc>
          <w:tcPr>
            <w:tcW w:w="100" w:type="dxa"/>
            <w:vAlign w:val="bottom"/>
          </w:tcPr>
          <w:p>
            <w:pPr>
              <w:ind w:left="20"/>
              <w:spacing w:after="0"/>
              <w:rPr>
                <w:sz w:val="20"/>
                <w:szCs w:val="20"/>
                <w:color w:val="auto"/>
              </w:rPr>
            </w:pPr>
            <w:r>
              <w:rPr>
                <w:rFonts w:ascii="Arial" w:cs="Arial" w:eastAsia="Arial" w:hAnsi="Arial"/>
                <w:sz w:val="16"/>
                <w:szCs w:val="16"/>
                <w:color w:val="auto"/>
              </w:rPr>
              <w:t> </w:t>
            </w:r>
          </w:p>
        </w:tc>
        <w:tc>
          <w:tcPr>
            <w:tcW w:w="1460" w:type="dxa"/>
            <w:vAlign w:val="bottom"/>
          </w:tcPr>
          <w:p>
            <w:pPr>
              <w:ind w:left="420"/>
              <w:spacing w:after="0"/>
              <w:rPr>
                <w:sz w:val="20"/>
                <w:szCs w:val="20"/>
                <w:color w:val="auto"/>
              </w:rPr>
            </w:pPr>
            <w:r>
              <w:rPr>
                <w:rFonts w:ascii="Arial" w:cs="Arial" w:eastAsia="Arial" w:hAnsi="Arial"/>
                <w:sz w:val="16"/>
                <w:szCs w:val="16"/>
                <w:color w:val="auto"/>
              </w:rPr>
              <w:t>$1,728,739</w:t>
            </w:r>
          </w:p>
        </w:tc>
      </w:tr>
      <w:tr>
        <w:trPr>
          <w:trHeight w:val="70"/>
        </w:trPr>
        <w:tc>
          <w:tcPr>
            <w:tcW w:w="2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tcPr>
          <w:p>
            <w:pPr>
              <w:spacing w:after="0"/>
              <w:rPr>
                <w:sz w:val="6"/>
                <w:szCs w:val="6"/>
                <w:color w:val="auto"/>
              </w:rPr>
            </w:pPr>
          </w:p>
        </w:tc>
      </w:tr>
      <w:tr>
        <w:trPr>
          <w:trHeight w:val="237"/>
        </w:trPr>
        <w:tc>
          <w:tcPr>
            <w:tcW w:w="2560" w:type="dxa"/>
            <w:vAlign w:val="bottom"/>
            <w:shd w:val="clear" w:color="auto" w:fill="D6D1D8"/>
          </w:tcPr>
          <w:p>
            <w:pPr>
              <w:ind w:left="80"/>
              <w:spacing w:after="0"/>
              <w:rPr>
                <w:sz w:val="20"/>
                <w:szCs w:val="20"/>
                <w:color w:val="auto"/>
              </w:rPr>
            </w:pPr>
            <w:r>
              <w:rPr>
                <w:rFonts w:ascii="Arial" w:cs="Arial" w:eastAsia="Arial" w:hAnsi="Arial"/>
                <w:sz w:val="16"/>
                <w:szCs w:val="16"/>
                <w:color w:val="auto"/>
              </w:rPr>
              <w:t>Jacqui Krum (6)</w:t>
            </w:r>
          </w:p>
        </w:tc>
        <w:tc>
          <w:tcPr>
            <w:tcW w:w="760" w:type="dxa"/>
            <w:vAlign w:val="bottom"/>
            <w:shd w:val="clear" w:color="auto" w:fill="D6D1D8"/>
          </w:tcPr>
          <w:p>
            <w:pPr>
              <w:jc w:val="right"/>
              <w:spacing w:after="0"/>
              <w:rPr>
                <w:sz w:val="20"/>
                <w:szCs w:val="20"/>
                <w:color w:val="auto"/>
              </w:rPr>
            </w:pPr>
            <w:r>
              <w:rPr>
                <w:rFonts w:ascii="Arial" w:cs="Arial" w:eastAsia="Arial" w:hAnsi="Arial"/>
                <w:sz w:val="16"/>
                <w:szCs w:val="16"/>
                <w:color w:val="auto"/>
              </w:rPr>
              <w:t xml:space="preserve">- </w:t>
            </w:r>
          </w:p>
        </w:tc>
        <w:tc>
          <w:tcPr>
            <w:tcW w:w="180" w:type="dxa"/>
            <w:vAlign w:val="bottom"/>
            <w:shd w:val="clear" w:color="auto" w:fill="D6D1D8"/>
          </w:tcPr>
          <w:p>
            <w:pPr>
              <w:ind w:left="60"/>
              <w:spacing w:after="0"/>
              <w:rPr>
                <w:sz w:val="20"/>
                <w:szCs w:val="20"/>
                <w:color w:val="auto"/>
              </w:rPr>
            </w:pPr>
            <w:r>
              <w:rPr>
                <w:rFonts w:ascii="Arial" w:cs="Arial" w:eastAsia="Arial" w:hAnsi="Arial"/>
                <w:sz w:val="16"/>
                <w:szCs w:val="16"/>
                <w:color w:val="auto"/>
              </w:rPr>
              <w:t>  </w:t>
            </w:r>
          </w:p>
        </w:tc>
        <w:tc>
          <w:tcPr>
            <w:tcW w:w="940" w:type="dxa"/>
            <w:vAlign w:val="bottom"/>
            <w:shd w:val="clear" w:color="auto" w:fill="D6D1D8"/>
          </w:tcPr>
          <w:p>
            <w:pPr>
              <w:jc w:val="right"/>
              <w:spacing w:after="0"/>
              <w:rPr>
                <w:sz w:val="20"/>
                <w:szCs w:val="20"/>
                <w:color w:val="auto"/>
              </w:rPr>
            </w:pPr>
            <w:r>
              <w:rPr>
                <w:rFonts w:ascii="Arial" w:cs="Arial" w:eastAsia="Arial" w:hAnsi="Arial"/>
                <w:sz w:val="16"/>
                <w:szCs w:val="16"/>
                <w:color w:val="auto"/>
              </w:rPr>
              <w:t>-    </w:t>
            </w:r>
          </w:p>
        </w:tc>
        <w:tc>
          <w:tcPr>
            <w:tcW w:w="260" w:type="dxa"/>
            <w:vAlign w:val="bottom"/>
            <w:shd w:val="clear" w:color="auto" w:fill="D6D1D8"/>
          </w:tcPr>
          <w:p>
            <w:pPr>
              <w:ind w:left="60"/>
              <w:spacing w:after="0"/>
              <w:rPr>
                <w:sz w:val="20"/>
                <w:szCs w:val="20"/>
                <w:color w:val="auto"/>
              </w:rPr>
            </w:pPr>
            <w:r>
              <w:rPr>
                <w:rFonts w:ascii="Arial" w:cs="Arial" w:eastAsia="Arial" w:hAnsi="Arial"/>
                <w:sz w:val="16"/>
                <w:szCs w:val="16"/>
                <w:color w:val="auto"/>
              </w:rPr>
              <w:t>  </w:t>
            </w:r>
          </w:p>
        </w:tc>
        <w:tc>
          <w:tcPr>
            <w:tcW w:w="1100" w:type="dxa"/>
            <w:vAlign w:val="bottom"/>
            <w:shd w:val="clear" w:color="auto" w:fill="D6D1D8"/>
          </w:tcPr>
          <w:p>
            <w:pPr>
              <w:jc w:val="right"/>
              <w:ind w:right="100"/>
              <w:spacing w:after="0"/>
              <w:rPr>
                <w:sz w:val="20"/>
                <w:szCs w:val="20"/>
                <w:color w:val="auto"/>
              </w:rPr>
            </w:pPr>
            <w:r>
              <w:rPr>
                <w:rFonts w:ascii="Arial" w:cs="Arial" w:eastAsia="Arial" w:hAnsi="Arial"/>
                <w:sz w:val="16"/>
                <w:szCs w:val="16"/>
                <w:color w:val="auto"/>
              </w:rPr>
              <w:t xml:space="preserve">-   </w:t>
            </w:r>
          </w:p>
        </w:tc>
        <w:tc>
          <w:tcPr>
            <w:tcW w:w="800" w:type="dxa"/>
            <w:vAlign w:val="bottom"/>
            <w:shd w:val="clear" w:color="auto" w:fill="D6D1D8"/>
          </w:tcPr>
          <w:p>
            <w:pPr>
              <w:jc w:val="center"/>
              <w:ind w:left="480"/>
              <w:spacing w:after="0"/>
              <w:rPr>
                <w:sz w:val="20"/>
                <w:szCs w:val="20"/>
                <w:color w:val="auto"/>
              </w:rPr>
            </w:pPr>
            <w:r>
              <w:rPr>
                <w:rFonts w:ascii="Arial" w:cs="Arial" w:eastAsia="Arial" w:hAnsi="Arial"/>
                <w:sz w:val="16"/>
                <w:szCs w:val="16"/>
                <w:color w:val="auto"/>
              </w:rPr>
              <w:t xml:space="preserve">- </w:t>
            </w:r>
          </w:p>
        </w:tc>
        <w:tc>
          <w:tcPr>
            <w:tcW w:w="340" w:type="dxa"/>
            <w:vAlign w:val="bottom"/>
            <w:shd w:val="clear" w:color="auto" w:fill="D6D1D8"/>
          </w:tcPr>
          <w:p>
            <w:pPr>
              <w:jc w:val="center"/>
              <w:ind w:right="140"/>
              <w:spacing w:after="0"/>
              <w:rPr>
                <w:sz w:val="20"/>
                <w:szCs w:val="20"/>
                <w:color w:val="auto"/>
              </w:rPr>
            </w:pPr>
            <w:r>
              <w:rPr>
                <w:rFonts w:ascii="Arial" w:cs="Arial" w:eastAsia="Arial" w:hAnsi="Arial"/>
                <w:sz w:val="16"/>
                <w:szCs w:val="16"/>
                <w:color w:val="auto"/>
              </w:rPr>
              <w:t> </w:t>
            </w:r>
          </w:p>
        </w:tc>
        <w:tc>
          <w:tcPr>
            <w:tcW w:w="200" w:type="dxa"/>
            <w:vAlign w:val="bottom"/>
            <w:shd w:val="clear" w:color="auto" w:fill="D6D1D8"/>
          </w:tcPr>
          <w:p>
            <w:pPr>
              <w:spacing w:after="0"/>
              <w:rPr>
                <w:sz w:val="20"/>
                <w:szCs w:val="20"/>
                <w:color w:val="auto"/>
              </w:rPr>
            </w:pPr>
          </w:p>
        </w:tc>
        <w:tc>
          <w:tcPr>
            <w:tcW w:w="1080" w:type="dxa"/>
            <w:vAlign w:val="bottom"/>
            <w:shd w:val="clear" w:color="auto" w:fill="D6D1D8"/>
          </w:tcPr>
          <w:p>
            <w:pPr>
              <w:jc w:val="right"/>
              <w:ind w:right="100"/>
              <w:spacing w:after="0"/>
              <w:rPr>
                <w:sz w:val="20"/>
                <w:szCs w:val="20"/>
                <w:color w:val="auto"/>
              </w:rPr>
            </w:pPr>
            <w:r>
              <w:rPr>
                <w:rFonts w:ascii="Arial" w:cs="Arial" w:eastAsia="Arial" w:hAnsi="Arial"/>
                <w:sz w:val="16"/>
                <w:szCs w:val="16"/>
                <w:color w:val="auto"/>
              </w:rPr>
              <w:t>17,780   </w:t>
            </w:r>
          </w:p>
        </w:tc>
        <w:tc>
          <w:tcPr>
            <w:tcW w:w="1140" w:type="dxa"/>
            <w:vAlign w:val="bottom"/>
            <w:shd w:val="clear" w:color="auto" w:fill="D6D1D8"/>
          </w:tcPr>
          <w:p>
            <w:pPr>
              <w:jc w:val="right"/>
              <w:ind w:right="20"/>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D6D1D8"/>
          </w:tcPr>
          <w:p>
            <w:pPr>
              <w:ind w:left="20"/>
              <w:spacing w:after="0"/>
              <w:rPr>
                <w:sz w:val="20"/>
                <w:szCs w:val="20"/>
                <w:color w:val="auto"/>
              </w:rPr>
            </w:pPr>
            <w:r>
              <w:rPr>
                <w:rFonts w:ascii="Arial" w:cs="Arial" w:eastAsia="Arial" w:hAnsi="Arial"/>
                <w:sz w:val="16"/>
                <w:szCs w:val="16"/>
                <w:color w:val="auto"/>
              </w:rPr>
              <w:t> </w:t>
            </w:r>
          </w:p>
        </w:tc>
        <w:tc>
          <w:tcPr>
            <w:tcW w:w="1460" w:type="dxa"/>
            <w:vAlign w:val="bottom"/>
            <w:shd w:val="clear" w:color="auto" w:fill="D6D1D8"/>
          </w:tcPr>
          <w:p>
            <w:pPr>
              <w:ind w:left="420"/>
              <w:spacing w:after="0"/>
              <w:rPr>
                <w:sz w:val="20"/>
                <w:szCs w:val="20"/>
                <w:color w:val="auto"/>
              </w:rPr>
            </w:pPr>
            <w:r>
              <w:rPr>
                <w:rFonts w:ascii="Arial" w:cs="Arial" w:eastAsia="Arial" w:hAnsi="Arial"/>
                <w:sz w:val="16"/>
                <w:szCs w:val="16"/>
                <w:color w:val="auto"/>
              </w:rPr>
              <w:t>$1,535,358</w:t>
            </w:r>
          </w:p>
        </w:tc>
      </w:tr>
      <w:tr>
        <w:trPr>
          <w:trHeight w:val="70"/>
        </w:trPr>
        <w:tc>
          <w:tcPr>
            <w:tcW w:w="2560" w:type="dxa"/>
            <w:vAlign w:val="bottom"/>
            <w:shd w:val="clear" w:color="auto" w:fill="D6D1D8"/>
          </w:tcPr>
          <w:p>
            <w:pPr>
              <w:spacing w:after="0"/>
              <w:rPr>
                <w:sz w:val="6"/>
                <w:szCs w:val="6"/>
                <w:color w:val="auto"/>
              </w:rPr>
            </w:pPr>
          </w:p>
        </w:tc>
        <w:tc>
          <w:tcPr>
            <w:tcW w:w="760" w:type="dxa"/>
            <w:vAlign w:val="bottom"/>
            <w:shd w:val="clear" w:color="auto" w:fill="D6D1D8"/>
          </w:tcPr>
          <w:p>
            <w:pPr>
              <w:spacing w:after="0"/>
              <w:rPr>
                <w:sz w:val="6"/>
                <w:szCs w:val="6"/>
                <w:color w:val="auto"/>
              </w:rPr>
            </w:pPr>
          </w:p>
        </w:tc>
        <w:tc>
          <w:tcPr>
            <w:tcW w:w="180" w:type="dxa"/>
            <w:vAlign w:val="bottom"/>
            <w:shd w:val="clear" w:color="auto" w:fill="D6D1D8"/>
          </w:tcPr>
          <w:p>
            <w:pPr>
              <w:spacing w:after="0"/>
              <w:rPr>
                <w:sz w:val="6"/>
                <w:szCs w:val="6"/>
                <w:color w:val="auto"/>
              </w:rPr>
            </w:pPr>
          </w:p>
        </w:tc>
        <w:tc>
          <w:tcPr>
            <w:tcW w:w="940" w:type="dxa"/>
            <w:vAlign w:val="bottom"/>
            <w:shd w:val="clear" w:color="auto" w:fill="D6D1D8"/>
          </w:tcPr>
          <w:p>
            <w:pPr>
              <w:spacing w:after="0"/>
              <w:rPr>
                <w:sz w:val="6"/>
                <w:szCs w:val="6"/>
                <w:color w:val="auto"/>
              </w:rPr>
            </w:pPr>
          </w:p>
        </w:tc>
        <w:tc>
          <w:tcPr>
            <w:tcW w:w="260" w:type="dxa"/>
            <w:vAlign w:val="bottom"/>
            <w:shd w:val="clear" w:color="auto" w:fill="D6D1D8"/>
          </w:tcPr>
          <w:p>
            <w:pPr>
              <w:spacing w:after="0"/>
              <w:rPr>
                <w:sz w:val="6"/>
                <w:szCs w:val="6"/>
                <w:color w:val="auto"/>
              </w:rPr>
            </w:pPr>
          </w:p>
        </w:tc>
        <w:tc>
          <w:tcPr>
            <w:tcW w:w="1100" w:type="dxa"/>
            <w:vAlign w:val="bottom"/>
            <w:shd w:val="clear" w:color="auto" w:fill="D6D1D8"/>
          </w:tcPr>
          <w:p>
            <w:pPr>
              <w:spacing w:after="0"/>
              <w:rPr>
                <w:sz w:val="6"/>
                <w:szCs w:val="6"/>
                <w:color w:val="auto"/>
              </w:rPr>
            </w:pPr>
          </w:p>
        </w:tc>
        <w:tc>
          <w:tcPr>
            <w:tcW w:w="800" w:type="dxa"/>
            <w:vAlign w:val="bottom"/>
            <w:shd w:val="clear" w:color="auto" w:fill="D6D1D8"/>
          </w:tcPr>
          <w:p>
            <w:pPr>
              <w:spacing w:after="0"/>
              <w:rPr>
                <w:sz w:val="6"/>
                <w:szCs w:val="6"/>
                <w:color w:val="auto"/>
              </w:rPr>
            </w:pPr>
          </w:p>
        </w:tc>
        <w:tc>
          <w:tcPr>
            <w:tcW w:w="340" w:type="dxa"/>
            <w:vAlign w:val="bottom"/>
            <w:shd w:val="clear" w:color="auto" w:fill="D6D1D8"/>
          </w:tcPr>
          <w:p>
            <w:pPr>
              <w:spacing w:after="0"/>
              <w:rPr>
                <w:sz w:val="6"/>
                <w:szCs w:val="6"/>
                <w:color w:val="auto"/>
              </w:rPr>
            </w:pPr>
          </w:p>
        </w:tc>
        <w:tc>
          <w:tcPr>
            <w:tcW w:w="200" w:type="dxa"/>
            <w:vAlign w:val="bottom"/>
            <w:shd w:val="clear" w:color="auto" w:fill="D6D1D8"/>
          </w:tcPr>
          <w:p>
            <w:pPr>
              <w:spacing w:after="0"/>
              <w:rPr>
                <w:sz w:val="6"/>
                <w:szCs w:val="6"/>
                <w:color w:val="auto"/>
              </w:rPr>
            </w:pPr>
          </w:p>
        </w:tc>
        <w:tc>
          <w:tcPr>
            <w:tcW w:w="1080" w:type="dxa"/>
            <w:vAlign w:val="bottom"/>
            <w:shd w:val="clear" w:color="auto" w:fill="D6D1D8"/>
          </w:tcPr>
          <w:p>
            <w:pPr>
              <w:spacing w:after="0"/>
              <w:rPr>
                <w:sz w:val="6"/>
                <w:szCs w:val="6"/>
                <w:color w:val="auto"/>
              </w:rPr>
            </w:pPr>
          </w:p>
        </w:tc>
        <w:tc>
          <w:tcPr>
            <w:tcW w:w="1140" w:type="dxa"/>
            <w:vAlign w:val="bottom"/>
            <w:shd w:val="clear" w:color="auto" w:fill="D6D1D8"/>
          </w:tcPr>
          <w:p>
            <w:pPr>
              <w:spacing w:after="0"/>
              <w:rPr>
                <w:sz w:val="6"/>
                <w:szCs w:val="6"/>
                <w:color w:val="auto"/>
              </w:rPr>
            </w:pPr>
          </w:p>
        </w:tc>
        <w:tc>
          <w:tcPr>
            <w:tcW w:w="100" w:type="dxa"/>
            <w:vAlign w:val="bottom"/>
            <w:shd w:val="clear" w:color="auto" w:fill="D6D1D8"/>
          </w:tcPr>
          <w:p>
            <w:pPr>
              <w:spacing w:after="0"/>
              <w:rPr>
                <w:sz w:val="6"/>
                <w:szCs w:val="6"/>
                <w:color w:val="auto"/>
              </w:rPr>
            </w:pPr>
          </w:p>
        </w:tc>
        <w:tc>
          <w:tcPr>
            <w:tcW w:w="1460" w:type="dxa"/>
            <w:vAlign w:val="bottom"/>
            <w:shd w:val="clear" w:color="auto" w:fill="D6D1D8"/>
          </w:tcPr>
          <w:p>
            <w:pPr>
              <w:spacing w:after="0"/>
              <w:rPr>
                <w:sz w:val="6"/>
                <w:szCs w:val="6"/>
                <w:color w:val="auto"/>
              </w:rPr>
            </w:pPr>
          </w:p>
        </w:tc>
      </w:tr>
      <w:tr>
        <w:trPr>
          <w:trHeight w:val="237"/>
        </w:trPr>
        <w:tc>
          <w:tcPr>
            <w:tcW w:w="2560" w:type="dxa"/>
            <w:vAlign w:val="bottom"/>
          </w:tcPr>
          <w:p>
            <w:pPr>
              <w:ind w:left="80"/>
              <w:spacing w:after="0"/>
              <w:rPr>
                <w:sz w:val="20"/>
                <w:szCs w:val="20"/>
                <w:color w:val="auto"/>
              </w:rPr>
            </w:pPr>
            <w:r>
              <w:rPr>
                <w:rFonts w:ascii="Arial" w:cs="Arial" w:eastAsia="Arial" w:hAnsi="Arial"/>
                <w:sz w:val="16"/>
                <w:szCs w:val="16"/>
                <w:color w:val="auto"/>
              </w:rPr>
              <w:t>Ellen F. Whittemore</w:t>
            </w:r>
          </w:p>
        </w:tc>
        <w:tc>
          <w:tcPr>
            <w:tcW w:w="760" w:type="dxa"/>
            <w:vAlign w:val="bottom"/>
          </w:tcPr>
          <w:p>
            <w:pPr>
              <w:jc w:val="right"/>
              <w:spacing w:after="0"/>
              <w:rPr>
                <w:sz w:val="20"/>
                <w:szCs w:val="20"/>
                <w:color w:val="auto"/>
              </w:rPr>
            </w:pPr>
            <w:r>
              <w:rPr>
                <w:rFonts w:ascii="Arial" w:cs="Arial" w:eastAsia="Arial" w:hAnsi="Arial"/>
                <w:sz w:val="16"/>
                <w:szCs w:val="16"/>
                <w:color w:val="auto"/>
              </w:rPr>
              <w:t>9,094 </w:t>
            </w:r>
          </w:p>
        </w:tc>
        <w:tc>
          <w:tcPr>
            <w:tcW w:w="180" w:type="dxa"/>
            <w:vAlign w:val="bottom"/>
          </w:tcPr>
          <w:p>
            <w:pPr>
              <w:ind w:left="60"/>
              <w:spacing w:after="0"/>
              <w:rPr>
                <w:sz w:val="20"/>
                <w:szCs w:val="20"/>
                <w:color w:val="auto"/>
              </w:rPr>
            </w:pPr>
            <w:r>
              <w:rPr>
                <w:rFonts w:ascii="Arial" w:cs="Arial" w:eastAsia="Arial" w:hAnsi="Arial"/>
                <w:sz w:val="16"/>
                <w:szCs w:val="16"/>
                <w:color w:val="auto"/>
              </w:rPr>
              <w:t>  </w:t>
            </w:r>
          </w:p>
        </w:tc>
        <w:tc>
          <w:tcPr>
            <w:tcW w:w="940" w:type="dxa"/>
            <w:vAlign w:val="bottom"/>
          </w:tcPr>
          <w:p>
            <w:pPr>
              <w:jc w:val="right"/>
              <w:spacing w:after="0"/>
              <w:rPr>
                <w:sz w:val="20"/>
                <w:szCs w:val="20"/>
                <w:color w:val="auto"/>
              </w:rPr>
            </w:pPr>
            <w:r>
              <w:rPr>
                <w:rFonts w:ascii="Arial" w:cs="Arial" w:eastAsia="Arial" w:hAnsi="Arial"/>
                <w:sz w:val="16"/>
                <w:szCs w:val="16"/>
                <w:color w:val="auto"/>
              </w:rPr>
              <w:t>55% </w:t>
            </w:r>
          </w:p>
        </w:tc>
        <w:tc>
          <w:tcPr>
            <w:tcW w:w="260" w:type="dxa"/>
            <w:vAlign w:val="bottom"/>
          </w:tcPr>
          <w:p>
            <w:pPr>
              <w:ind w:left="60"/>
              <w:spacing w:after="0"/>
              <w:rPr>
                <w:sz w:val="20"/>
                <w:szCs w:val="20"/>
                <w:color w:val="auto"/>
              </w:rPr>
            </w:pPr>
            <w:r>
              <w:rPr>
                <w:rFonts w:ascii="Arial" w:cs="Arial" w:eastAsia="Arial" w:hAnsi="Arial"/>
                <w:sz w:val="16"/>
                <w:szCs w:val="16"/>
                <w:color w:val="auto"/>
              </w:rPr>
              <w:t>  </w:t>
            </w: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 xml:space="preserve">-   </w:t>
            </w:r>
          </w:p>
        </w:tc>
        <w:tc>
          <w:tcPr>
            <w:tcW w:w="800" w:type="dxa"/>
            <w:vAlign w:val="bottom"/>
          </w:tcPr>
          <w:p>
            <w:pPr>
              <w:jc w:val="center"/>
              <w:ind w:left="480"/>
              <w:spacing w:after="0"/>
              <w:rPr>
                <w:sz w:val="20"/>
                <w:szCs w:val="20"/>
                <w:color w:val="auto"/>
              </w:rPr>
            </w:pPr>
            <w:r>
              <w:rPr>
                <w:rFonts w:ascii="Arial" w:cs="Arial" w:eastAsia="Arial" w:hAnsi="Arial"/>
                <w:sz w:val="16"/>
                <w:szCs w:val="16"/>
                <w:color w:val="auto"/>
              </w:rPr>
              <w:t xml:space="preserve">- </w:t>
            </w:r>
          </w:p>
        </w:tc>
        <w:tc>
          <w:tcPr>
            <w:tcW w:w="340" w:type="dxa"/>
            <w:vAlign w:val="bottom"/>
          </w:tcPr>
          <w:p>
            <w:pPr>
              <w:jc w:val="center"/>
              <w:ind w:right="14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20"/>
                <w:szCs w:val="20"/>
                <w:color w:val="auto"/>
              </w:rPr>
            </w:pP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7,441   </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45% </w:t>
            </w:r>
          </w:p>
        </w:tc>
        <w:tc>
          <w:tcPr>
            <w:tcW w:w="100" w:type="dxa"/>
            <w:vAlign w:val="bottom"/>
          </w:tcPr>
          <w:p>
            <w:pPr>
              <w:ind w:left="20"/>
              <w:spacing w:after="0"/>
              <w:rPr>
                <w:sz w:val="20"/>
                <w:szCs w:val="20"/>
                <w:color w:val="auto"/>
              </w:rPr>
            </w:pPr>
            <w:r>
              <w:rPr>
                <w:rFonts w:ascii="Arial" w:cs="Arial" w:eastAsia="Arial" w:hAnsi="Arial"/>
                <w:sz w:val="16"/>
                <w:szCs w:val="16"/>
                <w:color w:val="auto"/>
              </w:rPr>
              <w:t> </w:t>
            </w:r>
          </w:p>
        </w:tc>
        <w:tc>
          <w:tcPr>
            <w:tcW w:w="1460" w:type="dxa"/>
            <w:vAlign w:val="bottom"/>
          </w:tcPr>
          <w:p>
            <w:pPr>
              <w:ind w:left="420"/>
              <w:spacing w:after="0"/>
              <w:rPr>
                <w:sz w:val="20"/>
                <w:szCs w:val="20"/>
                <w:color w:val="auto"/>
              </w:rPr>
            </w:pPr>
            <w:r>
              <w:rPr>
                <w:rFonts w:ascii="Arial" w:cs="Arial" w:eastAsia="Arial" w:hAnsi="Arial"/>
                <w:sz w:val="16"/>
                <w:szCs w:val="16"/>
                <w:color w:val="auto"/>
              </w:rPr>
              <w:t>$1,575,124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-1271270</wp:posOffset>
            </wp:positionV>
            <wp:extent cx="8255" cy="13163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13163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-1271270</wp:posOffset>
            </wp:positionV>
            <wp:extent cx="8255" cy="13163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55" cy="1316355"/>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-1271270</wp:posOffset>
            </wp:positionV>
            <wp:extent cx="8255" cy="13163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1316355"/>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-1271270</wp:posOffset>
            </wp:positionV>
            <wp:extent cx="8255" cy="13163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1316355"/>
                    </a:xfrm>
                    <a:prstGeom prst="rect">
                      <a:avLst/>
                    </a:prstGeom>
                    <a:noFill/>
                  </pic:spPr>
                </pic:pic>
              </a:graphicData>
            </a:graphic>
          </wp:anchor>
        </w:drawing>
        <w:drawing>
          <wp:anchor simplePos="0" relativeHeight="251657728" behindDoc="1" locked="0" layoutInCell="0" allowOverlap="1">
            <wp:simplePos x="0" y="0"/>
            <wp:positionH relativeFrom="column">
              <wp:posOffset>2994025</wp:posOffset>
            </wp:positionH>
            <wp:positionV relativeFrom="paragraph">
              <wp:posOffset>-1704340</wp:posOffset>
            </wp:positionV>
            <wp:extent cx="8255" cy="17494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1749425"/>
                    </a:xfrm>
                    <a:prstGeom prst="rect">
                      <a:avLst/>
                    </a:prstGeom>
                    <a:noFill/>
                  </pic:spPr>
                </pic:pic>
              </a:graphicData>
            </a:graphic>
          </wp:anchor>
        </w:drawing>
      </w:r>
    </w:p>
    <w:p>
      <w:pPr>
        <w:spacing w:after="0" w:line="139" w:lineRule="exact"/>
        <w:rPr>
          <w:sz w:val="20"/>
          <w:szCs w:val="20"/>
          <w:color w:val="auto"/>
        </w:rPr>
      </w:pPr>
    </w:p>
    <w:p>
      <w:pPr>
        <w:ind w:left="160" w:right="80" w:firstLine="7"/>
        <w:spacing w:after="0" w:line="239" w:lineRule="auto"/>
        <w:tabs>
          <w:tab w:leader="none" w:pos="347" w:val="left"/>
        </w:tabs>
        <w:numPr>
          <w:ilvl w:val="0"/>
          <w:numId w:val="33"/>
        </w:numPr>
        <w:rPr>
          <w:rFonts w:ascii="Arial" w:cs="Arial" w:eastAsia="Arial" w:hAnsi="Arial"/>
          <w:sz w:val="12"/>
          <w:szCs w:val="12"/>
          <w:color w:val="auto"/>
        </w:rPr>
      </w:pPr>
      <w:r>
        <w:rPr>
          <w:rFonts w:ascii="Arial" w:cs="Arial" w:eastAsia="Arial" w:hAnsi="Arial"/>
          <w:sz w:val="12"/>
          <w:szCs w:val="12"/>
          <w:color w:val="auto"/>
        </w:rPr>
        <w:t>Except as otherwise described in the section titled “Potential payments upon termination, retirement or change in control,” such restricted stock awards vest ratably over three years on each of the dates of February 28 in the three successive years, based on achievement of pre-established financial performance goals, subject to continued employment through such vesting date, except in the case of Ms. Whittemore, which is subject to performing service during any performance period and will continue to vest on the original vesting date if performance criteria are met even if</w:t>
      </w:r>
    </w:p>
    <w:p>
      <w:pPr>
        <w:ind w:left="160"/>
        <w:spacing w:after="0"/>
        <w:rPr>
          <w:rFonts w:ascii="Arial" w:cs="Arial" w:eastAsia="Arial" w:hAnsi="Arial"/>
          <w:sz w:val="12"/>
          <w:szCs w:val="12"/>
          <w:color w:val="auto"/>
        </w:rPr>
      </w:pPr>
      <w:r>
        <w:rPr>
          <w:rFonts w:ascii="Arial" w:cs="Arial" w:eastAsia="Arial" w:hAnsi="Arial"/>
          <w:sz w:val="12"/>
          <w:szCs w:val="12"/>
          <w:color w:val="auto"/>
        </w:rPr>
        <w:t>Ms. Whittemore is no longer employed by the Company under certain conditions.</w:t>
      </w:r>
    </w:p>
    <w:p>
      <w:pPr>
        <w:spacing w:after="0" w:line="90" w:lineRule="exact"/>
        <w:rPr>
          <w:rFonts w:ascii="Arial" w:cs="Arial" w:eastAsia="Arial" w:hAnsi="Arial"/>
          <w:sz w:val="12"/>
          <w:szCs w:val="12"/>
          <w:color w:val="auto"/>
        </w:rPr>
      </w:pPr>
    </w:p>
    <w:p>
      <w:pPr>
        <w:ind w:left="160" w:firstLine="7"/>
        <w:spacing w:after="0"/>
        <w:tabs>
          <w:tab w:leader="none" w:pos="347" w:val="left"/>
        </w:tabs>
        <w:numPr>
          <w:ilvl w:val="0"/>
          <w:numId w:val="33"/>
        </w:numPr>
        <w:rPr>
          <w:rFonts w:ascii="Arial" w:cs="Arial" w:eastAsia="Arial" w:hAnsi="Arial"/>
          <w:sz w:val="12"/>
          <w:szCs w:val="12"/>
          <w:color w:val="auto"/>
        </w:rPr>
      </w:pPr>
      <w:r>
        <w:rPr>
          <w:rFonts w:ascii="Arial" w:cs="Arial" w:eastAsia="Arial" w:hAnsi="Arial"/>
          <w:sz w:val="12"/>
          <w:szCs w:val="12"/>
          <w:color w:val="auto"/>
        </w:rPr>
        <w:t>Represents the grant of PSUs pursuant to the Omnibus Plan. Each PSU represents the right to receive between 0 and 1.6 shares of the Company’s common stock depending on the performance of the common stock from January 1, 2024 to January 1, 2027 (the “ PSU Vesting Date”), with such performance determined as the multiple of the volume-weighted average closing price (“VWAP”) of the Company’s common stock over the 60-trading day period ending on the PSU Vesting Date, as adjusted to include dividends paid during the term of the PSU, to the VWAP of the Company’s common stock over the 60-trading day period ending on January 1, 2024 (“TSR”), which was $88.58. Threshold performance is achieved if TSR is greater than or equal to -25% but less than 0% and results in a 60% payout. Below Target performance is achieved if TSR is greater than or equal to 0% but less than 25% and results in an 80% payout. Target performance is achieved if TSR is greater than or equal to 25% but less than 50% and results in a 100% payout. Below Maximum performance is achieved if TSR is greater than or equal to 50% but less than 100% and results in a 120% payout. Maximum performance is achieved if TSR is greater than or equal to 100% and results in a 160% payout.</w:t>
      </w:r>
    </w:p>
    <w:p>
      <w:pPr>
        <w:spacing w:after="0" w:line="77" w:lineRule="exact"/>
        <w:rPr>
          <w:rFonts w:ascii="Arial" w:cs="Arial" w:eastAsia="Arial" w:hAnsi="Arial"/>
          <w:sz w:val="12"/>
          <w:szCs w:val="12"/>
          <w:color w:val="auto"/>
        </w:rPr>
      </w:pPr>
    </w:p>
    <w:p>
      <w:pPr>
        <w:ind w:left="160" w:right="160" w:firstLine="7"/>
        <w:spacing w:after="0" w:line="279" w:lineRule="auto"/>
        <w:tabs>
          <w:tab w:leader="none" w:pos="347" w:val="left"/>
        </w:tabs>
        <w:numPr>
          <w:ilvl w:val="0"/>
          <w:numId w:val="33"/>
        </w:numPr>
        <w:rPr>
          <w:rFonts w:ascii="Arial" w:cs="Arial" w:eastAsia="Arial" w:hAnsi="Arial"/>
          <w:sz w:val="12"/>
          <w:szCs w:val="12"/>
          <w:color w:val="auto"/>
        </w:rPr>
      </w:pPr>
      <w:r>
        <w:rPr>
          <w:rFonts w:ascii="Arial" w:cs="Arial" w:eastAsia="Arial" w:hAnsi="Arial"/>
          <w:sz w:val="12"/>
          <w:szCs w:val="12"/>
          <w:color w:val="auto"/>
        </w:rPr>
        <w:t>Except as otherwise described in the section titled “Potential payments upon termination, retirement or change in control,” such time-based restricted stock awards vest ratably over three years on each anniversary of the grant date, subject to continued employment through each such vesting date.</w:t>
      </w:r>
    </w:p>
    <w:p>
      <w:pPr>
        <w:spacing w:after="0" w:line="53" w:lineRule="exact"/>
        <w:rPr>
          <w:rFonts w:ascii="Arial" w:cs="Arial" w:eastAsia="Arial" w:hAnsi="Arial"/>
          <w:sz w:val="12"/>
          <w:szCs w:val="12"/>
          <w:color w:val="auto"/>
        </w:rPr>
      </w:pPr>
    </w:p>
    <w:p>
      <w:pPr>
        <w:ind w:left="360" w:hanging="193"/>
        <w:spacing w:after="0"/>
        <w:tabs>
          <w:tab w:leader="none" w:pos="360" w:val="left"/>
        </w:tabs>
        <w:numPr>
          <w:ilvl w:val="0"/>
          <w:numId w:val="33"/>
        </w:numPr>
        <w:rPr>
          <w:rFonts w:ascii="Arial" w:cs="Arial" w:eastAsia="Arial" w:hAnsi="Arial"/>
          <w:sz w:val="12"/>
          <w:szCs w:val="12"/>
          <w:color w:val="auto"/>
        </w:rPr>
      </w:pPr>
      <w:r>
        <w:rPr>
          <w:rFonts w:ascii="Arial" w:cs="Arial" w:eastAsia="Arial" w:hAnsi="Arial"/>
          <w:sz w:val="12"/>
          <w:szCs w:val="12"/>
          <w:color w:val="auto"/>
        </w:rPr>
        <w:t>Percentages in these columns are based on the number of target shares issued as determined on the date of grant.</w:t>
      </w:r>
    </w:p>
    <w:p>
      <w:pPr>
        <w:spacing w:after="0" w:line="102" w:lineRule="exact"/>
        <w:rPr>
          <w:rFonts w:ascii="Arial" w:cs="Arial" w:eastAsia="Arial" w:hAnsi="Arial"/>
          <w:sz w:val="12"/>
          <w:szCs w:val="12"/>
          <w:color w:val="auto"/>
        </w:rPr>
      </w:pPr>
    </w:p>
    <w:p>
      <w:pPr>
        <w:ind w:left="160" w:right="140" w:firstLine="7"/>
        <w:spacing w:after="0" w:line="279" w:lineRule="auto"/>
        <w:tabs>
          <w:tab w:leader="none" w:pos="347"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amounts set forth in this column reflect the aggregate grant date fair value of stock awards, as computed in accordance with FASB ASC Topic 718. Performance awards are included in this table based on target performance.</w:t>
      </w:r>
    </w:p>
    <w:p>
      <w:pPr>
        <w:spacing w:after="0" w:line="53" w:lineRule="exact"/>
        <w:rPr>
          <w:rFonts w:ascii="Arial" w:cs="Arial" w:eastAsia="Arial" w:hAnsi="Arial"/>
          <w:sz w:val="12"/>
          <w:szCs w:val="12"/>
          <w:color w:val="auto"/>
        </w:rPr>
      </w:pPr>
    </w:p>
    <w:p>
      <w:pPr>
        <w:ind w:left="160" w:right="60" w:firstLine="7"/>
        <w:spacing w:after="0" w:line="248" w:lineRule="auto"/>
        <w:tabs>
          <w:tab w:leader="none" w:pos="347" w:val="left"/>
        </w:tabs>
        <w:numPr>
          <w:ilvl w:val="0"/>
          <w:numId w:val="33"/>
        </w:numPr>
        <w:rPr>
          <w:rFonts w:ascii="Arial" w:cs="Arial" w:eastAsia="Arial" w:hAnsi="Arial"/>
          <w:sz w:val="12"/>
          <w:szCs w:val="12"/>
          <w:color w:val="auto"/>
        </w:rPr>
      </w:pPr>
      <w:r>
        <w:rPr>
          <w:rFonts w:ascii="Arial" w:cs="Arial" w:eastAsia="Arial" w:hAnsi="Arial"/>
          <w:sz w:val="12"/>
          <w:szCs w:val="12"/>
          <w:color w:val="auto"/>
        </w:rPr>
        <w:t>In connection with her prior role as the Company’s Senior Vice President and General Counsel at Encore Boston Harbor, on January 9, 2024, Ms. Krum received a grant of 1,848 restricted shares, with an approximate grant date fair value of $176,040, that vests ratably over three years. In addition, in connection with Ms. Krum’s promotion to Executive Vice President, General Counsel and Secretary of the Company, effective as of December 1, 2024, she received a grant of 15,932 restricted shares on November 16, 2024, with a grant date fair value of $1,359,318, that vests ratably over three years, beginning on September 15, 2025.</w:t>
      </w:r>
    </w:p>
    <w:p>
      <w:pPr>
        <w:spacing w:after="0" w:line="112" w:lineRule="exact"/>
        <w:rPr>
          <w:sz w:val="20"/>
          <w:szCs w:val="20"/>
          <w:color w:val="auto"/>
        </w:rPr>
      </w:pPr>
    </w:p>
    <w:p>
      <w:pPr>
        <w:ind w:left="160"/>
        <w:spacing w:after="0"/>
        <w:rPr>
          <w:sz w:val="20"/>
          <w:szCs w:val="20"/>
          <w:color w:val="auto"/>
        </w:rPr>
      </w:pPr>
      <w:r>
        <w:rPr>
          <w:rFonts w:ascii="Arial" w:cs="Arial" w:eastAsia="Arial" w:hAnsi="Arial"/>
          <w:sz w:val="12"/>
          <w:szCs w:val="12"/>
          <w:color w:val="351B3D"/>
        </w:rPr>
        <w:t>42</w:t>
      </w:r>
    </w:p>
    <w:p>
      <w:pPr>
        <w:sectPr>
          <w:pgSz w:w="11900" w:h="16838" w:orient="portrait"/>
          <w:cols w:equalWidth="0" w:num="1">
            <w:col w:w="11080"/>
          </w:cols>
          <w:pgMar w:left="320" w:top="478"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2024 FAIR SHARE PERFORMANCE AWARDS</w:t>
      </w:r>
    </w:p>
    <w:p>
      <w:pPr>
        <w:spacing w:after="0" w:line="19" w:lineRule="exact"/>
        <w:rPr>
          <w:sz w:val="20"/>
          <w:szCs w:val="20"/>
          <w:color w:val="auto"/>
        </w:rPr>
      </w:pPr>
    </w:p>
    <w:p>
      <w:pPr>
        <w:ind w:left="160"/>
        <w:spacing w:after="0" w:line="249" w:lineRule="auto"/>
        <w:rPr>
          <w:sz w:val="20"/>
          <w:szCs w:val="20"/>
          <w:color w:val="auto"/>
        </w:rPr>
      </w:pPr>
      <w:r>
        <w:rPr>
          <w:rFonts w:ascii="Arial" w:cs="Arial" w:eastAsia="Arial" w:hAnsi="Arial"/>
          <w:sz w:val="16"/>
          <w:szCs w:val="16"/>
          <w:color w:val="auto"/>
        </w:rPr>
        <w:t>The Compensation Committee approved the use of “fair share” metrics for performance conditions over one, two-, and three-year performance periods for our Las Vegas Operations. Since our Macau Operations weigh heavily on the performance of our stock price and therefore, our total shareholder return, the Compensation Committee decided to exclude Macau-specific fair-share performance measures from the LTI awards as this is reflected in the absolute TSR performance.</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fair share metrics were generally calculated as follows:</w:t>
      </w:r>
    </w:p>
    <w:p>
      <w:pPr>
        <w:spacing w:after="0" w:line="244" w:lineRule="exact"/>
        <w:rPr>
          <w:sz w:val="20"/>
          <w:szCs w:val="20"/>
          <w:color w:val="auto"/>
        </w:rPr>
      </w:pPr>
    </w:p>
    <w:p>
      <w:pPr>
        <w:ind w:left="1240" w:right="20" w:hanging="431"/>
        <w:spacing w:after="0" w:line="279" w:lineRule="auto"/>
        <w:tabs>
          <w:tab w:leader="none" w:pos="1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Las Vegas, the Company’s share of total revenue relative to selected peers divided by the Company’s share of hotel rooms among such peers; and</w:t>
      </w:r>
    </w:p>
    <w:p>
      <w:pPr>
        <w:spacing w:after="0" w:line="187" w:lineRule="exact"/>
        <w:rPr>
          <w:rFonts w:ascii="Arial" w:cs="Arial" w:eastAsia="Arial" w:hAnsi="Arial"/>
          <w:sz w:val="16"/>
          <w:szCs w:val="16"/>
          <w:color w:val="auto"/>
        </w:rPr>
      </w:pPr>
    </w:p>
    <w:p>
      <w:pPr>
        <w:ind w:left="1240" w:hanging="431"/>
        <w:spacing w:after="0" w:line="279" w:lineRule="auto"/>
        <w:tabs>
          <w:tab w:leader="none" w:pos="1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Las Vegas, the Company’s share of total Adjusted Property EBITDAR relative to selected peers divided by the Company’s share of hotel rooms among such peers.</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2024 ABSOLUTE TOTAL SHAREHOLDER RETURN PERFORMANCE AWARDS</w:t>
      </w:r>
    </w:p>
    <w:p>
      <w:pPr>
        <w:spacing w:after="0" w:line="19" w:lineRule="exact"/>
        <w:rPr>
          <w:sz w:val="20"/>
          <w:szCs w:val="20"/>
          <w:color w:val="auto"/>
        </w:rPr>
      </w:pPr>
    </w:p>
    <w:p>
      <w:pPr>
        <w:ind w:left="160" w:right="40"/>
        <w:spacing w:after="0" w:line="246" w:lineRule="auto"/>
        <w:rPr>
          <w:sz w:val="20"/>
          <w:szCs w:val="20"/>
          <w:color w:val="auto"/>
        </w:rPr>
      </w:pPr>
      <w:r>
        <w:rPr>
          <w:rFonts w:ascii="Arial" w:cs="Arial" w:eastAsia="Arial" w:hAnsi="Arial"/>
          <w:sz w:val="16"/>
          <w:szCs w:val="16"/>
          <w:color w:val="auto"/>
        </w:rPr>
        <w:t>In response to shareholder feedback in 2023, the Compensation Committee awarded 25% of the 2024 annual restricted stock grant to our CEO and CFO based on achievement of an absolute TSR hurdle rate over a three-year performance period. In designing the payout curve for the 2024 absolute TSR performance awards, the Compensation Committee sought to appropriately balance the need to reward executives for incremental shareholder value, maintain executive focus on strategic goals and performance, and incorporate a reasonable upper limit for maximum performance. To that end, awards were designed to vest at target for a three-year absolute TSR increase of 25%. The maximum vesting of the awards was limited to 160% of target for an absolute TSR increase of 100%, while the award would vest at only 60% for threshold performance of -25%, below which the entire award would be forfeited.</w:t>
      </w:r>
    </w:p>
    <w:p>
      <w:pPr>
        <w:spacing w:after="0" w:line="189" w:lineRule="exact"/>
        <w:rPr>
          <w:sz w:val="20"/>
          <w:szCs w:val="20"/>
          <w:color w:val="auto"/>
        </w:rPr>
      </w:pPr>
    </w:p>
    <w:p>
      <w:pPr>
        <w:jc w:val="both"/>
        <w:ind w:left="160" w:right="60"/>
        <w:spacing w:after="0" w:line="262" w:lineRule="auto"/>
        <w:rPr>
          <w:sz w:val="20"/>
          <w:szCs w:val="20"/>
          <w:color w:val="auto"/>
        </w:rPr>
      </w:pPr>
      <w:r>
        <w:rPr>
          <w:rFonts w:ascii="Arial" w:cs="Arial" w:eastAsia="Arial" w:hAnsi="Arial"/>
          <w:sz w:val="16"/>
          <w:szCs w:val="16"/>
          <w:color w:val="auto"/>
        </w:rPr>
        <w:t>In addition, to ensure against windfall gains purely as a result of stock market and Company stock price volatility, the TSR hurdle rate and the actual TSR at the end of the performance period will be computed using the Company’s volume weighted average stock price over the 60 trading days preceding the beginning of the performance period, January 1, 2024, and end of the performance period, January 1, 2027, respectively.</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2025 LONG-TERM INCENTIVE GRANTS</w:t>
      </w:r>
    </w:p>
    <w:p>
      <w:pPr>
        <w:spacing w:after="0" w:line="19" w:lineRule="exact"/>
        <w:rPr>
          <w:sz w:val="20"/>
          <w:szCs w:val="20"/>
          <w:color w:val="auto"/>
        </w:rPr>
      </w:pPr>
    </w:p>
    <w:p>
      <w:pPr>
        <w:ind w:left="160" w:right="40"/>
        <w:spacing w:after="0" w:line="247" w:lineRule="auto"/>
        <w:rPr>
          <w:sz w:val="20"/>
          <w:szCs w:val="20"/>
          <w:color w:val="auto"/>
        </w:rPr>
      </w:pPr>
      <w:r>
        <w:rPr>
          <w:rFonts w:ascii="Arial" w:cs="Arial" w:eastAsia="Arial" w:hAnsi="Arial"/>
          <w:sz w:val="16"/>
          <w:szCs w:val="16"/>
          <w:color w:val="auto"/>
        </w:rPr>
        <w:t>In January 2025, the Compensation Committee granted the NEOs’ 2025 long-term incentive awards in accordance with each NEO’s applicable employment contract. Mr. Billings, Ms. Cameron-Doe, and Ms. Krum received grants totaling $8.20 million, $1.66 million, and $1.11 million, respectively, of which 45% of the award vests ratably over three years, 25% of the award vests ratably over three years if certain fair share performance conditions are met, and 20% vests three-years from the grant date if an absolute TSR metric is achieved. Ms. Whittemore received a grant totaling $1.58 million, of which 45% of the award vests ratably over three years and 55% of the award vests ratably over three years if certain fair share performance conditions are met.</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080"/>
          </w:cols>
          <w:pgMar w:left="320" w:top="478"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0"/>
        <w:spacing w:after="0"/>
        <w:rPr>
          <w:sz w:val="20"/>
          <w:szCs w:val="20"/>
          <w:color w:val="auto"/>
        </w:rPr>
      </w:pPr>
      <w:r>
        <w:rPr>
          <w:rFonts w:ascii="Arial" w:cs="Arial" w:eastAsia="Arial" w:hAnsi="Arial"/>
          <w:sz w:val="12"/>
          <w:szCs w:val="12"/>
          <w:color w:val="351B3D"/>
        </w:rPr>
        <w:t>FAIR SHARE PERFORMANCE AWARD VESTING OUTCOMES</w:t>
      </w:r>
    </w:p>
    <w:p>
      <w:pPr>
        <w:spacing w:after="0" w:line="214" w:lineRule="exact"/>
        <w:rPr>
          <w:sz w:val="20"/>
          <w:szCs w:val="20"/>
          <w:color w:val="auto"/>
        </w:rPr>
      </w:pPr>
    </w:p>
    <w:p>
      <w:pPr>
        <w:ind w:left="160"/>
        <w:spacing w:after="0"/>
        <w:rPr>
          <w:sz w:val="20"/>
          <w:szCs w:val="20"/>
          <w:color w:val="auto"/>
        </w:rPr>
      </w:pPr>
      <w:r>
        <w:rPr>
          <w:rFonts w:ascii="Arial" w:cs="Arial" w:eastAsia="Arial" w:hAnsi="Arial"/>
          <w:sz w:val="16"/>
          <w:szCs w:val="16"/>
          <w:color w:val="110F1C"/>
        </w:rPr>
        <w:t>2021 – 2023 GRANT DATE FAIR SHARE PERFORMANCE AWARD VESTING OUTCOMES (VESTED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6526530</wp:posOffset>
            </wp:positionH>
            <wp:positionV relativeFrom="paragraph">
              <wp:posOffset>163830</wp:posOffset>
            </wp:positionV>
            <wp:extent cx="8255" cy="25901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259016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163830</wp:posOffset>
            </wp:positionV>
            <wp:extent cx="8255" cy="25901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259016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163830</wp:posOffset>
            </wp:positionV>
            <wp:extent cx="8255" cy="25901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2590165"/>
                    </a:xfrm>
                    <a:prstGeom prst="rect">
                      <a:avLst/>
                    </a:prstGeom>
                    <a:noFill/>
                  </pic:spPr>
                </pic:pic>
              </a:graphicData>
            </a:graphic>
          </wp:anchor>
        </w:drawing>
        <w:drawing>
          <wp:anchor simplePos="0" relativeHeight="251657728" behindDoc="1" locked="0" layoutInCell="0" allowOverlap="1">
            <wp:simplePos x="0" y="0"/>
            <wp:positionH relativeFrom="column">
              <wp:posOffset>4802505</wp:posOffset>
            </wp:positionH>
            <wp:positionV relativeFrom="paragraph">
              <wp:posOffset>163830</wp:posOffset>
            </wp:positionV>
            <wp:extent cx="8255" cy="25901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259016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163830</wp:posOffset>
            </wp:positionV>
            <wp:extent cx="8255" cy="25901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2590165"/>
                    </a:xfrm>
                    <a:prstGeom prst="rect">
                      <a:avLst/>
                    </a:prstGeom>
                    <a:noFill/>
                  </pic:spPr>
                </pic:pic>
              </a:graphicData>
            </a:graphic>
          </wp:anchor>
        </w:drawing>
        <w:drawing>
          <wp:anchor simplePos="0" relativeHeight="251657728" behindDoc="1" locked="0" layoutInCell="0" allowOverlap="1">
            <wp:simplePos x="0" y="0"/>
            <wp:positionH relativeFrom="column">
              <wp:posOffset>981075</wp:posOffset>
            </wp:positionH>
            <wp:positionV relativeFrom="paragraph">
              <wp:posOffset>163830</wp:posOffset>
            </wp:positionV>
            <wp:extent cx="8255" cy="25901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259016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163830</wp:posOffset>
            </wp:positionV>
            <wp:extent cx="8255" cy="25901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2590165"/>
                    </a:xfrm>
                    <a:prstGeom prst="rect">
                      <a:avLst/>
                    </a:prstGeom>
                    <a:noFill/>
                  </pic:spPr>
                </pic:pic>
              </a:graphicData>
            </a:graphic>
          </wp:anchor>
        </w:drawing>
      </w:r>
    </w:p>
    <w:p>
      <w:pPr>
        <w:spacing w:after="0" w:line="238"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600" w:type="dxa"/>
            <w:vAlign w:val="bottom"/>
            <w:shd w:val="clear" w:color="auto" w:fill="351B3D"/>
          </w:tcPr>
          <w:p>
            <w:pPr>
              <w:ind w:left="80"/>
              <w:spacing w:after="0"/>
              <w:rPr>
                <w:sz w:val="20"/>
                <w:szCs w:val="20"/>
                <w:color w:val="auto"/>
              </w:rPr>
            </w:pPr>
            <w:r>
              <w:rPr>
                <w:rFonts w:ascii="Arial" w:cs="Arial" w:eastAsia="Arial" w:hAnsi="Arial"/>
                <w:sz w:val="11"/>
                <w:szCs w:val="11"/>
                <w:color w:val="FFFFFF"/>
              </w:rPr>
              <w:t>GRANT</w:t>
            </w:r>
          </w:p>
        </w:tc>
        <w:tc>
          <w:tcPr>
            <w:tcW w:w="780" w:type="dxa"/>
            <w:vAlign w:val="bottom"/>
            <w:shd w:val="clear" w:color="auto" w:fill="351B3D"/>
          </w:tcPr>
          <w:p>
            <w:pPr>
              <w:ind w:left="320"/>
              <w:spacing w:after="0"/>
              <w:rPr>
                <w:sz w:val="20"/>
                <w:szCs w:val="20"/>
                <w:color w:val="auto"/>
              </w:rPr>
            </w:pPr>
            <w:r>
              <w:rPr>
                <w:rFonts w:ascii="Arial" w:cs="Arial" w:eastAsia="Arial" w:hAnsi="Arial"/>
                <w:sz w:val="11"/>
                <w:szCs w:val="11"/>
                <w:color w:val="FFFFFF"/>
              </w:rPr>
              <w:t>VEST</w:t>
            </w:r>
          </w:p>
        </w:tc>
        <w:tc>
          <w:tcPr>
            <w:tcW w:w="1120" w:type="dxa"/>
            <w:vAlign w:val="bottom"/>
            <w:shd w:val="clear" w:color="auto" w:fill="351B3D"/>
          </w:tcPr>
          <w:p>
            <w:pPr>
              <w:ind w:left="240"/>
              <w:spacing w:after="0"/>
              <w:rPr>
                <w:sz w:val="20"/>
                <w:szCs w:val="20"/>
                <w:color w:val="auto"/>
              </w:rPr>
            </w:pPr>
            <w:r>
              <w:rPr>
                <w:rFonts w:ascii="Arial" w:cs="Arial" w:eastAsia="Arial" w:hAnsi="Arial"/>
                <w:sz w:val="11"/>
                <w:szCs w:val="11"/>
                <w:color w:val="FFFFFF"/>
              </w:rPr>
              <w:t>PERFORMANCE</w:t>
            </w:r>
          </w:p>
        </w:tc>
        <w:tc>
          <w:tcPr>
            <w:tcW w:w="4960" w:type="dxa"/>
            <w:vAlign w:val="bottom"/>
            <w:shd w:val="clear" w:color="auto" w:fill="351B3D"/>
          </w:tcPr>
          <w:p>
            <w:pPr>
              <w:spacing w:after="0"/>
              <w:rPr>
                <w:sz w:val="15"/>
                <w:szCs w:val="15"/>
                <w:color w:val="auto"/>
              </w:rPr>
            </w:pPr>
          </w:p>
        </w:tc>
        <w:tc>
          <w:tcPr>
            <w:tcW w:w="940" w:type="dxa"/>
            <w:vAlign w:val="bottom"/>
            <w:shd w:val="clear" w:color="auto" w:fill="351B3D"/>
          </w:tcPr>
          <w:p>
            <w:pPr>
              <w:spacing w:after="0"/>
              <w:rPr>
                <w:sz w:val="15"/>
                <w:szCs w:val="15"/>
                <w:color w:val="auto"/>
              </w:rPr>
            </w:pPr>
          </w:p>
        </w:tc>
        <w:tc>
          <w:tcPr>
            <w:tcW w:w="1000" w:type="dxa"/>
            <w:vAlign w:val="bottom"/>
            <w:shd w:val="clear" w:color="auto" w:fill="351B3D"/>
          </w:tcPr>
          <w:p>
            <w:pPr>
              <w:spacing w:after="0"/>
              <w:rPr>
                <w:sz w:val="15"/>
                <w:szCs w:val="15"/>
                <w:color w:val="auto"/>
              </w:rPr>
            </w:pPr>
          </w:p>
        </w:tc>
        <w:tc>
          <w:tcPr>
            <w:tcW w:w="780" w:type="dxa"/>
            <w:vAlign w:val="bottom"/>
            <w:shd w:val="clear" w:color="auto" w:fill="351B3D"/>
          </w:tcPr>
          <w:p>
            <w:pPr>
              <w:spacing w:after="0"/>
              <w:rPr>
                <w:sz w:val="15"/>
                <w:szCs w:val="15"/>
                <w:color w:val="auto"/>
              </w:rPr>
            </w:pPr>
          </w:p>
        </w:tc>
        <w:tc>
          <w:tcPr>
            <w:tcW w:w="740" w:type="dxa"/>
            <w:vAlign w:val="bottom"/>
            <w:shd w:val="clear" w:color="auto" w:fill="351B3D"/>
          </w:tcPr>
          <w:p>
            <w:pPr>
              <w:jc w:val="center"/>
              <w:ind w:left="30"/>
              <w:spacing w:after="0"/>
              <w:rPr>
                <w:sz w:val="20"/>
                <w:szCs w:val="20"/>
                <w:color w:val="auto"/>
              </w:rPr>
            </w:pPr>
            <w:r>
              <w:rPr>
                <w:rFonts w:ascii="Arial" w:cs="Arial" w:eastAsia="Arial" w:hAnsi="Arial"/>
                <w:sz w:val="11"/>
                <w:szCs w:val="11"/>
                <w:color w:val="FFFFFF"/>
                <w:w w:val="93"/>
              </w:rPr>
              <w:t>GRANT</w:t>
            </w:r>
          </w:p>
        </w:tc>
      </w:tr>
      <w:tr>
        <w:trPr>
          <w:trHeight w:val="194"/>
        </w:trPr>
        <w:tc>
          <w:tcPr>
            <w:tcW w:w="600" w:type="dxa"/>
            <w:vAlign w:val="bottom"/>
            <w:tcBorders>
              <w:bottom w:val="single" w:sz="8" w:color="351B3D"/>
            </w:tcBorders>
            <w:shd w:val="clear" w:color="auto" w:fill="351B3D"/>
          </w:tcPr>
          <w:p>
            <w:pPr>
              <w:ind w:left="80"/>
              <w:spacing w:after="0"/>
              <w:rPr>
                <w:sz w:val="20"/>
                <w:szCs w:val="20"/>
                <w:color w:val="auto"/>
              </w:rPr>
            </w:pPr>
            <w:r>
              <w:rPr>
                <w:rFonts w:ascii="Arial" w:cs="Arial" w:eastAsia="Arial" w:hAnsi="Arial"/>
                <w:sz w:val="11"/>
                <w:szCs w:val="11"/>
                <w:color w:val="FFFFFF"/>
              </w:rPr>
              <w:t>DATE</w:t>
            </w:r>
          </w:p>
        </w:tc>
        <w:tc>
          <w:tcPr>
            <w:tcW w:w="780" w:type="dxa"/>
            <w:vAlign w:val="bottom"/>
            <w:tcBorders>
              <w:bottom w:val="single" w:sz="8" w:color="351B3D"/>
            </w:tcBorders>
            <w:shd w:val="clear" w:color="auto" w:fill="351B3D"/>
          </w:tcPr>
          <w:p>
            <w:pPr>
              <w:ind w:left="320"/>
              <w:spacing w:after="0"/>
              <w:rPr>
                <w:sz w:val="20"/>
                <w:szCs w:val="20"/>
                <w:color w:val="auto"/>
              </w:rPr>
            </w:pPr>
            <w:r>
              <w:rPr>
                <w:rFonts w:ascii="Arial" w:cs="Arial" w:eastAsia="Arial" w:hAnsi="Arial"/>
                <w:sz w:val="11"/>
                <w:szCs w:val="11"/>
                <w:color w:val="FFFFFF"/>
              </w:rPr>
              <w:t>DATE</w:t>
            </w:r>
          </w:p>
        </w:tc>
        <w:tc>
          <w:tcPr>
            <w:tcW w:w="1120" w:type="dxa"/>
            <w:vAlign w:val="bottom"/>
            <w:tcBorders>
              <w:bottom w:val="single" w:sz="8" w:color="351B3D"/>
            </w:tcBorders>
            <w:shd w:val="clear" w:color="auto" w:fill="351B3D"/>
          </w:tcPr>
          <w:p>
            <w:pPr>
              <w:ind w:left="440"/>
              <w:spacing w:after="0"/>
              <w:rPr>
                <w:sz w:val="20"/>
                <w:szCs w:val="20"/>
                <w:color w:val="auto"/>
              </w:rPr>
            </w:pPr>
            <w:r>
              <w:rPr>
                <w:rFonts w:ascii="Arial" w:cs="Arial" w:eastAsia="Arial" w:hAnsi="Arial"/>
                <w:sz w:val="11"/>
                <w:szCs w:val="11"/>
                <w:color w:val="FFFFFF"/>
              </w:rPr>
              <w:t>PERIOD</w:t>
            </w:r>
          </w:p>
        </w:tc>
        <w:tc>
          <w:tcPr>
            <w:tcW w:w="4960" w:type="dxa"/>
            <w:vAlign w:val="bottom"/>
            <w:tcBorders>
              <w:bottom w:val="single" w:sz="8" w:color="351B3D"/>
            </w:tcBorders>
            <w:shd w:val="clear" w:color="auto" w:fill="351B3D"/>
          </w:tcPr>
          <w:p>
            <w:pPr>
              <w:ind w:left="2340"/>
              <w:spacing w:after="0"/>
              <w:rPr>
                <w:sz w:val="20"/>
                <w:szCs w:val="20"/>
                <w:color w:val="auto"/>
              </w:rPr>
            </w:pPr>
            <w:r>
              <w:rPr>
                <w:rFonts w:ascii="Arial" w:cs="Arial" w:eastAsia="Arial" w:hAnsi="Arial"/>
                <w:sz w:val="11"/>
                <w:szCs w:val="11"/>
                <w:color w:val="FFFFFF"/>
              </w:rPr>
              <w:t>GOAL (1)</w:t>
            </w:r>
          </w:p>
        </w:tc>
        <w:tc>
          <w:tcPr>
            <w:tcW w:w="940" w:type="dxa"/>
            <w:vAlign w:val="bottom"/>
            <w:tcBorders>
              <w:bottom w:val="single" w:sz="8" w:color="351B3D"/>
            </w:tcBorders>
            <w:shd w:val="clear" w:color="auto" w:fill="351B3D"/>
          </w:tcPr>
          <w:p>
            <w:pPr>
              <w:jc w:val="right"/>
              <w:ind w:right="67"/>
              <w:spacing w:after="0"/>
              <w:rPr>
                <w:sz w:val="20"/>
                <w:szCs w:val="20"/>
                <w:color w:val="auto"/>
              </w:rPr>
            </w:pPr>
            <w:r>
              <w:rPr>
                <w:rFonts w:ascii="Arial" w:cs="Arial" w:eastAsia="Arial" w:hAnsi="Arial"/>
                <w:sz w:val="11"/>
                <w:szCs w:val="11"/>
                <w:color w:val="FFFFFF"/>
              </w:rPr>
              <w:t>THRESHOLD</w:t>
            </w:r>
          </w:p>
        </w:tc>
        <w:tc>
          <w:tcPr>
            <w:tcW w:w="1000" w:type="dxa"/>
            <w:vAlign w:val="bottom"/>
            <w:tcBorders>
              <w:bottom w:val="single" w:sz="8" w:color="351B3D"/>
            </w:tcBorders>
            <w:shd w:val="clear" w:color="auto" w:fill="351B3D"/>
          </w:tcPr>
          <w:p>
            <w:pPr>
              <w:ind w:left="100"/>
              <w:spacing w:after="0"/>
              <w:rPr>
                <w:sz w:val="20"/>
                <w:szCs w:val="20"/>
                <w:color w:val="auto"/>
              </w:rPr>
            </w:pPr>
            <w:r>
              <w:rPr>
                <w:rFonts w:ascii="Arial" w:cs="Arial" w:eastAsia="Arial" w:hAnsi="Arial"/>
                <w:sz w:val="11"/>
                <w:szCs w:val="11"/>
                <w:color w:val="FFFFFF"/>
              </w:rPr>
              <w:t>ACHIEVEMENT</w:t>
            </w:r>
          </w:p>
        </w:tc>
        <w:tc>
          <w:tcPr>
            <w:tcW w:w="780" w:type="dxa"/>
            <w:vAlign w:val="bottom"/>
            <w:tcBorders>
              <w:bottom w:val="single" w:sz="8" w:color="351B3D"/>
            </w:tcBorders>
            <w:shd w:val="clear" w:color="auto" w:fill="351B3D"/>
          </w:tcPr>
          <w:p>
            <w:pPr>
              <w:ind w:left="120"/>
              <w:spacing w:after="0"/>
              <w:rPr>
                <w:sz w:val="20"/>
                <w:szCs w:val="20"/>
                <w:color w:val="auto"/>
              </w:rPr>
            </w:pPr>
            <w:r>
              <w:rPr>
                <w:rFonts w:ascii="Arial" w:cs="Arial" w:eastAsia="Arial" w:hAnsi="Arial"/>
                <w:sz w:val="11"/>
                <w:szCs w:val="11"/>
                <w:color w:val="FFFFFF"/>
              </w:rPr>
              <w:t>OUTCOME</w:t>
            </w:r>
          </w:p>
        </w:tc>
        <w:tc>
          <w:tcPr>
            <w:tcW w:w="740" w:type="dxa"/>
            <w:vAlign w:val="bottom"/>
            <w:tcBorders>
              <w:bottom w:val="single" w:sz="8" w:color="351B3D"/>
            </w:tcBorders>
            <w:shd w:val="clear" w:color="auto" w:fill="351B3D"/>
          </w:tcPr>
          <w:p>
            <w:pPr>
              <w:jc w:val="center"/>
              <w:ind w:left="30"/>
              <w:spacing w:after="0"/>
              <w:rPr>
                <w:sz w:val="20"/>
                <w:szCs w:val="20"/>
                <w:color w:val="auto"/>
              </w:rPr>
            </w:pPr>
            <w:r>
              <w:rPr>
                <w:rFonts w:ascii="Arial" w:cs="Arial" w:eastAsia="Arial" w:hAnsi="Arial"/>
                <w:sz w:val="11"/>
                <w:szCs w:val="11"/>
                <w:color w:val="FFFFFF"/>
                <w:w w:val="94"/>
              </w:rPr>
              <w:t>WEIGHTING</w:t>
            </w:r>
          </w:p>
        </w:tc>
      </w:tr>
      <w:tr>
        <w:trPr>
          <w:trHeight w:val="289"/>
        </w:trPr>
        <w:tc>
          <w:tcPr>
            <w:tcW w:w="600" w:type="dxa"/>
            <w:vAlign w:val="bottom"/>
            <w:shd w:val="clear" w:color="auto" w:fill="D6D1D8"/>
          </w:tcPr>
          <w:p>
            <w:pPr>
              <w:ind w:left="80"/>
              <w:spacing w:after="0"/>
              <w:rPr>
                <w:sz w:val="20"/>
                <w:szCs w:val="20"/>
                <w:color w:val="auto"/>
              </w:rPr>
            </w:pPr>
            <w:r>
              <w:rPr>
                <w:rFonts w:ascii="Arial" w:cs="Arial" w:eastAsia="Arial" w:hAnsi="Arial"/>
                <w:sz w:val="15"/>
                <w:szCs w:val="15"/>
                <w:color w:val="auto"/>
                <w:w w:val="99"/>
              </w:rPr>
              <w:t>1/11/21</w:t>
            </w:r>
          </w:p>
        </w:tc>
        <w:tc>
          <w:tcPr>
            <w:tcW w:w="780" w:type="dxa"/>
            <w:vAlign w:val="bottom"/>
            <w:shd w:val="clear" w:color="auto" w:fill="D6D1D8"/>
          </w:tcPr>
          <w:p>
            <w:pPr>
              <w:ind w:left="140"/>
              <w:spacing w:after="0"/>
              <w:rPr>
                <w:sz w:val="20"/>
                <w:szCs w:val="20"/>
                <w:color w:val="auto"/>
              </w:rPr>
            </w:pPr>
            <w:r>
              <w:rPr>
                <w:rFonts w:ascii="Arial" w:cs="Arial" w:eastAsia="Arial" w:hAnsi="Arial"/>
                <w:sz w:val="15"/>
                <w:szCs w:val="15"/>
                <w:color w:val="auto"/>
              </w:rPr>
              <w:t>2/28/24</w:t>
            </w:r>
          </w:p>
        </w:tc>
        <w:tc>
          <w:tcPr>
            <w:tcW w:w="1120" w:type="dxa"/>
            <w:vAlign w:val="bottom"/>
            <w:shd w:val="clear" w:color="auto" w:fill="D6D1D8"/>
          </w:tcPr>
          <w:p>
            <w:pPr>
              <w:ind w:left="120"/>
              <w:spacing w:after="0"/>
              <w:rPr>
                <w:sz w:val="20"/>
                <w:szCs w:val="20"/>
                <w:color w:val="auto"/>
              </w:rPr>
            </w:pPr>
            <w:r>
              <w:rPr>
                <w:rFonts w:ascii="Arial" w:cs="Arial" w:eastAsia="Arial" w:hAnsi="Arial"/>
                <w:sz w:val="15"/>
                <w:szCs w:val="15"/>
                <w:color w:val="auto"/>
                <w:w w:val="98"/>
              </w:rPr>
              <w:t>3-years ending</w:t>
            </w:r>
          </w:p>
        </w:tc>
        <w:tc>
          <w:tcPr>
            <w:tcW w:w="4960" w:type="dxa"/>
            <w:vAlign w:val="bottom"/>
            <w:shd w:val="clear" w:color="auto" w:fill="D6D1D8"/>
          </w:tcPr>
          <w:p>
            <w:pPr>
              <w:ind w:left="220"/>
              <w:spacing w:after="0"/>
              <w:rPr>
                <w:sz w:val="20"/>
                <w:szCs w:val="20"/>
                <w:color w:val="auto"/>
              </w:rPr>
            </w:pPr>
            <w:r>
              <w:rPr>
                <w:rFonts w:ascii="Arial" w:cs="Arial" w:eastAsia="Arial" w:hAnsi="Arial"/>
                <w:sz w:val="15"/>
                <w:szCs w:val="15"/>
                <w:color w:val="auto"/>
              </w:rPr>
              <w:t>Las Vegas Operations Revenue Fair Share of Hotel Rooms (2)</w:t>
            </w:r>
          </w:p>
        </w:tc>
        <w:tc>
          <w:tcPr>
            <w:tcW w:w="940" w:type="dxa"/>
            <w:vAlign w:val="bottom"/>
            <w:shd w:val="clear" w:color="auto" w:fill="D6D1D8"/>
          </w:tcPr>
          <w:p>
            <w:pPr>
              <w:jc w:val="right"/>
              <w:ind w:right="167"/>
              <w:spacing w:after="0"/>
              <w:rPr>
                <w:sz w:val="20"/>
                <w:szCs w:val="20"/>
                <w:color w:val="auto"/>
              </w:rPr>
            </w:pPr>
            <w:r>
              <w:rPr>
                <w:rFonts w:ascii="Arial" w:cs="Arial" w:eastAsia="Arial" w:hAnsi="Arial"/>
                <w:sz w:val="15"/>
                <w:szCs w:val="15"/>
                <w:color w:val="auto"/>
              </w:rPr>
              <w:t>1.7x</w:t>
            </w:r>
          </w:p>
        </w:tc>
        <w:tc>
          <w:tcPr>
            <w:tcW w:w="1000" w:type="dxa"/>
            <w:vAlign w:val="bottom"/>
            <w:shd w:val="clear" w:color="auto" w:fill="D6D1D8"/>
          </w:tcPr>
          <w:p>
            <w:pPr>
              <w:ind w:left="500"/>
              <w:spacing w:after="0"/>
              <w:rPr>
                <w:sz w:val="20"/>
                <w:szCs w:val="20"/>
                <w:color w:val="auto"/>
              </w:rPr>
            </w:pPr>
            <w:r>
              <w:rPr>
                <w:rFonts w:ascii="Arial" w:cs="Arial" w:eastAsia="Arial" w:hAnsi="Arial"/>
                <w:sz w:val="15"/>
                <w:szCs w:val="15"/>
                <w:color w:val="auto"/>
              </w:rPr>
              <w:t>2.0x</w:t>
            </w:r>
          </w:p>
        </w:tc>
        <w:tc>
          <w:tcPr>
            <w:tcW w:w="780" w:type="dxa"/>
            <w:vAlign w:val="bottom"/>
            <w:shd w:val="clear" w:color="auto" w:fill="D6D1D8"/>
          </w:tcPr>
          <w:p>
            <w:pPr>
              <w:ind w:left="100"/>
              <w:spacing w:after="0"/>
              <w:rPr>
                <w:sz w:val="20"/>
                <w:szCs w:val="20"/>
                <w:color w:val="auto"/>
              </w:rPr>
            </w:pPr>
            <w:r>
              <w:rPr>
                <w:rFonts w:ascii="Arial" w:cs="Arial" w:eastAsia="Arial" w:hAnsi="Arial"/>
                <w:sz w:val="15"/>
                <w:szCs w:val="15"/>
                <w:color w:val="auto"/>
              </w:rPr>
              <w:t>Vested</w:t>
            </w:r>
          </w:p>
        </w:tc>
        <w:tc>
          <w:tcPr>
            <w:tcW w:w="740" w:type="dxa"/>
            <w:vAlign w:val="bottom"/>
            <w:shd w:val="clear" w:color="auto" w:fill="D6D1D8"/>
          </w:tcPr>
          <w:p>
            <w:pPr>
              <w:jc w:val="center"/>
              <w:ind w:left="50"/>
              <w:spacing w:after="0"/>
              <w:rPr>
                <w:sz w:val="20"/>
                <w:szCs w:val="20"/>
                <w:color w:val="auto"/>
              </w:rPr>
            </w:pPr>
            <w:r>
              <w:rPr>
                <w:rFonts w:ascii="Arial" w:cs="Arial" w:eastAsia="Arial" w:hAnsi="Arial"/>
                <w:sz w:val="15"/>
                <w:szCs w:val="15"/>
                <w:color w:val="auto"/>
                <w:w w:val="99"/>
              </w:rPr>
              <w:t>50%</w:t>
            </w:r>
          </w:p>
        </w:tc>
      </w:tr>
      <w:tr>
        <w:trPr>
          <w:trHeight w:val="254"/>
        </w:trPr>
        <w:tc>
          <w:tcPr>
            <w:tcW w:w="600" w:type="dxa"/>
            <w:vAlign w:val="bottom"/>
            <w:shd w:val="clear" w:color="auto" w:fill="D6D1D8"/>
          </w:tcPr>
          <w:p>
            <w:pPr>
              <w:spacing w:after="0"/>
              <w:rPr>
                <w:sz w:val="22"/>
                <w:szCs w:val="22"/>
                <w:color w:val="auto"/>
              </w:rPr>
            </w:pPr>
          </w:p>
        </w:tc>
        <w:tc>
          <w:tcPr>
            <w:tcW w:w="780" w:type="dxa"/>
            <w:vAlign w:val="bottom"/>
            <w:shd w:val="clear" w:color="auto" w:fill="D6D1D8"/>
          </w:tcPr>
          <w:p>
            <w:pPr>
              <w:spacing w:after="0"/>
              <w:rPr>
                <w:sz w:val="22"/>
                <w:szCs w:val="22"/>
                <w:color w:val="auto"/>
              </w:rPr>
            </w:pPr>
          </w:p>
        </w:tc>
        <w:tc>
          <w:tcPr>
            <w:tcW w:w="1120" w:type="dxa"/>
            <w:vAlign w:val="bottom"/>
            <w:shd w:val="clear" w:color="auto" w:fill="D6D1D8"/>
          </w:tcPr>
          <w:p>
            <w:pPr>
              <w:ind w:left="120"/>
              <w:spacing w:after="0"/>
              <w:rPr>
                <w:sz w:val="20"/>
                <w:szCs w:val="20"/>
                <w:color w:val="auto"/>
              </w:rPr>
            </w:pPr>
            <w:r>
              <w:rPr>
                <w:rFonts w:ascii="Arial" w:cs="Arial" w:eastAsia="Arial" w:hAnsi="Arial"/>
                <w:sz w:val="15"/>
                <w:szCs w:val="15"/>
                <w:color w:val="auto"/>
              </w:rPr>
              <w:t>12/31/2023</w:t>
            </w:r>
          </w:p>
        </w:tc>
        <w:tc>
          <w:tcPr>
            <w:tcW w:w="4960" w:type="dxa"/>
            <w:vAlign w:val="bottom"/>
            <w:shd w:val="clear" w:color="auto" w:fill="D6D1D8"/>
          </w:tcPr>
          <w:p>
            <w:pPr>
              <w:spacing w:after="0"/>
              <w:rPr>
                <w:sz w:val="22"/>
                <w:szCs w:val="22"/>
                <w:color w:val="auto"/>
              </w:rPr>
            </w:pPr>
          </w:p>
        </w:tc>
        <w:tc>
          <w:tcPr>
            <w:tcW w:w="940" w:type="dxa"/>
            <w:vAlign w:val="bottom"/>
            <w:shd w:val="clear" w:color="auto" w:fill="D6D1D8"/>
          </w:tcPr>
          <w:p>
            <w:pPr>
              <w:spacing w:after="0"/>
              <w:rPr>
                <w:sz w:val="22"/>
                <w:szCs w:val="22"/>
                <w:color w:val="auto"/>
              </w:rPr>
            </w:pPr>
          </w:p>
        </w:tc>
        <w:tc>
          <w:tcPr>
            <w:tcW w:w="1000" w:type="dxa"/>
            <w:vAlign w:val="bottom"/>
            <w:shd w:val="clear" w:color="auto" w:fill="D6D1D8"/>
          </w:tcPr>
          <w:p>
            <w:pPr>
              <w:spacing w:after="0"/>
              <w:rPr>
                <w:sz w:val="22"/>
                <w:szCs w:val="22"/>
                <w:color w:val="auto"/>
              </w:rPr>
            </w:pPr>
          </w:p>
        </w:tc>
        <w:tc>
          <w:tcPr>
            <w:tcW w:w="780" w:type="dxa"/>
            <w:vAlign w:val="bottom"/>
            <w:shd w:val="clear" w:color="auto" w:fill="D6D1D8"/>
          </w:tcPr>
          <w:p>
            <w:pPr>
              <w:spacing w:after="0"/>
              <w:rPr>
                <w:sz w:val="22"/>
                <w:szCs w:val="22"/>
                <w:color w:val="auto"/>
              </w:rPr>
            </w:pPr>
          </w:p>
        </w:tc>
        <w:tc>
          <w:tcPr>
            <w:tcW w:w="740" w:type="dxa"/>
            <w:vAlign w:val="bottom"/>
            <w:shd w:val="clear" w:color="auto" w:fill="D6D1D8"/>
          </w:tcPr>
          <w:p>
            <w:pPr>
              <w:spacing w:after="0"/>
              <w:rPr>
                <w:sz w:val="22"/>
                <w:szCs w:val="22"/>
                <w:color w:val="auto"/>
              </w:rPr>
            </w:pPr>
          </w:p>
        </w:tc>
      </w:tr>
      <w:tr>
        <w:trPr>
          <w:trHeight w:val="72"/>
        </w:trPr>
        <w:tc>
          <w:tcPr>
            <w:tcW w:w="600" w:type="dxa"/>
            <w:vAlign w:val="bottom"/>
            <w:shd w:val="clear" w:color="auto" w:fill="D6D1D8"/>
          </w:tcPr>
          <w:p>
            <w:pPr>
              <w:spacing w:after="0"/>
              <w:rPr>
                <w:sz w:val="6"/>
                <w:szCs w:val="6"/>
                <w:color w:val="auto"/>
              </w:rPr>
            </w:pPr>
          </w:p>
        </w:tc>
        <w:tc>
          <w:tcPr>
            <w:tcW w:w="780" w:type="dxa"/>
            <w:vAlign w:val="bottom"/>
            <w:shd w:val="clear" w:color="auto" w:fill="D6D1D8"/>
          </w:tcPr>
          <w:p>
            <w:pPr>
              <w:spacing w:after="0"/>
              <w:rPr>
                <w:sz w:val="6"/>
                <w:szCs w:val="6"/>
                <w:color w:val="auto"/>
              </w:rPr>
            </w:pPr>
          </w:p>
        </w:tc>
        <w:tc>
          <w:tcPr>
            <w:tcW w:w="1120" w:type="dxa"/>
            <w:vAlign w:val="bottom"/>
            <w:shd w:val="clear" w:color="auto" w:fill="D6D1D8"/>
          </w:tcPr>
          <w:p>
            <w:pPr>
              <w:spacing w:after="0"/>
              <w:rPr>
                <w:sz w:val="6"/>
                <w:szCs w:val="6"/>
                <w:color w:val="auto"/>
              </w:rPr>
            </w:pPr>
          </w:p>
        </w:tc>
        <w:tc>
          <w:tcPr>
            <w:tcW w:w="4960" w:type="dxa"/>
            <w:vAlign w:val="bottom"/>
            <w:shd w:val="clear" w:color="auto" w:fill="D6D1D8"/>
          </w:tcPr>
          <w:p>
            <w:pPr>
              <w:spacing w:after="0"/>
              <w:rPr>
                <w:sz w:val="6"/>
                <w:szCs w:val="6"/>
                <w:color w:val="auto"/>
              </w:rPr>
            </w:pPr>
          </w:p>
        </w:tc>
        <w:tc>
          <w:tcPr>
            <w:tcW w:w="940" w:type="dxa"/>
            <w:vAlign w:val="bottom"/>
            <w:shd w:val="clear" w:color="auto" w:fill="D6D1D8"/>
          </w:tcPr>
          <w:p>
            <w:pPr>
              <w:spacing w:after="0"/>
              <w:rPr>
                <w:sz w:val="6"/>
                <w:szCs w:val="6"/>
                <w:color w:val="auto"/>
              </w:rPr>
            </w:pPr>
          </w:p>
        </w:tc>
        <w:tc>
          <w:tcPr>
            <w:tcW w:w="1000" w:type="dxa"/>
            <w:vAlign w:val="bottom"/>
            <w:shd w:val="clear" w:color="auto" w:fill="D6D1D8"/>
          </w:tcPr>
          <w:p>
            <w:pPr>
              <w:spacing w:after="0"/>
              <w:rPr>
                <w:sz w:val="6"/>
                <w:szCs w:val="6"/>
                <w:color w:val="auto"/>
              </w:rPr>
            </w:pPr>
          </w:p>
        </w:tc>
        <w:tc>
          <w:tcPr>
            <w:tcW w:w="780" w:type="dxa"/>
            <w:vAlign w:val="bottom"/>
            <w:shd w:val="clear" w:color="auto" w:fill="D6D1D8"/>
          </w:tcPr>
          <w:p>
            <w:pPr>
              <w:spacing w:after="0"/>
              <w:rPr>
                <w:sz w:val="6"/>
                <w:szCs w:val="6"/>
                <w:color w:val="auto"/>
              </w:rPr>
            </w:pPr>
          </w:p>
        </w:tc>
        <w:tc>
          <w:tcPr>
            <w:tcW w:w="740" w:type="dxa"/>
            <w:vAlign w:val="bottom"/>
            <w:shd w:val="clear" w:color="auto" w:fill="D6D1D8"/>
          </w:tcPr>
          <w:p>
            <w:pPr>
              <w:spacing w:after="0"/>
              <w:rPr>
                <w:sz w:val="6"/>
                <w:szCs w:val="6"/>
                <w:color w:val="auto"/>
              </w:rPr>
            </w:pPr>
          </w:p>
        </w:tc>
      </w:tr>
      <w:tr>
        <w:trPr>
          <w:trHeight w:val="289"/>
        </w:trPr>
        <w:tc>
          <w:tcPr>
            <w:tcW w:w="600" w:type="dxa"/>
            <w:vAlign w:val="bottom"/>
          </w:tcPr>
          <w:p>
            <w:pPr>
              <w:ind w:left="80"/>
              <w:spacing w:after="0"/>
              <w:rPr>
                <w:sz w:val="20"/>
                <w:szCs w:val="20"/>
                <w:color w:val="auto"/>
              </w:rPr>
            </w:pPr>
            <w:r>
              <w:rPr>
                <w:rFonts w:ascii="Arial" w:cs="Arial" w:eastAsia="Arial" w:hAnsi="Arial"/>
                <w:sz w:val="15"/>
                <w:szCs w:val="15"/>
                <w:color w:val="auto"/>
                <w:w w:val="99"/>
              </w:rPr>
              <w:t>1/11/21</w:t>
            </w:r>
          </w:p>
        </w:tc>
        <w:tc>
          <w:tcPr>
            <w:tcW w:w="780" w:type="dxa"/>
            <w:vAlign w:val="bottom"/>
          </w:tcPr>
          <w:p>
            <w:pPr>
              <w:ind w:left="140"/>
              <w:spacing w:after="0"/>
              <w:rPr>
                <w:sz w:val="20"/>
                <w:szCs w:val="20"/>
                <w:color w:val="auto"/>
              </w:rPr>
            </w:pPr>
            <w:r>
              <w:rPr>
                <w:rFonts w:ascii="Arial" w:cs="Arial" w:eastAsia="Arial" w:hAnsi="Arial"/>
                <w:sz w:val="15"/>
                <w:szCs w:val="15"/>
                <w:color w:val="auto"/>
              </w:rPr>
              <w:t>2/28/24</w:t>
            </w:r>
          </w:p>
        </w:tc>
        <w:tc>
          <w:tcPr>
            <w:tcW w:w="1120" w:type="dxa"/>
            <w:vAlign w:val="bottom"/>
          </w:tcPr>
          <w:p>
            <w:pPr>
              <w:ind w:left="120"/>
              <w:spacing w:after="0"/>
              <w:rPr>
                <w:sz w:val="20"/>
                <w:szCs w:val="20"/>
                <w:color w:val="auto"/>
              </w:rPr>
            </w:pPr>
            <w:r>
              <w:rPr>
                <w:rFonts w:ascii="Arial" w:cs="Arial" w:eastAsia="Arial" w:hAnsi="Arial"/>
                <w:sz w:val="15"/>
                <w:szCs w:val="15"/>
                <w:color w:val="auto"/>
                <w:w w:val="98"/>
              </w:rPr>
              <w:t>3-years ending</w:t>
            </w:r>
          </w:p>
        </w:tc>
        <w:tc>
          <w:tcPr>
            <w:tcW w:w="4960" w:type="dxa"/>
            <w:vAlign w:val="bottom"/>
          </w:tcPr>
          <w:p>
            <w:pPr>
              <w:ind w:left="220"/>
              <w:spacing w:after="0"/>
              <w:rPr>
                <w:sz w:val="20"/>
                <w:szCs w:val="20"/>
                <w:color w:val="auto"/>
              </w:rPr>
            </w:pPr>
            <w:r>
              <w:rPr>
                <w:rFonts w:ascii="Arial" w:cs="Arial" w:eastAsia="Arial" w:hAnsi="Arial"/>
                <w:sz w:val="15"/>
                <w:szCs w:val="15"/>
                <w:color w:val="auto"/>
              </w:rPr>
              <w:t>Macau Operations Gross Gaming Revenue Fair Share of Gaming</w:t>
            </w:r>
          </w:p>
        </w:tc>
        <w:tc>
          <w:tcPr>
            <w:tcW w:w="940" w:type="dxa"/>
            <w:vAlign w:val="bottom"/>
          </w:tcPr>
          <w:p>
            <w:pPr>
              <w:jc w:val="right"/>
              <w:ind w:right="167"/>
              <w:spacing w:after="0"/>
              <w:rPr>
                <w:sz w:val="20"/>
                <w:szCs w:val="20"/>
                <w:color w:val="auto"/>
              </w:rPr>
            </w:pPr>
            <w:r>
              <w:rPr>
                <w:rFonts w:ascii="Arial" w:cs="Arial" w:eastAsia="Arial" w:hAnsi="Arial"/>
                <w:sz w:val="15"/>
                <w:szCs w:val="15"/>
                <w:color w:val="auto"/>
              </w:rPr>
              <w:t>1.0x</w:t>
            </w:r>
          </w:p>
        </w:tc>
        <w:tc>
          <w:tcPr>
            <w:tcW w:w="1000" w:type="dxa"/>
            <w:vAlign w:val="bottom"/>
          </w:tcPr>
          <w:p>
            <w:pPr>
              <w:ind w:left="500"/>
              <w:spacing w:after="0"/>
              <w:rPr>
                <w:sz w:val="20"/>
                <w:szCs w:val="20"/>
                <w:color w:val="auto"/>
              </w:rPr>
            </w:pPr>
            <w:r>
              <w:rPr>
                <w:rFonts w:ascii="Arial" w:cs="Arial" w:eastAsia="Arial" w:hAnsi="Arial"/>
                <w:sz w:val="15"/>
                <w:szCs w:val="15"/>
                <w:color w:val="auto"/>
              </w:rPr>
              <w:t>1.3x</w:t>
            </w:r>
          </w:p>
        </w:tc>
        <w:tc>
          <w:tcPr>
            <w:tcW w:w="780" w:type="dxa"/>
            <w:vAlign w:val="bottom"/>
          </w:tcPr>
          <w:p>
            <w:pPr>
              <w:ind w:left="100"/>
              <w:spacing w:after="0"/>
              <w:rPr>
                <w:sz w:val="20"/>
                <w:szCs w:val="20"/>
                <w:color w:val="auto"/>
              </w:rPr>
            </w:pPr>
            <w:r>
              <w:rPr>
                <w:rFonts w:ascii="Arial" w:cs="Arial" w:eastAsia="Arial" w:hAnsi="Arial"/>
                <w:sz w:val="15"/>
                <w:szCs w:val="15"/>
                <w:color w:val="auto"/>
              </w:rPr>
              <w:t>Vested</w:t>
            </w:r>
          </w:p>
        </w:tc>
        <w:tc>
          <w:tcPr>
            <w:tcW w:w="740" w:type="dxa"/>
            <w:vAlign w:val="bottom"/>
          </w:tcPr>
          <w:p>
            <w:pPr>
              <w:jc w:val="center"/>
              <w:ind w:left="50"/>
              <w:spacing w:after="0"/>
              <w:rPr>
                <w:sz w:val="20"/>
                <w:szCs w:val="20"/>
                <w:color w:val="auto"/>
              </w:rPr>
            </w:pPr>
            <w:r>
              <w:rPr>
                <w:rFonts w:ascii="Arial" w:cs="Arial" w:eastAsia="Arial" w:hAnsi="Arial"/>
                <w:sz w:val="15"/>
                <w:szCs w:val="15"/>
                <w:color w:val="auto"/>
                <w:w w:val="99"/>
              </w:rPr>
              <w:t>50%</w:t>
            </w:r>
          </w:p>
        </w:tc>
      </w:tr>
      <w:tr>
        <w:trPr>
          <w:trHeight w:val="254"/>
        </w:trPr>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20" w:type="dxa"/>
            <w:vAlign w:val="bottom"/>
          </w:tcPr>
          <w:p>
            <w:pPr>
              <w:ind w:left="120"/>
              <w:spacing w:after="0"/>
              <w:rPr>
                <w:sz w:val="20"/>
                <w:szCs w:val="20"/>
                <w:color w:val="auto"/>
              </w:rPr>
            </w:pPr>
            <w:r>
              <w:rPr>
                <w:rFonts w:ascii="Arial" w:cs="Arial" w:eastAsia="Arial" w:hAnsi="Arial"/>
                <w:sz w:val="15"/>
                <w:szCs w:val="15"/>
                <w:color w:val="auto"/>
              </w:rPr>
              <w:t>12/31/2023</w:t>
            </w:r>
          </w:p>
        </w:tc>
        <w:tc>
          <w:tcPr>
            <w:tcW w:w="4960" w:type="dxa"/>
            <w:vAlign w:val="bottom"/>
          </w:tcPr>
          <w:p>
            <w:pPr>
              <w:ind w:left="220"/>
              <w:spacing w:after="0"/>
              <w:rPr>
                <w:sz w:val="20"/>
                <w:szCs w:val="20"/>
                <w:color w:val="auto"/>
              </w:rPr>
            </w:pPr>
            <w:r>
              <w:rPr>
                <w:rFonts w:ascii="Arial" w:cs="Arial" w:eastAsia="Arial" w:hAnsi="Arial"/>
                <w:sz w:val="15"/>
                <w:szCs w:val="15"/>
                <w:color w:val="auto"/>
              </w:rPr>
              <w:t>Positions (3)</w:t>
            </w:r>
          </w:p>
        </w:tc>
        <w:tc>
          <w:tcPr>
            <w:tcW w:w="9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72"/>
        </w:trPr>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9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289"/>
        </w:trPr>
        <w:tc>
          <w:tcPr>
            <w:tcW w:w="600" w:type="dxa"/>
            <w:vAlign w:val="bottom"/>
            <w:shd w:val="clear" w:color="auto" w:fill="D6D1D8"/>
          </w:tcPr>
          <w:p>
            <w:pPr>
              <w:ind w:left="80"/>
              <w:spacing w:after="0"/>
              <w:rPr>
                <w:sz w:val="20"/>
                <w:szCs w:val="20"/>
                <w:color w:val="auto"/>
              </w:rPr>
            </w:pPr>
            <w:r>
              <w:rPr>
                <w:rFonts w:ascii="Arial" w:cs="Arial" w:eastAsia="Arial" w:hAnsi="Arial"/>
                <w:sz w:val="15"/>
                <w:szCs w:val="15"/>
                <w:color w:val="auto"/>
                <w:w w:val="99"/>
              </w:rPr>
              <w:t>1/12/22</w:t>
            </w:r>
          </w:p>
        </w:tc>
        <w:tc>
          <w:tcPr>
            <w:tcW w:w="780" w:type="dxa"/>
            <w:vAlign w:val="bottom"/>
            <w:shd w:val="clear" w:color="auto" w:fill="D6D1D8"/>
          </w:tcPr>
          <w:p>
            <w:pPr>
              <w:ind w:left="140"/>
              <w:spacing w:after="0"/>
              <w:rPr>
                <w:sz w:val="20"/>
                <w:szCs w:val="20"/>
                <w:color w:val="auto"/>
              </w:rPr>
            </w:pPr>
            <w:r>
              <w:rPr>
                <w:rFonts w:ascii="Arial" w:cs="Arial" w:eastAsia="Arial" w:hAnsi="Arial"/>
                <w:sz w:val="15"/>
                <w:szCs w:val="15"/>
                <w:color w:val="auto"/>
              </w:rPr>
              <w:t>2/28/24</w:t>
            </w:r>
          </w:p>
        </w:tc>
        <w:tc>
          <w:tcPr>
            <w:tcW w:w="1120" w:type="dxa"/>
            <w:vAlign w:val="bottom"/>
            <w:shd w:val="clear" w:color="auto" w:fill="D6D1D8"/>
          </w:tcPr>
          <w:p>
            <w:pPr>
              <w:ind w:left="120"/>
              <w:spacing w:after="0"/>
              <w:rPr>
                <w:sz w:val="20"/>
                <w:szCs w:val="20"/>
                <w:color w:val="auto"/>
              </w:rPr>
            </w:pPr>
            <w:r>
              <w:rPr>
                <w:rFonts w:ascii="Arial" w:cs="Arial" w:eastAsia="Arial" w:hAnsi="Arial"/>
                <w:sz w:val="15"/>
                <w:szCs w:val="15"/>
                <w:color w:val="auto"/>
                <w:w w:val="98"/>
              </w:rPr>
              <w:t>2-years ending</w:t>
            </w:r>
          </w:p>
        </w:tc>
        <w:tc>
          <w:tcPr>
            <w:tcW w:w="4960" w:type="dxa"/>
            <w:vAlign w:val="bottom"/>
            <w:shd w:val="clear" w:color="auto" w:fill="D6D1D8"/>
          </w:tcPr>
          <w:p>
            <w:pPr>
              <w:ind w:left="220"/>
              <w:spacing w:after="0"/>
              <w:rPr>
                <w:sz w:val="20"/>
                <w:szCs w:val="20"/>
                <w:color w:val="auto"/>
              </w:rPr>
            </w:pPr>
            <w:r>
              <w:rPr>
                <w:rFonts w:ascii="Arial" w:cs="Arial" w:eastAsia="Arial" w:hAnsi="Arial"/>
                <w:sz w:val="15"/>
                <w:szCs w:val="15"/>
                <w:color w:val="auto"/>
              </w:rPr>
              <w:t>Las Vegas Operations Revenue Fair Share of Hotel Rooms (2)</w:t>
            </w:r>
          </w:p>
        </w:tc>
        <w:tc>
          <w:tcPr>
            <w:tcW w:w="940" w:type="dxa"/>
            <w:vAlign w:val="bottom"/>
            <w:shd w:val="clear" w:color="auto" w:fill="D6D1D8"/>
          </w:tcPr>
          <w:p>
            <w:pPr>
              <w:jc w:val="right"/>
              <w:ind w:right="167"/>
              <w:spacing w:after="0"/>
              <w:rPr>
                <w:sz w:val="20"/>
                <w:szCs w:val="20"/>
                <w:color w:val="auto"/>
              </w:rPr>
            </w:pPr>
            <w:r>
              <w:rPr>
                <w:rFonts w:ascii="Arial" w:cs="Arial" w:eastAsia="Arial" w:hAnsi="Arial"/>
                <w:sz w:val="15"/>
                <w:szCs w:val="15"/>
                <w:color w:val="auto"/>
              </w:rPr>
              <w:t>1.7x</w:t>
            </w:r>
          </w:p>
        </w:tc>
        <w:tc>
          <w:tcPr>
            <w:tcW w:w="1000" w:type="dxa"/>
            <w:vAlign w:val="bottom"/>
            <w:shd w:val="clear" w:color="auto" w:fill="D6D1D8"/>
          </w:tcPr>
          <w:p>
            <w:pPr>
              <w:ind w:left="500"/>
              <w:spacing w:after="0"/>
              <w:rPr>
                <w:sz w:val="20"/>
                <w:szCs w:val="20"/>
                <w:color w:val="auto"/>
              </w:rPr>
            </w:pPr>
            <w:r>
              <w:rPr>
                <w:rFonts w:ascii="Arial" w:cs="Arial" w:eastAsia="Arial" w:hAnsi="Arial"/>
                <w:sz w:val="15"/>
                <w:szCs w:val="15"/>
                <w:color w:val="auto"/>
              </w:rPr>
              <w:t>2.1x</w:t>
            </w:r>
          </w:p>
        </w:tc>
        <w:tc>
          <w:tcPr>
            <w:tcW w:w="780" w:type="dxa"/>
            <w:vAlign w:val="bottom"/>
            <w:shd w:val="clear" w:color="auto" w:fill="D6D1D8"/>
          </w:tcPr>
          <w:p>
            <w:pPr>
              <w:ind w:left="100"/>
              <w:spacing w:after="0"/>
              <w:rPr>
                <w:sz w:val="20"/>
                <w:szCs w:val="20"/>
                <w:color w:val="auto"/>
              </w:rPr>
            </w:pPr>
            <w:r>
              <w:rPr>
                <w:rFonts w:ascii="Arial" w:cs="Arial" w:eastAsia="Arial" w:hAnsi="Arial"/>
                <w:sz w:val="15"/>
                <w:szCs w:val="15"/>
                <w:color w:val="auto"/>
              </w:rPr>
              <w:t>Vested</w:t>
            </w:r>
          </w:p>
        </w:tc>
        <w:tc>
          <w:tcPr>
            <w:tcW w:w="740" w:type="dxa"/>
            <w:vAlign w:val="bottom"/>
            <w:shd w:val="clear" w:color="auto" w:fill="D6D1D8"/>
          </w:tcPr>
          <w:p>
            <w:pPr>
              <w:jc w:val="center"/>
              <w:ind w:left="50"/>
              <w:spacing w:after="0"/>
              <w:rPr>
                <w:sz w:val="20"/>
                <w:szCs w:val="20"/>
                <w:color w:val="auto"/>
              </w:rPr>
            </w:pPr>
            <w:r>
              <w:rPr>
                <w:rFonts w:ascii="Arial" w:cs="Arial" w:eastAsia="Arial" w:hAnsi="Arial"/>
                <w:sz w:val="15"/>
                <w:szCs w:val="15"/>
                <w:color w:val="auto"/>
                <w:w w:val="99"/>
              </w:rPr>
              <w:t>50%</w:t>
            </w:r>
          </w:p>
        </w:tc>
      </w:tr>
      <w:tr>
        <w:trPr>
          <w:trHeight w:val="254"/>
        </w:trPr>
        <w:tc>
          <w:tcPr>
            <w:tcW w:w="600" w:type="dxa"/>
            <w:vAlign w:val="bottom"/>
            <w:shd w:val="clear" w:color="auto" w:fill="D6D1D8"/>
          </w:tcPr>
          <w:p>
            <w:pPr>
              <w:spacing w:after="0"/>
              <w:rPr>
                <w:sz w:val="22"/>
                <w:szCs w:val="22"/>
                <w:color w:val="auto"/>
              </w:rPr>
            </w:pPr>
          </w:p>
        </w:tc>
        <w:tc>
          <w:tcPr>
            <w:tcW w:w="780" w:type="dxa"/>
            <w:vAlign w:val="bottom"/>
            <w:shd w:val="clear" w:color="auto" w:fill="D6D1D8"/>
          </w:tcPr>
          <w:p>
            <w:pPr>
              <w:spacing w:after="0"/>
              <w:rPr>
                <w:sz w:val="22"/>
                <w:szCs w:val="22"/>
                <w:color w:val="auto"/>
              </w:rPr>
            </w:pPr>
          </w:p>
        </w:tc>
        <w:tc>
          <w:tcPr>
            <w:tcW w:w="1120" w:type="dxa"/>
            <w:vAlign w:val="bottom"/>
            <w:shd w:val="clear" w:color="auto" w:fill="D6D1D8"/>
          </w:tcPr>
          <w:p>
            <w:pPr>
              <w:ind w:left="120"/>
              <w:spacing w:after="0"/>
              <w:rPr>
                <w:sz w:val="20"/>
                <w:szCs w:val="20"/>
                <w:color w:val="auto"/>
              </w:rPr>
            </w:pPr>
            <w:r>
              <w:rPr>
                <w:rFonts w:ascii="Arial" w:cs="Arial" w:eastAsia="Arial" w:hAnsi="Arial"/>
                <w:sz w:val="15"/>
                <w:szCs w:val="15"/>
                <w:color w:val="auto"/>
              </w:rPr>
              <w:t>12/31/2023</w:t>
            </w:r>
          </w:p>
        </w:tc>
        <w:tc>
          <w:tcPr>
            <w:tcW w:w="4960" w:type="dxa"/>
            <w:vAlign w:val="bottom"/>
            <w:shd w:val="clear" w:color="auto" w:fill="D6D1D8"/>
          </w:tcPr>
          <w:p>
            <w:pPr>
              <w:spacing w:after="0"/>
              <w:rPr>
                <w:sz w:val="22"/>
                <w:szCs w:val="22"/>
                <w:color w:val="auto"/>
              </w:rPr>
            </w:pPr>
          </w:p>
        </w:tc>
        <w:tc>
          <w:tcPr>
            <w:tcW w:w="940" w:type="dxa"/>
            <w:vAlign w:val="bottom"/>
            <w:shd w:val="clear" w:color="auto" w:fill="D6D1D8"/>
          </w:tcPr>
          <w:p>
            <w:pPr>
              <w:spacing w:after="0"/>
              <w:rPr>
                <w:sz w:val="22"/>
                <w:szCs w:val="22"/>
                <w:color w:val="auto"/>
              </w:rPr>
            </w:pPr>
          </w:p>
        </w:tc>
        <w:tc>
          <w:tcPr>
            <w:tcW w:w="1000" w:type="dxa"/>
            <w:vAlign w:val="bottom"/>
            <w:shd w:val="clear" w:color="auto" w:fill="D6D1D8"/>
          </w:tcPr>
          <w:p>
            <w:pPr>
              <w:spacing w:after="0"/>
              <w:rPr>
                <w:sz w:val="22"/>
                <w:szCs w:val="22"/>
                <w:color w:val="auto"/>
              </w:rPr>
            </w:pPr>
          </w:p>
        </w:tc>
        <w:tc>
          <w:tcPr>
            <w:tcW w:w="780" w:type="dxa"/>
            <w:vAlign w:val="bottom"/>
            <w:shd w:val="clear" w:color="auto" w:fill="D6D1D8"/>
          </w:tcPr>
          <w:p>
            <w:pPr>
              <w:spacing w:after="0"/>
              <w:rPr>
                <w:sz w:val="22"/>
                <w:szCs w:val="22"/>
                <w:color w:val="auto"/>
              </w:rPr>
            </w:pPr>
          </w:p>
        </w:tc>
        <w:tc>
          <w:tcPr>
            <w:tcW w:w="740" w:type="dxa"/>
            <w:vAlign w:val="bottom"/>
            <w:shd w:val="clear" w:color="auto" w:fill="D6D1D8"/>
          </w:tcPr>
          <w:p>
            <w:pPr>
              <w:spacing w:after="0"/>
              <w:rPr>
                <w:sz w:val="22"/>
                <w:szCs w:val="22"/>
                <w:color w:val="auto"/>
              </w:rPr>
            </w:pPr>
          </w:p>
        </w:tc>
      </w:tr>
      <w:tr>
        <w:trPr>
          <w:trHeight w:val="72"/>
        </w:trPr>
        <w:tc>
          <w:tcPr>
            <w:tcW w:w="600" w:type="dxa"/>
            <w:vAlign w:val="bottom"/>
            <w:shd w:val="clear" w:color="auto" w:fill="D6D1D8"/>
          </w:tcPr>
          <w:p>
            <w:pPr>
              <w:spacing w:after="0"/>
              <w:rPr>
                <w:sz w:val="6"/>
                <w:szCs w:val="6"/>
                <w:color w:val="auto"/>
              </w:rPr>
            </w:pPr>
          </w:p>
        </w:tc>
        <w:tc>
          <w:tcPr>
            <w:tcW w:w="780" w:type="dxa"/>
            <w:vAlign w:val="bottom"/>
            <w:shd w:val="clear" w:color="auto" w:fill="D6D1D8"/>
          </w:tcPr>
          <w:p>
            <w:pPr>
              <w:spacing w:after="0"/>
              <w:rPr>
                <w:sz w:val="6"/>
                <w:szCs w:val="6"/>
                <w:color w:val="auto"/>
              </w:rPr>
            </w:pPr>
          </w:p>
        </w:tc>
        <w:tc>
          <w:tcPr>
            <w:tcW w:w="1120" w:type="dxa"/>
            <w:vAlign w:val="bottom"/>
            <w:shd w:val="clear" w:color="auto" w:fill="D6D1D8"/>
          </w:tcPr>
          <w:p>
            <w:pPr>
              <w:spacing w:after="0"/>
              <w:rPr>
                <w:sz w:val="6"/>
                <w:szCs w:val="6"/>
                <w:color w:val="auto"/>
              </w:rPr>
            </w:pPr>
          </w:p>
        </w:tc>
        <w:tc>
          <w:tcPr>
            <w:tcW w:w="4960" w:type="dxa"/>
            <w:vAlign w:val="bottom"/>
            <w:shd w:val="clear" w:color="auto" w:fill="D6D1D8"/>
          </w:tcPr>
          <w:p>
            <w:pPr>
              <w:spacing w:after="0"/>
              <w:rPr>
                <w:sz w:val="6"/>
                <w:szCs w:val="6"/>
                <w:color w:val="auto"/>
              </w:rPr>
            </w:pPr>
          </w:p>
        </w:tc>
        <w:tc>
          <w:tcPr>
            <w:tcW w:w="940" w:type="dxa"/>
            <w:vAlign w:val="bottom"/>
            <w:shd w:val="clear" w:color="auto" w:fill="D6D1D8"/>
          </w:tcPr>
          <w:p>
            <w:pPr>
              <w:spacing w:after="0"/>
              <w:rPr>
                <w:sz w:val="6"/>
                <w:szCs w:val="6"/>
                <w:color w:val="auto"/>
              </w:rPr>
            </w:pPr>
          </w:p>
        </w:tc>
        <w:tc>
          <w:tcPr>
            <w:tcW w:w="1000" w:type="dxa"/>
            <w:vAlign w:val="bottom"/>
            <w:shd w:val="clear" w:color="auto" w:fill="D6D1D8"/>
          </w:tcPr>
          <w:p>
            <w:pPr>
              <w:spacing w:after="0"/>
              <w:rPr>
                <w:sz w:val="6"/>
                <w:szCs w:val="6"/>
                <w:color w:val="auto"/>
              </w:rPr>
            </w:pPr>
          </w:p>
        </w:tc>
        <w:tc>
          <w:tcPr>
            <w:tcW w:w="780" w:type="dxa"/>
            <w:vAlign w:val="bottom"/>
            <w:shd w:val="clear" w:color="auto" w:fill="D6D1D8"/>
          </w:tcPr>
          <w:p>
            <w:pPr>
              <w:spacing w:after="0"/>
              <w:rPr>
                <w:sz w:val="6"/>
                <w:szCs w:val="6"/>
                <w:color w:val="auto"/>
              </w:rPr>
            </w:pPr>
          </w:p>
        </w:tc>
        <w:tc>
          <w:tcPr>
            <w:tcW w:w="740" w:type="dxa"/>
            <w:vAlign w:val="bottom"/>
            <w:shd w:val="clear" w:color="auto" w:fill="D6D1D8"/>
          </w:tcPr>
          <w:p>
            <w:pPr>
              <w:spacing w:after="0"/>
              <w:rPr>
                <w:sz w:val="6"/>
                <w:szCs w:val="6"/>
                <w:color w:val="auto"/>
              </w:rPr>
            </w:pPr>
          </w:p>
        </w:tc>
      </w:tr>
      <w:tr>
        <w:trPr>
          <w:trHeight w:val="289"/>
        </w:trPr>
        <w:tc>
          <w:tcPr>
            <w:tcW w:w="600" w:type="dxa"/>
            <w:vAlign w:val="bottom"/>
          </w:tcPr>
          <w:p>
            <w:pPr>
              <w:ind w:left="80"/>
              <w:spacing w:after="0"/>
              <w:rPr>
                <w:sz w:val="20"/>
                <w:szCs w:val="20"/>
                <w:color w:val="auto"/>
              </w:rPr>
            </w:pPr>
            <w:r>
              <w:rPr>
                <w:rFonts w:ascii="Arial" w:cs="Arial" w:eastAsia="Arial" w:hAnsi="Arial"/>
                <w:sz w:val="15"/>
                <w:szCs w:val="15"/>
                <w:color w:val="auto"/>
                <w:w w:val="99"/>
              </w:rPr>
              <w:t>1/12/22</w:t>
            </w:r>
          </w:p>
        </w:tc>
        <w:tc>
          <w:tcPr>
            <w:tcW w:w="780" w:type="dxa"/>
            <w:vAlign w:val="bottom"/>
          </w:tcPr>
          <w:p>
            <w:pPr>
              <w:ind w:left="140"/>
              <w:spacing w:after="0"/>
              <w:rPr>
                <w:sz w:val="20"/>
                <w:szCs w:val="20"/>
                <w:color w:val="auto"/>
              </w:rPr>
            </w:pPr>
            <w:r>
              <w:rPr>
                <w:rFonts w:ascii="Arial" w:cs="Arial" w:eastAsia="Arial" w:hAnsi="Arial"/>
                <w:sz w:val="15"/>
                <w:szCs w:val="15"/>
                <w:color w:val="auto"/>
              </w:rPr>
              <w:t>2/28/24</w:t>
            </w:r>
          </w:p>
        </w:tc>
        <w:tc>
          <w:tcPr>
            <w:tcW w:w="1120" w:type="dxa"/>
            <w:vAlign w:val="bottom"/>
          </w:tcPr>
          <w:p>
            <w:pPr>
              <w:ind w:left="120"/>
              <w:spacing w:after="0"/>
              <w:rPr>
                <w:sz w:val="20"/>
                <w:szCs w:val="20"/>
                <w:color w:val="auto"/>
              </w:rPr>
            </w:pPr>
            <w:r>
              <w:rPr>
                <w:rFonts w:ascii="Arial" w:cs="Arial" w:eastAsia="Arial" w:hAnsi="Arial"/>
                <w:sz w:val="15"/>
                <w:szCs w:val="15"/>
                <w:color w:val="auto"/>
                <w:w w:val="98"/>
              </w:rPr>
              <w:t>2-years ending</w:t>
            </w:r>
          </w:p>
        </w:tc>
        <w:tc>
          <w:tcPr>
            <w:tcW w:w="4960" w:type="dxa"/>
            <w:vAlign w:val="bottom"/>
          </w:tcPr>
          <w:p>
            <w:pPr>
              <w:ind w:left="220"/>
              <w:spacing w:after="0"/>
              <w:rPr>
                <w:sz w:val="20"/>
                <w:szCs w:val="20"/>
                <w:color w:val="auto"/>
              </w:rPr>
            </w:pPr>
            <w:r>
              <w:rPr>
                <w:rFonts w:ascii="Arial" w:cs="Arial" w:eastAsia="Arial" w:hAnsi="Arial"/>
                <w:sz w:val="15"/>
                <w:szCs w:val="15"/>
                <w:color w:val="auto"/>
              </w:rPr>
              <w:t>Las Vegas Operations Adjusted Property EBITDAR (4) Fair Share of</w:t>
            </w:r>
          </w:p>
        </w:tc>
        <w:tc>
          <w:tcPr>
            <w:tcW w:w="940" w:type="dxa"/>
            <w:vAlign w:val="bottom"/>
          </w:tcPr>
          <w:p>
            <w:pPr>
              <w:jc w:val="right"/>
              <w:ind w:right="167"/>
              <w:spacing w:after="0"/>
              <w:rPr>
                <w:sz w:val="20"/>
                <w:szCs w:val="20"/>
                <w:color w:val="auto"/>
              </w:rPr>
            </w:pPr>
            <w:r>
              <w:rPr>
                <w:rFonts w:ascii="Arial" w:cs="Arial" w:eastAsia="Arial" w:hAnsi="Arial"/>
                <w:sz w:val="15"/>
                <w:szCs w:val="15"/>
                <w:color w:val="auto"/>
              </w:rPr>
              <w:t>1.5x</w:t>
            </w:r>
          </w:p>
        </w:tc>
        <w:tc>
          <w:tcPr>
            <w:tcW w:w="1000" w:type="dxa"/>
            <w:vAlign w:val="bottom"/>
          </w:tcPr>
          <w:p>
            <w:pPr>
              <w:ind w:left="500"/>
              <w:spacing w:after="0"/>
              <w:rPr>
                <w:sz w:val="20"/>
                <w:szCs w:val="20"/>
                <w:color w:val="auto"/>
              </w:rPr>
            </w:pPr>
            <w:r>
              <w:rPr>
                <w:rFonts w:ascii="Arial" w:cs="Arial" w:eastAsia="Arial" w:hAnsi="Arial"/>
                <w:sz w:val="15"/>
                <w:szCs w:val="15"/>
                <w:color w:val="auto"/>
              </w:rPr>
              <w:t>2.0x</w:t>
            </w:r>
          </w:p>
        </w:tc>
        <w:tc>
          <w:tcPr>
            <w:tcW w:w="780" w:type="dxa"/>
            <w:vAlign w:val="bottom"/>
          </w:tcPr>
          <w:p>
            <w:pPr>
              <w:ind w:left="100"/>
              <w:spacing w:after="0"/>
              <w:rPr>
                <w:sz w:val="20"/>
                <w:szCs w:val="20"/>
                <w:color w:val="auto"/>
              </w:rPr>
            </w:pPr>
            <w:r>
              <w:rPr>
                <w:rFonts w:ascii="Arial" w:cs="Arial" w:eastAsia="Arial" w:hAnsi="Arial"/>
                <w:sz w:val="15"/>
                <w:szCs w:val="15"/>
                <w:color w:val="auto"/>
              </w:rPr>
              <w:t>Vested</w:t>
            </w:r>
          </w:p>
        </w:tc>
        <w:tc>
          <w:tcPr>
            <w:tcW w:w="740" w:type="dxa"/>
            <w:vAlign w:val="bottom"/>
          </w:tcPr>
          <w:p>
            <w:pPr>
              <w:jc w:val="center"/>
              <w:ind w:left="50"/>
              <w:spacing w:after="0"/>
              <w:rPr>
                <w:sz w:val="20"/>
                <w:szCs w:val="20"/>
                <w:color w:val="auto"/>
              </w:rPr>
            </w:pPr>
            <w:r>
              <w:rPr>
                <w:rFonts w:ascii="Arial" w:cs="Arial" w:eastAsia="Arial" w:hAnsi="Arial"/>
                <w:sz w:val="15"/>
                <w:szCs w:val="15"/>
                <w:color w:val="auto"/>
                <w:w w:val="99"/>
              </w:rPr>
              <w:t>50%</w:t>
            </w:r>
          </w:p>
        </w:tc>
      </w:tr>
      <w:tr>
        <w:trPr>
          <w:trHeight w:val="254"/>
        </w:trPr>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20" w:type="dxa"/>
            <w:vAlign w:val="bottom"/>
          </w:tcPr>
          <w:p>
            <w:pPr>
              <w:ind w:left="120"/>
              <w:spacing w:after="0"/>
              <w:rPr>
                <w:sz w:val="20"/>
                <w:szCs w:val="20"/>
                <w:color w:val="auto"/>
              </w:rPr>
            </w:pPr>
            <w:r>
              <w:rPr>
                <w:rFonts w:ascii="Arial" w:cs="Arial" w:eastAsia="Arial" w:hAnsi="Arial"/>
                <w:sz w:val="15"/>
                <w:szCs w:val="15"/>
                <w:color w:val="auto"/>
              </w:rPr>
              <w:t>12/31/2023</w:t>
            </w:r>
          </w:p>
        </w:tc>
        <w:tc>
          <w:tcPr>
            <w:tcW w:w="4960" w:type="dxa"/>
            <w:vAlign w:val="bottom"/>
          </w:tcPr>
          <w:p>
            <w:pPr>
              <w:ind w:left="220"/>
              <w:spacing w:after="0"/>
              <w:rPr>
                <w:sz w:val="20"/>
                <w:szCs w:val="20"/>
                <w:color w:val="auto"/>
              </w:rPr>
            </w:pPr>
            <w:r>
              <w:rPr>
                <w:rFonts w:ascii="Arial" w:cs="Arial" w:eastAsia="Arial" w:hAnsi="Arial"/>
                <w:sz w:val="15"/>
                <w:szCs w:val="15"/>
                <w:color w:val="auto"/>
              </w:rPr>
              <w:t>Hotel Rooms (2)</w:t>
            </w:r>
          </w:p>
        </w:tc>
        <w:tc>
          <w:tcPr>
            <w:tcW w:w="9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72"/>
        </w:trPr>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9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289"/>
        </w:trPr>
        <w:tc>
          <w:tcPr>
            <w:tcW w:w="600" w:type="dxa"/>
            <w:vAlign w:val="bottom"/>
            <w:shd w:val="clear" w:color="auto" w:fill="D6D1D8"/>
          </w:tcPr>
          <w:p>
            <w:pPr>
              <w:ind w:left="80"/>
              <w:spacing w:after="0"/>
              <w:rPr>
                <w:sz w:val="20"/>
                <w:szCs w:val="20"/>
                <w:color w:val="auto"/>
              </w:rPr>
            </w:pPr>
            <w:r>
              <w:rPr>
                <w:rFonts w:ascii="Arial" w:cs="Arial" w:eastAsia="Arial" w:hAnsi="Arial"/>
                <w:sz w:val="15"/>
                <w:szCs w:val="15"/>
                <w:color w:val="auto"/>
                <w:w w:val="99"/>
              </w:rPr>
              <w:t>1/12/23</w:t>
            </w:r>
          </w:p>
        </w:tc>
        <w:tc>
          <w:tcPr>
            <w:tcW w:w="780" w:type="dxa"/>
            <w:vAlign w:val="bottom"/>
            <w:shd w:val="clear" w:color="auto" w:fill="D6D1D8"/>
          </w:tcPr>
          <w:p>
            <w:pPr>
              <w:ind w:left="140"/>
              <w:spacing w:after="0"/>
              <w:rPr>
                <w:sz w:val="20"/>
                <w:szCs w:val="20"/>
                <w:color w:val="auto"/>
              </w:rPr>
            </w:pPr>
            <w:r>
              <w:rPr>
                <w:rFonts w:ascii="Arial" w:cs="Arial" w:eastAsia="Arial" w:hAnsi="Arial"/>
                <w:sz w:val="15"/>
                <w:szCs w:val="15"/>
                <w:color w:val="auto"/>
              </w:rPr>
              <w:t>2/28/24</w:t>
            </w:r>
          </w:p>
        </w:tc>
        <w:tc>
          <w:tcPr>
            <w:tcW w:w="1120" w:type="dxa"/>
            <w:vAlign w:val="bottom"/>
            <w:shd w:val="clear" w:color="auto" w:fill="D6D1D8"/>
          </w:tcPr>
          <w:p>
            <w:pPr>
              <w:ind w:left="120"/>
              <w:spacing w:after="0"/>
              <w:rPr>
                <w:sz w:val="20"/>
                <w:szCs w:val="20"/>
                <w:color w:val="auto"/>
              </w:rPr>
            </w:pPr>
            <w:r>
              <w:rPr>
                <w:rFonts w:ascii="Arial" w:cs="Arial" w:eastAsia="Arial" w:hAnsi="Arial"/>
                <w:sz w:val="15"/>
                <w:szCs w:val="15"/>
                <w:color w:val="auto"/>
              </w:rPr>
              <w:t>1-year ending</w:t>
            </w:r>
          </w:p>
        </w:tc>
        <w:tc>
          <w:tcPr>
            <w:tcW w:w="4960" w:type="dxa"/>
            <w:vAlign w:val="bottom"/>
            <w:shd w:val="clear" w:color="auto" w:fill="D6D1D8"/>
          </w:tcPr>
          <w:p>
            <w:pPr>
              <w:ind w:left="220"/>
              <w:spacing w:after="0"/>
              <w:rPr>
                <w:sz w:val="20"/>
                <w:szCs w:val="20"/>
                <w:color w:val="auto"/>
              </w:rPr>
            </w:pPr>
            <w:r>
              <w:rPr>
                <w:rFonts w:ascii="Arial" w:cs="Arial" w:eastAsia="Arial" w:hAnsi="Arial"/>
                <w:sz w:val="15"/>
                <w:szCs w:val="15"/>
                <w:color w:val="auto"/>
              </w:rPr>
              <w:t>Las Vegas Operations Revenue Fair Share of Hotel Rooms (2)</w:t>
            </w:r>
          </w:p>
        </w:tc>
        <w:tc>
          <w:tcPr>
            <w:tcW w:w="940" w:type="dxa"/>
            <w:vAlign w:val="bottom"/>
            <w:shd w:val="clear" w:color="auto" w:fill="D6D1D8"/>
          </w:tcPr>
          <w:p>
            <w:pPr>
              <w:jc w:val="right"/>
              <w:ind w:right="167"/>
              <w:spacing w:after="0"/>
              <w:rPr>
                <w:sz w:val="20"/>
                <w:szCs w:val="20"/>
                <w:color w:val="auto"/>
              </w:rPr>
            </w:pPr>
            <w:r>
              <w:rPr>
                <w:rFonts w:ascii="Arial" w:cs="Arial" w:eastAsia="Arial" w:hAnsi="Arial"/>
                <w:sz w:val="15"/>
                <w:szCs w:val="15"/>
                <w:color w:val="auto"/>
              </w:rPr>
              <w:t>1.65x</w:t>
            </w:r>
          </w:p>
        </w:tc>
        <w:tc>
          <w:tcPr>
            <w:tcW w:w="1000" w:type="dxa"/>
            <w:vAlign w:val="bottom"/>
            <w:shd w:val="clear" w:color="auto" w:fill="D6D1D8"/>
          </w:tcPr>
          <w:p>
            <w:pPr>
              <w:ind w:left="500"/>
              <w:spacing w:after="0"/>
              <w:rPr>
                <w:sz w:val="20"/>
                <w:szCs w:val="20"/>
                <w:color w:val="auto"/>
              </w:rPr>
            </w:pPr>
            <w:r>
              <w:rPr>
                <w:rFonts w:ascii="Arial" w:cs="Arial" w:eastAsia="Arial" w:hAnsi="Arial"/>
                <w:sz w:val="15"/>
                <w:szCs w:val="15"/>
                <w:color w:val="auto"/>
              </w:rPr>
              <w:t>2.2x</w:t>
            </w:r>
          </w:p>
        </w:tc>
        <w:tc>
          <w:tcPr>
            <w:tcW w:w="780" w:type="dxa"/>
            <w:vAlign w:val="bottom"/>
            <w:shd w:val="clear" w:color="auto" w:fill="D6D1D8"/>
          </w:tcPr>
          <w:p>
            <w:pPr>
              <w:ind w:left="100"/>
              <w:spacing w:after="0"/>
              <w:rPr>
                <w:sz w:val="20"/>
                <w:szCs w:val="20"/>
                <w:color w:val="auto"/>
              </w:rPr>
            </w:pPr>
            <w:r>
              <w:rPr>
                <w:rFonts w:ascii="Arial" w:cs="Arial" w:eastAsia="Arial" w:hAnsi="Arial"/>
                <w:sz w:val="15"/>
                <w:szCs w:val="15"/>
                <w:color w:val="auto"/>
              </w:rPr>
              <w:t>Vested</w:t>
            </w:r>
          </w:p>
        </w:tc>
        <w:tc>
          <w:tcPr>
            <w:tcW w:w="740" w:type="dxa"/>
            <w:vAlign w:val="bottom"/>
            <w:shd w:val="clear" w:color="auto" w:fill="D6D1D8"/>
          </w:tcPr>
          <w:p>
            <w:pPr>
              <w:jc w:val="center"/>
              <w:ind w:left="50"/>
              <w:spacing w:after="0"/>
              <w:rPr>
                <w:sz w:val="20"/>
                <w:szCs w:val="20"/>
                <w:color w:val="auto"/>
              </w:rPr>
            </w:pPr>
            <w:r>
              <w:rPr>
                <w:rFonts w:ascii="Arial" w:cs="Arial" w:eastAsia="Arial" w:hAnsi="Arial"/>
                <w:sz w:val="15"/>
                <w:szCs w:val="15"/>
                <w:color w:val="auto"/>
                <w:w w:val="99"/>
              </w:rPr>
              <w:t>50%</w:t>
            </w:r>
          </w:p>
        </w:tc>
      </w:tr>
      <w:tr>
        <w:trPr>
          <w:trHeight w:val="254"/>
        </w:trPr>
        <w:tc>
          <w:tcPr>
            <w:tcW w:w="600" w:type="dxa"/>
            <w:vAlign w:val="bottom"/>
            <w:shd w:val="clear" w:color="auto" w:fill="D6D1D8"/>
          </w:tcPr>
          <w:p>
            <w:pPr>
              <w:spacing w:after="0"/>
              <w:rPr>
                <w:sz w:val="22"/>
                <w:szCs w:val="22"/>
                <w:color w:val="auto"/>
              </w:rPr>
            </w:pPr>
          </w:p>
        </w:tc>
        <w:tc>
          <w:tcPr>
            <w:tcW w:w="780" w:type="dxa"/>
            <w:vAlign w:val="bottom"/>
            <w:shd w:val="clear" w:color="auto" w:fill="D6D1D8"/>
          </w:tcPr>
          <w:p>
            <w:pPr>
              <w:spacing w:after="0"/>
              <w:rPr>
                <w:sz w:val="22"/>
                <w:szCs w:val="22"/>
                <w:color w:val="auto"/>
              </w:rPr>
            </w:pPr>
          </w:p>
        </w:tc>
        <w:tc>
          <w:tcPr>
            <w:tcW w:w="1120" w:type="dxa"/>
            <w:vAlign w:val="bottom"/>
            <w:shd w:val="clear" w:color="auto" w:fill="D6D1D8"/>
          </w:tcPr>
          <w:p>
            <w:pPr>
              <w:ind w:left="120"/>
              <w:spacing w:after="0"/>
              <w:rPr>
                <w:sz w:val="20"/>
                <w:szCs w:val="20"/>
                <w:color w:val="auto"/>
              </w:rPr>
            </w:pPr>
            <w:r>
              <w:rPr>
                <w:rFonts w:ascii="Arial" w:cs="Arial" w:eastAsia="Arial" w:hAnsi="Arial"/>
                <w:sz w:val="15"/>
                <w:szCs w:val="15"/>
                <w:color w:val="auto"/>
              </w:rPr>
              <w:t>12/31/2023</w:t>
            </w:r>
          </w:p>
        </w:tc>
        <w:tc>
          <w:tcPr>
            <w:tcW w:w="4960" w:type="dxa"/>
            <w:vAlign w:val="bottom"/>
            <w:shd w:val="clear" w:color="auto" w:fill="D6D1D8"/>
          </w:tcPr>
          <w:p>
            <w:pPr>
              <w:spacing w:after="0"/>
              <w:rPr>
                <w:sz w:val="22"/>
                <w:szCs w:val="22"/>
                <w:color w:val="auto"/>
              </w:rPr>
            </w:pPr>
          </w:p>
        </w:tc>
        <w:tc>
          <w:tcPr>
            <w:tcW w:w="940" w:type="dxa"/>
            <w:vAlign w:val="bottom"/>
            <w:shd w:val="clear" w:color="auto" w:fill="D6D1D8"/>
          </w:tcPr>
          <w:p>
            <w:pPr>
              <w:spacing w:after="0"/>
              <w:rPr>
                <w:sz w:val="22"/>
                <w:szCs w:val="22"/>
                <w:color w:val="auto"/>
              </w:rPr>
            </w:pPr>
          </w:p>
        </w:tc>
        <w:tc>
          <w:tcPr>
            <w:tcW w:w="1000" w:type="dxa"/>
            <w:vAlign w:val="bottom"/>
            <w:shd w:val="clear" w:color="auto" w:fill="D6D1D8"/>
          </w:tcPr>
          <w:p>
            <w:pPr>
              <w:spacing w:after="0"/>
              <w:rPr>
                <w:sz w:val="22"/>
                <w:szCs w:val="22"/>
                <w:color w:val="auto"/>
              </w:rPr>
            </w:pPr>
          </w:p>
        </w:tc>
        <w:tc>
          <w:tcPr>
            <w:tcW w:w="780" w:type="dxa"/>
            <w:vAlign w:val="bottom"/>
            <w:shd w:val="clear" w:color="auto" w:fill="D6D1D8"/>
          </w:tcPr>
          <w:p>
            <w:pPr>
              <w:spacing w:after="0"/>
              <w:rPr>
                <w:sz w:val="22"/>
                <w:szCs w:val="22"/>
                <w:color w:val="auto"/>
              </w:rPr>
            </w:pPr>
          </w:p>
        </w:tc>
        <w:tc>
          <w:tcPr>
            <w:tcW w:w="740" w:type="dxa"/>
            <w:vAlign w:val="bottom"/>
            <w:shd w:val="clear" w:color="auto" w:fill="D6D1D8"/>
          </w:tcPr>
          <w:p>
            <w:pPr>
              <w:spacing w:after="0"/>
              <w:rPr>
                <w:sz w:val="22"/>
                <w:szCs w:val="22"/>
                <w:color w:val="auto"/>
              </w:rPr>
            </w:pPr>
          </w:p>
        </w:tc>
      </w:tr>
      <w:tr>
        <w:trPr>
          <w:trHeight w:val="72"/>
        </w:trPr>
        <w:tc>
          <w:tcPr>
            <w:tcW w:w="600" w:type="dxa"/>
            <w:vAlign w:val="bottom"/>
            <w:shd w:val="clear" w:color="auto" w:fill="D6D1D8"/>
          </w:tcPr>
          <w:p>
            <w:pPr>
              <w:spacing w:after="0"/>
              <w:rPr>
                <w:sz w:val="6"/>
                <w:szCs w:val="6"/>
                <w:color w:val="auto"/>
              </w:rPr>
            </w:pPr>
          </w:p>
        </w:tc>
        <w:tc>
          <w:tcPr>
            <w:tcW w:w="780" w:type="dxa"/>
            <w:vAlign w:val="bottom"/>
            <w:shd w:val="clear" w:color="auto" w:fill="D6D1D8"/>
          </w:tcPr>
          <w:p>
            <w:pPr>
              <w:spacing w:after="0"/>
              <w:rPr>
                <w:sz w:val="6"/>
                <w:szCs w:val="6"/>
                <w:color w:val="auto"/>
              </w:rPr>
            </w:pPr>
          </w:p>
        </w:tc>
        <w:tc>
          <w:tcPr>
            <w:tcW w:w="1120" w:type="dxa"/>
            <w:vAlign w:val="bottom"/>
            <w:shd w:val="clear" w:color="auto" w:fill="D6D1D8"/>
          </w:tcPr>
          <w:p>
            <w:pPr>
              <w:spacing w:after="0"/>
              <w:rPr>
                <w:sz w:val="6"/>
                <w:szCs w:val="6"/>
                <w:color w:val="auto"/>
              </w:rPr>
            </w:pPr>
          </w:p>
        </w:tc>
        <w:tc>
          <w:tcPr>
            <w:tcW w:w="4960" w:type="dxa"/>
            <w:vAlign w:val="bottom"/>
            <w:shd w:val="clear" w:color="auto" w:fill="D6D1D8"/>
          </w:tcPr>
          <w:p>
            <w:pPr>
              <w:spacing w:after="0"/>
              <w:rPr>
                <w:sz w:val="6"/>
                <w:szCs w:val="6"/>
                <w:color w:val="auto"/>
              </w:rPr>
            </w:pPr>
          </w:p>
        </w:tc>
        <w:tc>
          <w:tcPr>
            <w:tcW w:w="940" w:type="dxa"/>
            <w:vAlign w:val="bottom"/>
            <w:shd w:val="clear" w:color="auto" w:fill="D6D1D8"/>
          </w:tcPr>
          <w:p>
            <w:pPr>
              <w:spacing w:after="0"/>
              <w:rPr>
                <w:sz w:val="6"/>
                <w:szCs w:val="6"/>
                <w:color w:val="auto"/>
              </w:rPr>
            </w:pPr>
          </w:p>
        </w:tc>
        <w:tc>
          <w:tcPr>
            <w:tcW w:w="1000" w:type="dxa"/>
            <w:vAlign w:val="bottom"/>
            <w:shd w:val="clear" w:color="auto" w:fill="D6D1D8"/>
          </w:tcPr>
          <w:p>
            <w:pPr>
              <w:spacing w:after="0"/>
              <w:rPr>
                <w:sz w:val="6"/>
                <w:szCs w:val="6"/>
                <w:color w:val="auto"/>
              </w:rPr>
            </w:pPr>
          </w:p>
        </w:tc>
        <w:tc>
          <w:tcPr>
            <w:tcW w:w="780" w:type="dxa"/>
            <w:vAlign w:val="bottom"/>
            <w:shd w:val="clear" w:color="auto" w:fill="D6D1D8"/>
          </w:tcPr>
          <w:p>
            <w:pPr>
              <w:spacing w:after="0"/>
              <w:rPr>
                <w:sz w:val="6"/>
                <w:szCs w:val="6"/>
                <w:color w:val="auto"/>
              </w:rPr>
            </w:pPr>
          </w:p>
        </w:tc>
        <w:tc>
          <w:tcPr>
            <w:tcW w:w="740" w:type="dxa"/>
            <w:vAlign w:val="bottom"/>
            <w:shd w:val="clear" w:color="auto" w:fill="D6D1D8"/>
          </w:tcPr>
          <w:p>
            <w:pPr>
              <w:spacing w:after="0"/>
              <w:rPr>
                <w:sz w:val="6"/>
                <w:szCs w:val="6"/>
                <w:color w:val="auto"/>
              </w:rPr>
            </w:pPr>
          </w:p>
        </w:tc>
      </w:tr>
      <w:tr>
        <w:trPr>
          <w:trHeight w:val="289"/>
        </w:trPr>
        <w:tc>
          <w:tcPr>
            <w:tcW w:w="600" w:type="dxa"/>
            <w:vAlign w:val="bottom"/>
          </w:tcPr>
          <w:p>
            <w:pPr>
              <w:ind w:left="80"/>
              <w:spacing w:after="0"/>
              <w:rPr>
                <w:sz w:val="20"/>
                <w:szCs w:val="20"/>
                <w:color w:val="auto"/>
              </w:rPr>
            </w:pPr>
            <w:r>
              <w:rPr>
                <w:rFonts w:ascii="Arial" w:cs="Arial" w:eastAsia="Arial" w:hAnsi="Arial"/>
                <w:sz w:val="15"/>
                <w:szCs w:val="15"/>
                <w:color w:val="auto"/>
                <w:w w:val="99"/>
              </w:rPr>
              <w:t>1/12/23</w:t>
            </w:r>
          </w:p>
        </w:tc>
        <w:tc>
          <w:tcPr>
            <w:tcW w:w="780" w:type="dxa"/>
            <w:vAlign w:val="bottom"/>
          </w:tcPr>
          <w:p>
            <w:pPr>
              <w:ind w:left="140"/>
              <w:spacing w:after="0"/>
              <w:rPr>
                <w:sz w:val="20"/>
                <w:szCs w:val="20"/>
                <w:color w:val="auto"/>
              </w:rPr>
            </w:pPr>
            <w:r>
              <w:rPr>
                <w:rFonts w:ascii="Arial" w:cs="Arial" w:eastAsia="Arial" w:hAnsi="Arial"/>
                <w:sz w:val="15"/>
                <w:szCs w:val="15"/>
                <w:color w:val="auto"/>
              </w:rPr>
              <w:t>2/28/24</w:t>
            </w:r>
          </w:p>
        </w:tc>
        <w:tc>
          <w:tcPr>
            <w:tcW w:w="1120" w:type="dxa"/>
            <w:vAlign w:val="bottom"/>
          </w:tcPr>
          <w:p>
            <w:pPr>
              <w:ind w:left="120"/>
              <w:spacing w:after="0"/>
              <w:rPr>
                <w:sz w:val="20"/>
                <w:szCs w:val="20"/>
                <w:color w:val="auto"/>
              </w:rPr>
            </w:pPr>
            <w:r>
              <w:rPr>
                <w:rFonts w:ascii="Arial" w:cs="Arial" w:eastAsia="Arial" w:hAnsi="Arial"/>
                <w:sz w:val="15"/>
                <w:szCs w:val="15"/>
                <w:color w:val="auto"/>
              </w:rPr>
              <w:t>1-year ending</w:t>
            </w:r>
          </w:p>
        </w:tc>
        <w:tc>
          <w:tcPr>
            <w:tcW w:w="4960" w:type="dxa"/>
            <w:vAlign w:val="bottom"/>
          </w:tcPr>
          <w:p>
            <w:pPr>
              <w:ind w:left="220"/>
              <w:spacing w:after="0"/>
              <w:rPr>
                <w:sz w:val="20"/>
                <w:szCs w:val="20"/>
                <w:color w:val="auto"/>
              </w:rPr>
            </w:pPr>
            <w:r>
              <w:rPr>
                <w:rFonts w:ascii="Arial" w:cs="Arial" w:eastAsia="Arial" w:hAnsi="Arial"/>
                <w:sz w:val="15"/>
                <w:szCs w:val="15"/>
                <w:color w:val="auto"/>
              </w:rPr>
              <w:t>Las Vegas Operations Adjusted Property EBITDAR (4) Fair Share of</w:t>
            </w:r>
          </w:p>
        </w:tc>
        <w:tc>
          <w:tcPr>
            <w:tcW w:w="940" w:type="dxa"/>
            <w:vAlign w:val="bottom"/>
          </w:tcPr>
          <w:p>
            <w:pPr>
              <w:jc w:val="right"/>
              <w:ind w:right="167"/>
              <w:spacing w:after="0"/>
              <w:rPr>
                <w:sz w:val="20"/>
                <w:szCs w:val="20"/>
                <w:color w:val="auto"/>
              </w:rPr>
            </w:pPr>
            <w:r>
              <w:rPr>
                <w:rFonts w:ascii="Arial" w:cs="Arial" w:eastAsia="Arial" w:hAnsi="Arial"/>
                <w:sz w:val="15"/>
                <w:szCs w:val="15"/>
                <w:color w:val="auto"/>
              </w:rPr>
              <w:t>1.5x</w:t>
            </w:r>
          </w:p>
        </w:tc>
        <w:tc>
          <w:tcPr>
            <w:tcW w:w="1000" w:type="dxa"/>
            <w:vAlign w:val="bottom"/>
          </w:tcPr>
          <w:p>
            <w:pPr>
              <w:ind w:left="500"/>
              <w:spacing w:after="0"/>
              <w:rPr>
                <w:sz w:val="20"/>
                <w:szCs w:val="20"/>
                <w:color w:val="auto"/>
              </w:rPr>
            </w:pPr>
            <w:r>
              <w:rPr>
                <w:rFonts w:ascii="Arial" w:cs="Arial" w:eastAsia="Arial" w:hAnsi="Arial"/>
                <w:sz w:val="15"/>
                <w:szCs w:val="15"/>
                <w:color w:val="auto"/>
              </w:rPr>
              <w:t>2.1x</w:t>
            </w:r>
          </w:p>
        </w:tc>
        <w:tc>
          <w:tcPr>
            <w:tcW w:w="780" w:type="dxa"/>
            <w:vAlign w:val="bottom"/>
          </w:tcPr>
          <w:p>
            <w:pPr>
              <w:ind w:left="100"/>
              <w:spacing w:after="0"/>
              <w:rPr>
                <w:sz w:val="20"/>
                <w:szCs w:val="20"/>
                <w:color w:val="auto"/>
              </w:rPr>
            </w:pPr>
            <w:r>
              <w:rPr>
                <w:rFonts w:ascii="Arial" w:cs="Arial" w:eastAsia="Arial" w:hAnsi="Arial"/>
                <w:sz w:val="15"/>
                <w:szCs w:val="15"/>
                <w:color w:val="auto"/>
              </w:rPr>
              <w:t>Vested</w:t>
            </w:r>
          </w:p>
        </w:tc>
        <w:tc>
          <w:tcPr>
            <w:tcW w:w="740" w:type="dxa"/>
            <w:vAlign w:val="bottom"/>
          </w:tcPr>
          <w:p>
            <w:pPr>
              <w:jc w:val="center"/>
              <w:ind w:left="50"/>
              <w:spacing w:after="0"/>
              <w:rPr>
                <w:sz w:val="20"/>
                <w:szCs w:val="20"/>
                <w:color w:val="auto"/>
              </w:rPr>
            </w:pPr>
            <w:r>
              <w:rPr>
                <w:rFonts w:ascii="Arial" w:cs="Arial" w:eastAsia="Arial" w:hAnsi="Arial"/>
                <w:sz w:val="15"/>
                <w:szCs w:val="15"/>
                <w:color w:val="auto"/>
                <w:w w:val="99"/>
              </w:rPr>
              <w:t>50%</w:t>
            </w:r>
          </w:p>
        </w:tc>
      </w:tr>
      <w:tr>
        <w:trPr>
          <w:trHeight w:val="254"/>
        </w:trPr>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20" w:type="dxa"/>
            <w:vAlign w:val="bottom"/>
          </w:tcPr>
          <w:p>
            <w:pPr>
              <w:ind w:left="120"/>
              <w:spacing w:after="0"/>
              <w:rPr>
                <w:sz w:val="20"/>
                <w:szCs w:val="20"/>
                <w:color w:val="auto"/>
              </w:rPr>
            </w:pPr>
            <w:r>
              <w:rPr>
                <w:rFonts w:ascii="Arial" w:cs="Arial" w:eastAsia="Arial" w:hAnsi="Arial"/>
                <w:sz w:val="15"/>
                <w:szCs w:val="15"/>
                <w:color w:val="auto"/>
              </w:rPr>
              <w:t>12/31/2023</w:t>
            </w:r>
          </w:p>
        </w:tc>
        <w:tc>
          <w:tcPr>
            <w:tcW w:w="4960" w:type="dxa"/>
            <w:vAlign w:val="bottom"/>
          </w:tcPr>
          <w:p>
            <w:pPr>
              <w:ind w:left="220"/>
              <w:spacing w:after="0"/>
              <w:rPr>
                <w:sz w:val="20"/>
                <w:szCs w:val="20"/>
                <w:color w:val="auto"/>
              </w:rPr>
            </w:pPr>
            <w:r>
              <w:rPr>
                <w:rFonts w:ascii="Arial" w:cs="Arial" w:eastAsia="Arial" w:hAnsi="Arial"/>
                <w:sz w:val="15"/>
                <w:szCs w:val="15"/>
                <w:color w:val="auto"/>
              </w:rPr>
              <w:t>Hotel Rooms (2)</w:t>
            </w:r>
          </w:p>
        </w:tc>
        <w:tc>
          <w:tcPr>
            <w:tcW w:w="9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483"/>
        </w:trPr>
        <w:tc>
          <w:tcPr>
            <w:tcW w:w="8400" w:type="dxa"/>
            <w:vAlign w:val="bottom"/>
            <w:gridSpan w:val="5"/>
          </w:tcPr>
          <w:p>
            <w:pPr>
              <w:spacing w:after="0"/>
              <w:rPr>
                <w:sz w:val="20"/>
                <w:szCs w:val="20"/>
                <w:color w:val="auto"/>
              </w:rPr>
            </w:pPr>
            <w:r>
              <w:rPr>
                <w:rFonts w:ascii="Arial" w:cs="Arial" w:eastAsia="Arial" w:hAnsi="Arial"/>
                <w:sz w:val="16"/>
                <w:szCs w:val="16"/>
                <w:color w:val="110F1C"/>
              </w:rPr>
              <w:t>2022 – 2024 GRANT DATE FAIR SHARE PERFORMANCE AWARD VESTING OUTCOMES (VESTED IN 2025)</w:t>
            </w: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1"/>
        </w:trPr>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74"/>
        </w:trPr>
        <w:tc>
          <w:tcPr>
            <w:tcW w:w="600" w:type="dxa"/>
            <w:vAlign w:val="bottom"/>
            <w:shd w:val="clear" w:color="auto" w:fill="351B3D"/>
          </w:tcPr>
          <w:p>
            <w:pPr>
              <w:ind w:left="80"/>
              <w:spacing w:after="0"/>
              <w:rPr>
                <w:sz w:val="20"/>
                <w:szCs w:val="20"/>
                <w:color w:val="auto"/>
              </w:rPr>
            </w:pPr>
            <w:r>
              <w:rPr>
                <w:rFonts w:ascii="Arial" w:cs="Arial" w:eastAsia="Arial" w:hAnsi="Arial"/>
                <w:sz w:val="11"/>
                <w:szCs w:val="11"/>
                <w:color w:val="FFFFFF"/>
              </w:rPr>
              <w:t>GRANT</w:t>
            </w:r>
          </w:p>
        </w:tc>
        <w:tc>
          <w:tcPr>
            <w:tcW w:w="780" w:type="dxa"/>
            <w:vAlign w:val="bottom"/>
            <w:shd w:val="clear" w:color="auto" w:fill="351B3D"/>
          </w:tcPr>
          <w:p>
            <w:pPr>
              <w:ind w:left="320"/>
              <w:spacing w:after="0"/>
              <w:rPr>
                <w:sz w:val="20"/>
                <w:szCs w:val="20"/>
                <w:color w:val="auto"/>
              </w:rPr>
            </w:pPr>
            <w:r>
              <w:rPr>
                <w:rFonts w:ascii="Arial" w:cs="Arial" w:eastAsia="Arial" w:hAnsi="Arial"/>
                <w:sz w:val="11"/>
                <w:szCs w:val="11"/>
                <w:color w:val="FFFFFF"/>
              </w:rPr>
              <w:t>VEST</w:t>
            </w:r>
          </w:p>
        </w:tc>
        <w:tc>
          <w:tcPr>
            <w:tcW w:w="1120" w:type="dxa"/>
            <w:vAlign w:val="bottom"/>
            <w:shd w:val="clear" w:color="auto" w:fill="351B3D"/>
          </w:tcPr>
          <w:p>
            <w:pPr>
              <w:ind w:left="140"/>
              <w:spacing w:after="0"/>
              <w:rPr>
                <w:sz w:val="20"/>
                <w:szCs w:val="20"/>
                <w:color w:val="auto"/>
              </w:rPr>
            </w:pPr>
            <w:r>
              <w:rPr>
                <w:rFonts w:ascii="Arial" w:cs="Arial" w:eastAsia="Arial" w:hAnsi="Arial"/>
                <w:sz w:val="11"/>
                <w:szCs w:val="11"/>
                <w:color w:val="FFFFFF"/>
              </w:rPr>
              <w:t>PERFORMANCE</w:t>
            </w:r>
          </w:p>
        </w:tc>
        <w:tc>
          <w:tcPr>
            <w:tcW w:w="4960" w:type="dxa"/>
            <w:vAlign w:val="bottom"/>
            <w:shd w:val="clear" w:color="auto" w:fill="351B3D"/>
          </w:tcPr>
          <w:p>
            <w:pPr>
              <w:spacing w:after="0"/>
              <w:rPr>
                <w:sz w:val="15"/>
                <w:szCs w:val="15"/>
                <w:color w:val="auto"/>
              </w:rPr>
            </w:pPr>
          </w:p>
        </w:tc>
        <w:tc>
          <w:tcPr>
            <w:tcW w:w="940" w:type="dxa"/>
            <w:vAlign w:val="bottom"/>
            <w:shd w:val="clear" w:color="auto" w:fill="351B3D"/>
          </w:tcPr>
          <w:p>
            <w:pPr>
              <w:spacing w:after="0"/>
              <w:rPr>
                <w:sz w:val="15"/>
                <w:szCs w:val="15"/>
                <w:color w:val="auto"/>
              </w:rPr>
            </w:pPr>
          </w:p>
        </w:tc>
        <w:tc>
          <w:tcPr>
            <w:tcW w:w="1000" w:type="dxa"/>
            <w:vAlign w:val="bottom"/>
            <w:shd w:val="clear" w:color="auto" w:fill="351B3D"/>
          </w:tcPr>
          <w:p>
            <w:pPr>
              <w:spacing w:after="0"/>
              <w:rPr>
                <w:sz w:val="15"/>
                <w:szCs w:val="15"/>
                <w:color w:val="auto"/>
              </w:rPr>
            </w:pPr>
          </w:p>
        </w:tc>
        <w:tc>
          <w:tcPr>
            <w:tcW w:w="780" w:type="dxa"/>
            <w:vAlign w:val="bottom"/>
            <w:shd w:val="clear" w:color="auto" w:fill="351B3D"/>
          </w:tcPr>
          <w:p>
            <w:pPr>
              <w:spacing w:after="0"/>
              <w:rPr>
                <w:sz w:val="15"/>
                <w:szCs w:val="15"/>
                <w:color w:val="auto"/>
              </w:rPr>
            </w:pPr>
          </w:p>
        </w:tc>
        <w:tc>
          <w:tcPr>
            <w:tcW w:w="740" w:type="dxa"/>
            <w:vAlign w:val="bottom"/>
            <w:shd w:val="clear" w:color="auto" w:fill="351B3D"/>
          </w:tcPr>
          <w:p>
            <w:pPr>
              <w:jc w:val="center"/>
              <w:ind w:left="30"/>
              <w:spacing w:after="0"/>
              <w:rPr>
                <w:sz w:val="20"/>
                <w:szCs w:val="20"/>
                <w:color w:val="auto"/>
              </w:rPr>
            </w:pPr>
            <w:r>
              <w:rPr>
                <w:rFonts w:ascii="Arial" w:cs="Arial" w:eastAsia="Arial" w:hAnsi="Arial"/>
                <w:sz w:val="11"/>
                <w:szCs w:val="11"/>
                <w:color w:val="FFFFFF"/>
                <w:w w:val="93"/>
              </w:rPr>
              <w:t>GRANT</w:t>
            </w:r>
          </w:p>
        </w:tc>
      </w:tr>
      <w:tr>
        <w:trPr>
          <w:trHeight w:val="194"/>
        </w:trPr>
        <w:tc>
          <w:tcPr>
            <w:tcW w:w="600" w:type="dxa"/>
            <w:vAlign w:val="bottom"/>
            <w:tcBorders>
              <w:bottom w:val="single" w:sz="8" w:color="351B3D"/>
            </w:tcBorders>
            <w:shd w:val="clear" w:color="auto" w:fill="351B3D"/>
          </w:tcPr>
          <w:p>
            <w:pPr>
              <w:ind w:left="80"/>
              <w:spacing w:after="0"/>
              <w:rPr>
                <w:sz w:val="20"/>
                <w:szCs w:val="20"/>
                <w:color w:val="auto"/>
              </w:rPr>
            </w:pPr>
            <w:r>
              <w:rPr>
                <w:rFonts w:ascii="Arial" w:cs="Arial" w:eastAsia="Arial" w:hAnsi="Arial"/>
                <w:sz w:val="11"/>
                <w:szCs w:val="11"/>
                <w:color w:val="FFFFFF"/>
              </w:rPr>
              <w:t>DATE</w:t>
            </w:r>
          </w:p>
        </w:tc>
        <w:tc>
          <w:tcPr>
            <w:tcW w:w="780" w:type="dxa"/>
            <w:vAlign w:val="bottom"/>
            <w:tcBorders>
              <w:bottom w:val="single" w:sz="8" w:color="351B3D"/>
            </w:tcBorders>
            <w:shd w:val="clear" w:color="auto" w:fill="351B3D"/>
          </w:tcPr>
          <w:p>
            <w:pPr>
              <w:ind w:left="320"/>
              <w:spacing w:after="0"/>
              <w:rPr>
                <w:sz w:val="20"/>
                <w:szCs w:val="20"/>
                <w:color w:val="auto"/>
              </w:rPr>
            </w:pPr>
            <w:r>
              <w:rPr>
                <w:rFonts w:ascii="Arial" w:cs="Arial" w:eastAsia="Arial" w:hAnsi="Arial"/>
                <w:sz w:val="11"/>
                <w:szCs w:val="11"/>
                <w:color w:val="FFFFFF"/>
              </w:rPr>
              <w:t>DATE</w:t>
            </w:r>
          </w:p>
        </w:tc>
        <w:tc>
          <w:tcPr>
            <w:tcW w:w="1120" w:type="dxa"/>
            <w:vAlign w:val="bottom"/>
            <w:tcBorders>
              <w:bottom w:val="single" w:sz="8" w:color="351B3D"/>
            </w:tcBorders>
            <w:shd w:val="clear" w:color="auto" w:fill="351B3D"/>
          </w:tcPr>
          <w:p>
            <w:pPr>
              <w:ind w:left="340"/>
              <w:spacing w:after="0"/>
              <w:rPr>
                <w:sz w:val="20"/>
                <w:szCs w:val="20"/>
                <w:color w:val="auto"/>
              </w:rPr>
            </w:pPr>
            <w:r>
              <w:rPr>
                <w:rFonts w:ascii="Arial" w:cs="Arial" w:eastAsia="Arial" w:hAnsi="Arial"/>
                <w:sz w:val="11"/>
                <w:szCs w:val="11"/>
                <w:color w:val="FFFFFF"/>
              </w:rPr>
              <w:t>PERIOD</w:t>
            </w:r>
          </w:p>
        </w:tc>
        <w:tc>
          <w:tcPr>
            <w:tcW w:w="4960" w:type="dxa"/>
            <w:vAlign w:val="bottom"/>
            <w:tcBorders>
              <w:bottom w:val="single" w:sz="8" w:color="351B3D"/>
            </w:tcBorders>
            <w:shd w:val="clear" w:color="auto" w:fill="351B3D"/>
          </w:tcPr>
          <w:p>
            <w:pPr>
              <w:ind w:left="2240"/>
              <w:spacing w:after="0"/>
              <w:rPr>
                <w:sz w:val="20"/>
                <w:szCs w:val="20"/>
                <w:color w:val="auto"/>
              </w:rPr>
            </w:pPr>
            <w:r>
              <w:rPr>
                <w:rFonts w:ascii="Arial" w:cs="Arial" w:eastAsia="Arial" w:hAnsi="Arial"/>
                <w:sz w:val="11"/>
                <w:szCs w:val="11"/>
                <w:color w:val="FFFFFF"/>
              </w:rPr>
              <w:t>GOAL (1)</w:t>
            </w:r>
          </w:p>
        </w:tc>
        <w:tc>
          <w:tcPr>
            <w:tcW w:w="940" w:type="dxa"/>
            <w:vAlign w:val="bottom"/>
            <w:tcBorders>
              <w:bottom w:val="single" w:sz="8" w:color="351B3D"/>
            </w:tcBorders>
            <w:shd w:val="clear" w:color="auto" w:fill="351B3D"/>
          </w:tcPr>
          <w:p>
            <w:pPr>
              <w:jc w:val="right"/>
              <w:ind w:right="47"/>
              <w:spacing w:after="0"/>
              <w:rPr>
                <w:sz w:val="20"/>
                <w:szCs w:val="20"/>
                <w:color w:val="auto"/>
              </w:rPr>
            </w:pPr>
            <w:r>
              <w:rPr>
                <w:rFonts w:ascii="Arial" w:cs="Arial" w:eastAsia="Arial" w:hAnsi="Arial"/>
                <w:sz w:val="11"/>
                <w:szCs w:val="11"/>
                <w:color w:val="FFFFFF"/>
              </w:rPr>
              <w:t>THRESHOLD</w:t>
            </w:r>
          </w:p>
        </w:tc>
        <w:tc>
          <w:tcPr>
            <w:tcW w:w="1000" w:type="dxa"/>
            <w:vAlign w:val="bottom"/>
            <w:tcBorders>
              <w:bottom w:val="single" w:sz="8" w:color="351B3D"/>
            </w:tcBorders>
            <w:shd w:val="clear" w:color="auto" w:fill="351B3D"/>
          </w:tcPr>
          <w:p>
            <w:pPr>
              <w:ind w:left="120"/>
              <w:spacing w:after="0"/>
              <w:rPr>
                <w:sz w:val="20"/>
                <w:szCs w:val="20"/>
                <w:color w:val="auto"/>
              </w:rPr>
            </w:pPr>
            <w:r>
              <w:rPr>
                <w:rFonts w:ascii="Arial" w:cs="Arial" w:eastAsia="Arial" w:hAnsi="Arial"/>
                <w:sz w:val="11"/>
                <w:szCs w:val="11"/>
                <w:color w:val="FFFFFF"/>
              </w:rPr>
              <w:t>ACHIEVEMENT</w:t>
            </w:r>
          </w:p>
        </w:tc>
        <w:tc>
          <w:tcPr>
            <w:tcW w:w="780" w:type="dxa"/>
            <w:vAlign w:val="bottom"/>
            <w:tcBorders>
              <w:bottom w:val="single" w:sz="8" w:color="351B3D"/>
            </w:tcBorders>
            <w:shd w:val="clear" w:color="auto" w:fill="351B3D"/>
          </w:tcPr>
          <w:p>
            <w:pPr>
              <w:ind w:left="140"/>
              <w:spacing w:after="0"/>
              <w:rPr>
                <w:sz w:val="20"/>
                <w:szCs w:val="20"/>
                <w:color w:val="auto"/>
              </w:rPr>
            </w:pPr>
            <w:r>
              <w:rPr>
                <w:rFonts w:ascii="Arial" w:cs="Arial" w:eastAsia="Arial" w:hAnsi="Arial"/>
                <w:sz w:val="11"/>
                <w:szCs w:val="11"/>
                <w:color w:val="FFFFFF"/>
              </w:rPr>
              <w:t>OUTCOME</w:t>
            </w:r>
          </w:p>
        </w:tc>
        <w:tc>
          <w:tcPr>
            <w:tcW w:w="740" w:type="dxa"/>
            <w:vAlign w:val="bottom"/>
            <w:tcBorders>
              <w:bottom w:val="single" w:sz="8" w:color="351B3D"/>
            </w:tcBorders>
            <w:shd w:val="clear" w:color="auto" w:fill="351B3D"/>
          </w:tcPr>
          <w:p>
            <w:pPr>
              <w:jc w:val="center"/>
              <w:ind w:left="30"/>
              <w:spacing w:after="0"/>
              <w:rPr>
                <w:sz w:val="20"/>
                <w:szCs w:val="20"/>
                <w:color w:val="auto"/>
              </w:rPr>
            </w:pPr>
            <w:r>
              <w:rPr>
                <w:rFonts w:ascii="Arial" w:cs="Arial" w:eastAsia="Arial" w:hAnsi="Arial"/>
                <w:sz w:val="11"/>
                <w:szCs w:val="11"/>
                <w:color w:val="FFFFFF"/>
                <w:w w:val="94"/>
              </w:rPr>
              <w:t>WEIGHTING</w:t>
            </w:r>
          </w:p>
        </w:tc>
      </w:tr>
      <w:tr>
        <w:trPr>
          <w:trHeight w:val="289"/>
        </w:trPr>
        <w:tc>
          <w:tcPr>
            <w:tcW w:w="600" w:type="dxa"/>
            <w:vAlign w:val="bottom"/>
            <w:shd w:val="clear" w:color="auto" w:fill="D6D1D8"/>
          </w:tcPr>
          <w:p>
            <w:pPr>
              <w:ind w:left="80"/>
              <w:spacing w:after="0"/>
              <w:rPr>
                <w:sz w:val="20"/>
                <w:szCs w:val="20"/>
                <w:color w:val="auto"/>
              </w:rPr>
            </w:pPr>
            <w:r>
              <w:rPr>
                <w:rFonts w:ascii="Arial" w:cs="Arial" w:eastAsia="Arial" w:hAnsi="Arial"/>
                <w:sz w:val="15"/>
                <w:szCs w:val="15"/>
                <w:color w:val="auto"/>
                <w:w w:val="99"/>
              </w:rPr>
              <w:t>1/12/22</w:t>
            </w:r>
          </w:p>
        </w:tc>
        <w:tc>
          <w:tcPr>
            <w:tcW w:w="780" w:type="dxa"/>
            <w:vAlign w:val="bottom"/>
            <w:shd w:val="clear" w:color="auto" w:fill="D6D1D8"/>
          </w:tcPr>
          <w:p>
            <w:pPr>
              <w:ind w:left="140"/>
              <w:spacing w:after="0"/>
              <w:rPr>
                <w:sz w:val="20"/>
                <w:szCs w:val="20"/>
                <w:color w:val="auto"/>
              </w:rPr>
            </w:pPr>
            <w:r>
              <w:rPr>
                <w:rFonts w:ascii="Arial" w:cs="Arial" w:eastAsia="Arial" w:hAnsi="Arial"/>
                <w:sz w:val="15"/>
                <w:szCs w:val="15"/>
                <w:color w:val="auto"/>
              </w:rPr>
              <w:t>2/28/25</w:t>
            </w:r>
          </w:p>
        </w:tc>
        <w:tc>
          <w:tcPr>
            <w:tcW w:w="1120" w:type="dxa"/>
            <w:vAlign w:val="bottom"/>
            <w:shd w:val="clear" w:color="auto" w:fill="D6D1D8"/>
          </w:tcPr>
          <w:p>
            <w:pPr>
              <w:ind w:left="120"/>
              <w:spacing w:after="0"/>
              <w:rPr>
                <w:sz w:val="20"/>
                <w:szCs w:val="20"/>
                <w:color w:val="auto"/>
              </w:rPr>
            </w:pPr>
            <w:r>
              <w:rPr>
                <w:rFonts w:ascii="Arial" w:cs="Arial" w:eastAsia="Arial" w:hAnsi="Arial"/>
                <w:sz w:val="15"/>
                <w:szCs w:val="15"/>
                <w:color w:val="auto"/>
              </w:rPr>
              <w:t>3-years</w:t>
            </w:r>
          </w:p>
        </w:tc>
        <w:tc>
          <w:tcPr>
            <w:tcW w:w="4960" w:type="dxa"/>
            <w:vAlign w:val="bottom"/>
            <w:shd w:val="clear" w:color="auto" w:fill="D6D1D8"/>
          </w:tcPr>
          <w:p>
            <w:pPr>
              <w:spacing w:after="0"/>
              <w:rPr>
                <w:sz w:val="20"/>
                <w:szCs w:val="20"/>
                <w:color w:val="auto"/>
              </w:rPr>
            </w:pPr>
            <w:r>
              <w:rPr>
                <w:rFonts w:ascii="Arial" w:cs="Arial" w:eastAsia="Arial" w:hAnsi="Arial"/>
                <w:sz w:val="15"/>
                <w:szCs w:val="15"/>
                <w:color w:val="auto"/>
              </w:rPr>
              <w:t>Las Vegas Operations Revenue Fair Share of Hotel Rooms (2)</w:t>
            </w:r>
          </w:p>
        </w:tc>
        <w:tc>
          <w:tcPr>
            <w:tcW w:w="940" w:type="dxa"/>
            <w:vAlign w:val="bottom"/>
            <w:shd w:val="clear" w:color="auto" w:fill="D6D1D8"/>
          </w:tcPr>
          <w:p>
            <w:pPr>
              <w:jc w:val="right"/>
              <w:ind w:right="147"/>
              <w:spacing w:after="0"/>
              <w:rPr>
                <w:sz w:val="20"/>
                <w:szCs w:val="20"/>
                <w:color w:val="auto"/>
              </w:rPr>
            </w:pPr>
            <w:r>
              <w:rPr>
                <w:rFonts w:ascii="Arial" w:cs="Arial" w:eastAsia="Arial" w:hAnsi="Arial"/>
                <w:sz w:val="15"/>
                <w:szCs w:val="15"/>
                <w:color w:val="auto"/>
              </w:rPr>
              <w:t>1.7x</w:t>
            </w:r>
          </w:p>
        </w:tc>
        <w:tc>
          <w:tcPr>
            <w:tcW w:w="1000" w:type="dxa"/>
            <w:vAlign w:val="bottom"/>
            <w:shd w:val="clear" w:color="auto" w:fill="D6D1D8"/>
          </w:tcPr>
          <w:p>
            <w:pPr>
              <w:ind w:left="500"/>
              <w:spacing w:after="0"/>
              <w:rPr>
                <w:sz w:val="20"/>
                <w:szCs w:val="20"/>
                <w:color w:val="auto"/>
              </w:rPr>
            </w:pPr>
            <w:r>
              <w:rPr>
                <w:rFonts w:ascii="Arial" w:cs="Arial" w:eastAsia="Arial" w:hAnsi="Arial"/>
                <w:sz w:val="15"/>
                <w:szCs w:val="15"/>
                <w:color w:val="auto"/>
              </w:rPr>
              <w:t>2.1x</w:t>
            </w:r>
          </w:p>
        </w:tc>
        <w:tc>
          <w:tcPr>
            <w:tcW w:w="780" w:type="dxa"/>
            <w:vAlign w:val="bottom"/>
            <w:shd w:val="clear" w:color="auto" w:fill="D6D1D8"/>
          </w:tcPr>
          <w:p>
            <w:pPr>
              <w:ind w:left="120"/>
              <w:spacing w:after="0"/>
              <w:rPr>
                <w:sz w:val="20"/>
                <w:szCs w:val="20"/>
                <w:color w:val="auto"/>
              </w:rPr>
            </w:pPr>
            <w:r>
              <w:rPr>
                <w:rFonts w:ascii="Arial" w:cs="Arial" w:eastAsia="Arial" w:hAnsi="Arial"/>
                <w:sz w:val="15"/>
                <w:szCs w:val="15"/>
                <w:color w:val="auto"/>
              </w:rPr>
              <w:t>Vested</w:t>
            </w:r>
          </w:p>
        </w:tc>
        <w:tc>
          <w:tcPr>
            <w:tcW w:w="740" w:type="dxa"/>
            <w:vAlign w:val="bottom"/>
            <w:shd w:val="clear" w:color="auto" w:fill="D6D1D8"/>
          </w:tcPr>
          <w:p>
            <w:pPr>
              <w:jc w:val="center"/>
              <w:ind w:left="50"/>
              <w:spacing w:after="0"/>
              <w:rPr>
                <w:sz w:val="20"/>
                <w:szCs w:val="20"/>
                <w:color w:val="auto"/>
              </w:rPr>
            </w:pPr>
            <w:r>
              <w:rPr>
                <w:rFonts w:ascii="Arial" w:cs="Arial" w:eastAsia="Arial" w:hAnsi="Arial"/>
                <w:sz w:val="15"/>
                <w:szCs w:val="15"/>
                <w:color w:val="auto"/>
                <w:w w:val="99"/>
              </w:rPr>
              <w:t>50%</w:t>
            </w:r>
          </w:p>
        </w:tc>
      </w:tr>
      <w:tr>
        <w:trPr>
          <w:trHeight w:val="254"/>
        </w:trPr>
        <w:tc>
          <w:tcPr>
            <w:tcW w:w="600" w:type="dxa"/>
            <w:vAlign w:val="bottom"/>
            <w:shd w:val="clear" w:color="auto" w:fill="D6D1D8"/>
          </w:tcPr>
          <w:p>
            <w:pPr>
              <w:spacing w:after="0"/>
              <w:rPr>
                <w:sz w:val="22"/>
                <w:szCs w:val="22"/>
                <w:color w:val="auto"/>
              </w:rPr>
            </w:pPr>
          </w:p>
        </w:tc>
        <w:tc>
          <w:tcPr>
            <w:tcW w:w="780" w:type="dxa"/>
            <w:vAlign w:val="bottom"/>
            <w:shd w:val="clear" w:color="auto" w:fill="D6D1D8"/>
          </w:tcPr>
          <w:p>
            <w:pPr>
              <w:spacing w:after="0"/>
              <w:rPr>
                <w:sz w:val="22"/>
                <w:szCs w:val="22"/>
                <w:color w:val="auto"/>
              </w:rPr>
            </w:pPr>
          </w:p>
        </w:tc>
        <w:tc>
          <w:tcPr>
            <w:tcW w:w="1120" w:type="dxa"/>
            <w:vAlign w:val="bottom"/>
            <w:shd w:val="clear" w:color="auto" w:fill="D6D1D8"/>
          </w:tcPr>
          <w:p>
            <w:pPr>
              <w:ind w:left="120"/>
              <w:spacing w:after="0"/>
              <w:rPr>
                <w:sz w:val="20"/>
                <w:szCs w:val="20"/>
                <w:color w:val="auto"/>
              </w:rPr>
            </w:pPr>
            <w:r>
              <w:rPr>
                <w:rFonts w:ascii="Arial" w:cs="Arial" w:eastAsia="Arial" w:hAnsi="Arial"/>
                <w:sz w:val="15"/>
                <w:szCs w:val="15"/>
                <w:color w:val="auto"/>
              </w:rPr>
              <w:t>ending</w:t>
            </w:r>
          </w:p>
        </w:tc>
        <w:tc>
          <w:tcPr>
            <w:tcW w:w="4960" w:type="dxa"/>
            <w:vAlign w:val="bottom"/>
            <w:shd w:val="clear" w:color="auto" w:fill="D6D1D8"/>
          </w:tcPr>
          <w:p>
            <w:pPr>
              <w:spacing w:after="0"/>
              <w:rPr>
                <w:sz w:val="22"/>
                <w:szCs w:val="22"/>
                <w:color w:val="auto"/>
              </w:rPr>
            </w:pPr>
          </w:p>
        </w:tc>
        <w:tc>
          <w:tcPr>
            <w:tcW w:w="940" w:type="dxa"/>
            <w:vAlign w:val="bottom"/>
            <w:shd w:val="clear" w:color="auto" w:fill="D6D1D8"/>
          </w:tcPr>
          <w:p>
            <w:pPr>
              <w:spacing w:after="0"/>
              <w:rPr>
                <w:sz w:val="22"/>
                <w:szCs w:val="22"/>
                <w:color w:val="auto"/>
              </w:rPr>
            </w:pPr>
          </w:p>
        </w:tc>
        <w:tc>
          <w:tcPr>
            <w:tcW w:w="1000" w:type="dxa"/>
            <w:vAlign w:val="bottom"/>
            <w:shd w:val="clear" w:color="auto" w:fill="D6D1D8"/>
          </w:tcPr>
          <w:p>
            <w:pPr>
              <w:spacing w:after="0"/>
              <w:rPr>
                <w:sz w:val="22"/>
                <w:szCs w:val="22"/>
                <w:color w:val="auto"/>
              </w:rPr>
            </w:pPr>
          </w:p>
        </w:tc>
        <w:tc>
          <w:tcPr>
            <w:tcW w:w="780" w:type="dxa"/>
            <w:vAlign w:val="bottom"/>
            <w:shd w:val="clear" w:color="auto" w:fill="D6D1D8"/>
          </w:tcPr>
          <w:p>
            <w:pPr>
              <w:spacing w:after="0"/>
              <w:rPr>
                <w:sz w:val="22"/>
                <w:szCs w:val="22"/>
                <w:color w:val="auto"/>
              </w:rPr>
            </w:pPr>
          </w:p>
        </w:tc>
        <w:tc>
          <w:tcPr>
            <w:tcW w:w="740" w:type="dxa"/>
            <w:vAlign w:val="bottom"/>
            <w:shd w:val="clear" w:color="auto" w:fill="D6D1D8"/>
          </w:tcPr>
          <w:p>
            <w:pPr>
              <w:spacing w:after="0"/>
              <w:rPr>
                <w:sz w:val="22"/>
                <w:szCs w:val="22"/>
                <w:color w:val="auto"/>
              </w:rPr>
            </w:pPr>
          </w:p>
        </w:tc>
      </w:tr>
      <w:tr>
        <w:trPr>
          <w:trHeight w:val="241"/>
        </w:trPr>
        <w:tc>
          <w:tcPr>
            <w:tcW w:w="600" w:type="dxa"/>
            <w:vAlign w:val="bottom"/>
            <w:shd w:val="clear" w:color="auto" w:fill="D6D1D8"/>
          </w:tcPr>
          <w:p>
            <w:pPr>
              <w:spacing w:after="0"/>
              <w:rPr>
                <w:sz w:val="20"/>
                <w:szCs w:val="20"/>
                <w:color w:val="auto"/>
              </w:rPr>
            </w:pPr>
          </w:p>
        </w:tc>
        <w:tc>
          <w:tcPr>
            <w:tcW w:w="780" w:type="dxa"/>
            <w:vAlign w:val="bottom"/>
            <w:shd w:val="clear" w:color="auto" w:fill="D6D1D8"/>
          </w:tcPr>
          <w:p>
            <w:pPr>
              <w:spacing w:after="0"/>
              <w:rPr>
                <w:sz w:val="20"/>
                <w:szCs w:val="20"/>
                <w:color w:val="auto"/>
              </w:rPr>
            </w:pPr>
          </w:p>
        </w:tc>
        <w:tc>
          <w:tcPr>
            <w:tcW w:w="1120" w:type="dxa"/>
            <w:vAlign w:val="bottom"/>
            <w:shd w:val="clear" w:color="auto" w:fill="D6D1D8"/>
          </w:tcPr>
          <w:p>
            <w:pPr>
              <w:ind w:left="120"/>
              <w:spacing w:after="0"/>
              <w:rPr>
                <w:sz w:val="20"/>
                <w:szCs w:val="20"/>
                <w:color w:val="auto"/>
              </w:rPr>
            </w:pPr>
            <w:r>
              <w:rPr>
                <w:rFonts w:ascii="Arial" w:cs="Arial" w:eastAsia="Arial" w:hAnsi="Arial"/>
                <w:sz w:val="15"/>
                <w:szCs w:val="15"/>
                <w:color w:val="auto"/>
              </w:rPr>
              <w:t>12/31/2024</w:t>
            </w:r>
          </w:p>
        </w:tc>
        <w:tc>
          <w:tcPr>
            <w:tcW w:w="4960" w:type="dxa"/>
            <w:vAlign w:val="bottom"/>
            <w:shd w:val="clear" w:color="auto" w:fill="D6D1D8"/>
          </w:tcPr>
          <w:p>
            <w:pPr>
              <w:spacing w:after="0"/>
              <w:rPr>
                <w:sz w:val="20"/>
                <w:szCs w:val="20"/>
                <w:color w:val="auto"/>
              </w:rPr>
            </w:pPr>
          </w:p>
        </w:tc>
        <w:tc>
          <w:tcPr>
            <w:tcW w:w="940" w:type="dxa"/>
            <w:vAlign w:val="bottom"/>
            <w:shd w:val="clear" w:color="auto" w:fill="D6D1D8"/>
          </w:tcPr>
          <w:p>
            <w:pPr>
              <w:spacing w:after="0"/>
              <w:rPr>
                <w:sz w:val="20"/>
                <w:szCs w:val="20"/>
                <w:color w:val="auto"/>
              </w:rPr>
            </w:pPr>
          </w:p>
        </w:tc>
        <w:tc>
          <w:tcPr>
            <w:tcW w:w="1000" w:type="dxa"/>
            <w:vAlign w:val="bottom"/>
            <w:shd w:val="clear" w:color="auto" w:fill="D6D1D8"/>
          </w:tcPr>
          <w:p>
            <w:pPr>
              <w:spacing w:after="0"/>
              <w:rPr>
                <w:sz w:val="20"/>
                <w:szCs w:val="20"/>
                <w:color w:val="auto"/>
              </w:rPr>
            </w:pPr>
          </w:p>
        </w:tc>
        <w:tc>
          <w:tcPr>
            <w:tcW w:w="780" w:type="dxa"/>
            <w:vAlign w:val="bottom"/>
            <w:shd w:val="clear" w:color="auto" w:fill="D6D1D8"/>
          </w:tcPr>
          <w:p>
            <w:pPr>
              <w:spacing w:after="0"/>
              <w:rPr>
                <w:sz w:val="20"/>
                <w:szCs w:val="20"/>
                <w:color w:val="auto"/>
              </w:rPr>
            </w:pPr>
          </w:p>
        </w:tc>
        <w:tc>
          <w:tcPr>
            <w:tcW w:w="740" w:type="dxa"/>
            <w:vAlign w:val="bottom"/>
            <w:shd w:val="clear" w:color="auto" w:fill="D6D1D8"/>
          </w:tcPr>
          <w:p>
            <w:pPr>
              <w:spacing w:after="0"/>
              <w:rPr>
                <w:sz w:val="20"/>
                <w:szCs w:val="20"/>
                <w:color w:val="auto"/>
              </w:rPr>
            </w:pPr>
          </w:p>
        </w:tc>
      </w:tr>
      <w:tr>
        <w:trPr>
          <w:trHeight w:val="86"/>
        </w:trPr>
        <w:tc>
          <w:tcPr>
            <w:tcW w:w="600" w:type="dxa"/>
            <w:vAlign w:val="bottom"/>
            <w:shd w:val="clear" w:color="auto" w:fill="D6D1D8"/>
          </w:tcPr>
          <w:p>
            <w:pPr>
              <w:spacing w:after="0"/>
              <w:rPr>
                <w:sz w:val="7"/>
                <w:szCs w:val="7"/>
                <w:color w:val="auto"/>
              </w:rPr>
            </w:pPr>
          </w:p>
        </w:tc>
        <w:tc>
          <w:tcPr>
            <w:tcW w:w="780" w:type="dxa"/>
            <w:vAlign w:val="bottom"/>
            <w:shd w:val="clear" w:color="auto" w:fill="D6D1D8"/>
          </w:tcPr>
          <w:p>
            <w:pPr>
              <w:spacing w:after="0"/>
              <w:rPr>
                <w:sz w:val="7"/>
                <w:szCs w:val="7"/>
                <w:color w:val="auto"/>
              </w:rPr>
            </w:pPr>
          </w:p>
        </w:tc>
        <w:tc>
          <w:tcPr>
            <w:tcW w:w="1120" w:type="dxa"/>
            <w:vAlign w:val="bottom"/>
            <w:shd w:val="clear" w:color="auto" w:fill="D6D1D8"/>
          </w:tcPr>
          <w:p>
            <w:pPr>
              <w:spacing w:after="0"/>
              <w:rPr>
                <w:sz w:val="7"/>
                <w:szCs w:val="7"/>
                <w:color w:val="auto"/>
              </w:rPr>
            </w:pPr>
          </w:p>
        </w:tc>
        <w:tc>
          <w:tcPr>
            <w:tcW w:w="4960" w:type="dxa"/>
            <w:vAlign w:val="bottom"/>
            <w:shd w:val="clear" w:color="auto" w:fill="D6D1D8"/>
          </w:tcPr>
          <w:p>
            <w:pPr>
              <w:spacing w:after="0"/>
              <w:rPr>
                <w:sz w:val="7"/>
                <w:szCs w:val="7"/>
                <w:color w:val="auto"/>
              </w:rPr>
            </w:pPr>
          </w:p>
        </w:tc>
        <w:tc>
          <w:tcPr>
            <w:tcW w:w="940" w:type="dxa"/>
            <w:vAlign w:val="bottom"/>
            <w:shd w:val="clear" w:color="auto" w:fill="D6D1D8"/>
          </w:tcPr>
          <w:p>
            <w:pPr>
              <w:spacing w:after="0"/>
              <w:rPr>
                <w:sz w:val="7"/>
                <w:szCs w:val="7"/>
                <w:color w:val="auto"/>
              </w:rPr>
            </w:pPr>
          </w:p>
        </w:tc>
        <w:tc>
          <w:tcPr>
            <w:tcW w:w="1000" w:type="dxa"/>
            <w:vAlign w:val="bottom"/>
            <w:shd w:val="clear" w:color="auto" w:fill="D6D1D8"/>
          </w:tcPr>
          <w:p>
            <w:pPr>
              <w:spacing w:after="0"/>
              <w:rPr>
                <w:sz w:val="7"/>
                <w:szCs w:val="7"/>
                <w:color w:val="auto"/>
              </w:rPr>
            </w:pPr>
          </w:p>
        </w:tc>
        <w:tc>
          <w:tcPr>
            <w:tcW w:w="780" w:type="dxa"/>
            <w:vAlign w:val="bottom"/>
            <w:shd w:val="clear" w:color="auto" w:fill="D6D1D8"/>
          </w:tcPr>
          <w:p>
            <w:pPr>
              <w:spacing w:after="0"/>
              <w:rPr>
                <w:sz w:val="7"/>
                <w:szCs w:val="7"/>
                <w:color w:val="auto"/>
              </w:rPr>
            </w:pPr>
          </w:p>
        </w:tc>
        <w:tc>
          <w:tcPr>
            <w:tcW w:w="740" w:type="dxa"/>
            <w:vAlign w:val="bottom"/>
            <w:shd w:val="clear" w:color="auto" w:fill="D6D1D8"/>
          </w:tcPr>
          <w:p>
            <w:pPr>
              <w:spacing w:after="0"/>
              <w:rPr>
                <w:sz w:val="7"/>
                <w:szCs w:val="7"/>
                <w:color w:val="auto"/>
              </w:rPr>
            </w:pPr>
          </w:p>
        </w:tc>
      </w:tr>
      <w:tr>
        <w:trPr>
          <w:trHeight w:val="289"/>
        </w:trPr>
        <w:tc>
          <w:tcPr>
            <w:tcW w:w="600" w:type="dxa"/>
            <w:vAlign w:val="bottom"/>
          </w:tcPr>
          <w:p>
            <w:pPr>
              <w:ind w:left="80"/>
              <w:spacing w:after="0"/>
              <w:rPr>
                <w:sz w:val="20"/>
                <w:szCs w:val="20"/>
                <w:color w:val="auto"/>
              </w:rPr>
            </w:pPr>
            <w:r>
              <w:rPr>
                <w:rFonts w:ascii="Arial" w:cs="Arial" w:eastAsia="Arial" w:hAnsi="Arial"/>
                <w:sz w:val="15"/>
                <w:szCs w:val="15"/>
                <w:color w:val="auto"/>
                <w:w w:val="99"/>
              </w:rPr>
              <w:t>1/12/22</w:t>
            </w:r>
          </w:p>
        </w:tc>
        <w:tc>
          <w:tcPr>
            <w:tcW w:w="780" w:type="dxa"/>
            <w:vAlign w:val="bottom"/>
          </w:tcPr>
          <w:p>
            <w:pPr>
              <w:ind w:left="140"/>
              <w:spacing w:after="0"/>
              <w:rPr>
                <w:sz w:val="20"/>
                <w:szCs w:val="20"/>
                <w:color w:val="auto"/>
              </w:rPr>
            </w:pPr>
            <w:r>
              <w:rPr>
                <w:rFonts w:ascii="Arial" w:cs="Arial" w:eastAsia="Arial" w:hAnsi="Arial"/>
                <w:sz w:val="15"/>
                <w:szCs w:val="15"/>
                <w:color w:val="auto"/>
              </w:rPr>
              <w:t>2/28/25</w:t>
            </w:r>
          </w:p>
        </w:tc>
        <w:tc>
          <w:tcPr>
            <w:tcW w:w="1120" w:type="dxa"/>
            <w:vAlign w:val="bottom"/>
          </w:tcPr>
          <w:p>
            <w:pPr>
              <w:ind w:left="120"/>
              <w:spacing w:after="0"/>
              <w:rPr>
                <w:sz w:val="20"/>
                <w:szCs w:val="20"/>
                <w:color w:val="auto"/>
              </w:rPr>
            </w:pPr>
            <w:r>
              <w:rPr>
                <w:rFonts w:ascii="Arial" w:cs="Arial" w:eastAsia="Arial" w:hAnsi="Arial"/>
                <w:sz w:val="15"/>
                <w:szCs w:val="15"/>
                <w:color w:val="auto"/>
              </w:rPr>
              <w:t>3-years</w:t>
            </w:r>
          </w:p>
        </w:tc>
        <w:tc>
          <w:tcPr>
            <w:tcW w:w="4960" w:type="dxa"/>
            <w:vAlign w:val="bottom"/>
          </w:tcPr>
          <w:p>
            <w:pPr>
              <w:spacing w:after="0"/>
              <w:rPr>
                <w:sz w:val="20"/>
                <w:szCs w:val="20"/>
                <w:color w:val="auto"/>
              </w:rPr>
            </w:pPr>
            <w:r>
              <w:rPr>
                <w:rFonts w:ascii="Arial" w:cs="Arial" w:eastAsia="Arial" w:hAnsi="Arial"/>
                <w:sz w:val="15"/>
                <w:szCs w:val="15"/>
                <w:color w:val="auto"/>
              </w:rPr>
              <w:t>Las Vegas Operations Adjusted Property EBITDAR (4) Fair Share of</w:t>
            </w:r>
          </w:p>
        </w:tc>
        <w:tc>
          <w:tcPr>
            <w:tcW w:w="940" w:type="dxa"/>
            <w:vAlign w:val="bottom"/>
          </w:tcPr>
          <w:p>
            <w:pPr>
              <w:jc w:val="right"/>
              <w:ind w:right="147"/>
              <w:spacing w:after="0"/>
              <w:rPr>
                <w:sz w:val="20"/>
                <w:szCs w:val="20"/>
                <w:color w:val="auto"/>
              </w:rPr>
            </w:pPr>
            <w:r>
              <w:rPr>
                <w:rFonts w:ascii="Arial" w:cs="Arial" w:eastAsia="Arial" w:hAnsi="Arial"/>
                <w:sz w:val="15"/>
                <w:szCs w:val="15"/>
                <w:color w:val="auto"/>
              </w:rPr>
              <w:t>1.5x</w:t>
            </w:r>
          </w:p>
        </w:tc>
        <w:tc>
          <w:tcPr>
            <w:tcW w:w="1000" w:type="dxa"/>
            <w:vAlign w:val="bottom"/>
          </w:tcPr>
          <w:p>
            <w:pPr>
              <w:ind w:left="500"/>
              <w:spacing w:after="0"/>
              <w:rPr>
                <w:sz w:val="20"/>
                <w:szCs w:val="20"/>
                <w:color w:val="auto"/>
              </w:rPr>
            </w:pPr>
            <w:r>
              <w:rPr>
                <w:rFonts w:ascii="Arial" w:cs="Arial" w:eastAsia="Arial" w:hAnsi="Arial"/>
                <w:sz w:val="15"/>
                <w:szCs w:val="15"/>
                <w:color w:val="auto"/>
              </w:rPr>
              <w:t>2.0x</w:t>
            </w:r>
          </w:p>
        </w:tc>
        <w:tc>
          <w:tcPr>
            <w:tcW w:w="780" w:type="dxa"/>
            <w:vAlign w:val="bottom"/>
          </w:tcPr>
          <w:p>
            <w:pPr>
              <w:ind w:left="120"/>
              <w:spacing w:after="0"/>
              <w:rPr>
                <w:sz w:val="20"/>
                <w:szCs w:val="20"/>
                <w:color w:val="auto"/>
              </w:rPr>
            </w:pPr>
            <w:r>
              <w:rPr>
                <w:rFonts w:ascii="Arial" w:cs="Arial" w:eastAsia="Arial" w:hAnsi="Arial"/>
                <w:sz w:val="15"/>
                <w:szCs w:val="15"/>
                <w:color w:val="auto"/>
              </w:rPr>
              <w:t>Vested</w:t>
            </w:r>
          </w:p>
        </w:tc>
        <w:tc>
          <w:tcPr>
            <w:tcW w:w="740" w:type="dxa"/>
            <w:vAlign w:val="bottom"/>
          </w:tcPr>
          <w:p>
            <w:pPr>
              <w:jc w:val="center"/>
              <w:ind w:left="50"/>
              <w:spacing w:after="0"/>
              <w:rPr>
                <w:sz w:val="20"/>
                <w:szCs w:val="20"/>
                <w:color w:val="auto"/>
              </w:rPr>
            </w:pPr>
            <w:r>
              <w:rPr>
                <w:rFonts w:ascii="Arial" w:cs="Arial" w:eastAsia="Arial" w:hAnsi="Arial"/>
                <w:sz w:val="15"/>
                <w:szCs w:val="15"/>
                <w:color w:val="auto"/>
                <w:w w:val="99"/>
              </w:rPr>
              <w:t>50%</w:t>
            </w:r>
          </w:p>
        </w:tc>
      </w:tr>
      <w:tr>
        <w:trPr>
          <w:trHeight w:val="254"/>
        </w:trPr>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20" w:type="dxa"/>
            <w:vAlign w:val="bottom"/>
          </w:tcPr>
          <w:p>
            <w:pPr>
              <w:ind w:left="120"/>
              <w:spacing w:after="0"/>
              <w:rPr>
                <w:sz w:val="20"/>
                <w:szCs w:val="20"/>
                <w:color w:val="auto"/>
              </w:rPr>
            </w:pPr>
            <w:r>
              <w:rPr>
                <w:rFonts w:ascii="Arial" w:cs="Arial" w:eastAsia="Arial" w:hAnsi="Arial"/>
                <w:sz w:val="15"/>
                <w:szCs w:val="15"/>
                <w:color w:val="auto"/>
              </w:rPr>
              <w:t>ending</w:t>
            </w:r>
          </w:p>
        </w:tc>
        <w:tc>
          <w:tcPr>
            <w:tcW w:w="4960" w:type="dxa"/>
            <w:vAlign w:val="bottom"/>
          </w:tcPr>
          <w:p>
            <w:pPr>
              <w:spacing w:after="0"/>
              <w:rPr>
                <w:sz w:val="20"/>
                <w:szCs w:val="20"/>
                <w:color w:val="auto"/>
              </w:rPr>
            </w:pPr>
            <w:r>
              <w:rPr>
                <w:rFonts w:ascii="Arial" w:cs="Arial" w:eastAsia="Arial" w:hAnsi="Arial"/>
                <w:sz w:val="15"/>
                <w:szCs w:val="15"/>
                <w:color w:val="auto"/>
              </w:rPr>
              <w:t>Hotel Rooms (2)</w:t>
            </w:r>
          </w:p>
        </w:tc>
        <w:tc>
          <w:tcPr>
            <w:tcW w:w="9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41"/>
        </w:trPr>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ind w:left="120"/>
              <w:spacing w:after="0"/>
              <w:rPr>
                <w:sz w:val="20"/>
                <w:szCs w:val="20"/>
                <w:color w:val="auto"/>
              </w:rPr>
            </w:pPr>
            <w:r>
              <w:rPr>
                <w:rFonts w:ascii="Arial" w:cs="Arial" w:eastAsia="Arial" w:hAnsi="Arial"/>
                <w:sz w:val="15"/>
                <w:szCs w:val="15"/>
                <w:color w:val="auto"/>
              </w:rPr>
              <w:t>12/31/2024</w:t>
            </w:r>
          </w:p>
        </w:tc>
        <w:tc>
          <w:tcPr>
            <w:tcW w:w="4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86"/>
        </w:trPr>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9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r>
      <w:tr>
        <w:trPr>
          <w:trHeight w:val="289"/>
        </w:trPr>
        <w:tc>
          <w:tcPr>
            <w:tcW w:w="600" w:type="dxa"/>
            <w:vAlign w:val="bottom"/>
            <w:shd w:val="clear" w:color="auto" w:fill="D6D1D8"/>
          </w:tcPr>
          <w:p>
            <w:pPr>
              <w:ind w:left="80"/>
              <w:spacing w:after="0"/>
              <w:rPr>
                <w:sz w:val="20"/>
                <w:szCs w:val="20"/>
                <w:color w:val="auto"/>
              </w:rPr>
            </w:pPr>
            <w:r>
              <w:rPr>
                <w:rFonts w:ascii="Arial" w:cs="Arial" w:eastAsia="Arial" w:hAnsi="Arial"/>
                <w:sz w:val="15"/>
                <w:szCs w:val="15"/>
                <w:color w:val="auto"/>
                <w:w w:val="99"/>
              </w:rPr>
              <w:t>1/12/23</w:t>
            </w:r>
          </w:p>
        </w:tc>
        <w:tc>
          <w:tcPr>
            <w:tcW w:w="780" w:type="dxa"/>
            <w:vAlign w:val="bottom"/>
            <w:shd w:val="clear" w:color="auto" w:fill="D6D1D8"/>
          </w:tcPr>
          <w:p>
            <w:pPr>
              <w:ind w:left="140"/>
              <w:spacing w:after="0"/>
              <w:rPr>
                <w:sz w:val="20"/>
                <w:szCs w:val="20"/>
                <w:color w:val="auto"/>
              </w:rPr>
            </w:pPr>
            <w:r>
              <w:rPr>
                <w:rFonts w:ascii="Arial" w:cs="Arial" w:eastAsia="Arial" w:hAnsi="Arial"/>
                <w:sz w:val="15"/>
                <w:szCs w:val="15"/>
                <w:color w:val="auto"/>
              </w:rPr>
              <w:t>2/28/25</w:t>
            </w:r>
          </w:p>
        </w:tc>
        <w:tc>
          <w:tcPr>
            <w:tcW w:w="1120" w:type="dxa"/>
            <w:vAlign w:val="bottom"/>
            <w:shd w:val="clear" w:color="auto" w:fill="D6D1D8"/>
          </w:tcPr>
          <w:p>
            <w:pPr>
              <w:ind w:left="120"/>
              <w:spacing w:after="0"/>
              <w:rPr>
                <w:sz w:val="20"/>
                <w:szCs w:val="20"/>
                <w:color w:val="auto"/>
              </w:rPr>
            </w:pPr>
            <w:r>
              <w:rPr>
                <w:rFonts w:ascii="Arial" w:cs="Arial" w:eastAsia="Arial" w:hAnsi="Arial"/>
                <w:sz w:val="15"/>
                <w:szCs w:val="15"/>
                <w:color w:val="auto"/>
              </w:rPr>
              <w:t>2-year</w:t>
            </w:r>
          </w:p>
        </w:tc>
        <w:tc>
          <w:tcPr>
            <w:tcW w:w="4960" w:type="dxa"/>
            <w:vAlign w:val="bottom"/>
            <w:shd w:val="clear" w:color="auto" w:fill="D6D1D8"/>
          </w:tcPr>
          <w:p>
            <w:pPr>
              <w:spacing w:after="0"/>
              <w:rPr>
                <w:sz w:val="20"/>
                <w:szCs w:val="20"/>
                <w:color w:val="auto"/>
              </w:rPr>
            </w:pPr>
            <w:r>
              <w:rPr>
                <w:rFonts w:ascii="Arial" w:cs="Arial" w:eastAsia="Arial" w:hAnsi="Arial"/>
                <w:sz w:val="15"/>
                <w:szCs w:val="15"/>
                <w:color w:val="auto"/>
              </w:rPr>
              <w:t>Las Vegas Operations Revenue Fair Share of Hotel Rooms (2)</w:t>
            </w:r>
          </w:p>
        </w:tc>
        <w:tc>
          <w:tcPr>
            <w:tcW w:w="940" w:type="dxa"/>
            <w:vAlign w:val="bottom"/>
            <w:shd w:val="clear" w:color="auto" w:fill="D6D1D8"/>
          </w:tcPr>
          <w:p>
            <w:pPr>
              <w:jc w:val="right"/>
              <w:ind w:right="147"/>
              <w:spacing w:after="0"/>
              <w:rPr>
                <w:sz w:val="20"/>
                <w:szCs w:val="20"/>
                <w:color w:val="auto"/>
              </w:rPr>
            </w:pPr>
            <w:r>
              <w:rPr>
                <w:rFonts w:ascii="Arial" w:cs="Arial" w:eastAsia="Arial" w:hAnsi="Arial"/>
                <w:sz w:val="15"/>
                <w:szCs w:val="15"/>
                <w:color w:val="auto"/>
              </w:rPr>
              <w:t>1.65x</w:t>
            </w:r>
          </w:p>
        </w:tc>
        <w:tc>
          <w:tcPr>
            <w:tcW w:w="1000" w:type="dxa"/>
            <w:vAlign w:val="bottom"/>
            <w:shd w:val="clear" w:color="auto" w:fill="D6D1D8"/>
          </w:tcPr>
          <w:p>
            <w:pPr>
              <w:ind w:left="500"/>
              <w:spacing w:after="0"/>
              <w:rPr>
                <w:sz w:val="20"/>
                <w:szCs w:val="20"/>
                <w:color w:val="auto"/>
              </w:rPr>
            </w:pPr>
            <w:r>
              <w:rPr>
                <w:rFonts w:ascii="Arial" w:cs="Arial" w:eastAsia="Arial" w:hAnsi="Arial"/>
                <w:sz w:val="15"/>
                <w:szCs w:val="15"/>
                <w:color w:val="auto"/>
              </w:rPr>
              <w:t>2.2x</w:t>
            </w:r>
          </w:p>
        </w:tc>
        <w:tc>
          <w:tcPr>
            <w:tcW w:w="780" w:type="dxa"/>
            <w:vAlign w:val="bottom"/>
            <w:shd w:val="clear" w:color="auto" w:fill="D6D1D8"/>
          </w:tcPr>
          <w:p>
            <w:pPr>
              <w:ind w:left="120"/>
              <w:spacing w:after="0"/>
              <w:rPr>
                <w:sz w:val="20"/>
                <w:szCs w:val="20"/>
                <w:color w:val="auto"/>
              </w:rPr>
            </w:pPr>
            <w:r>
              <w:rPr>
                <w:rFonts w:ascii="Arial" w:cs="Arial" w:eastAsia="Arial" w:hAnsi="Arial"/>
                <w:sz w:val="15"/>
                <w:szCs w:val="15"/>
                <w:color w:val="auto"/>
              </w:rPr>
              <w:t>Vested</w:t>
            </w:r>
          </w:p>
        </w:tc>
        <w:tc>
          <w:tcPr>
            <w:tcW w:w="740" w:type="dxa"/>
            <w:vAlign w:val="bottom"/>
            <w:shd w:val="clear" w:color="auto" w:fill="D6D1D8"/>
          </w:tcPr>
          <w:p>
            <w:pPr>
              <w:jc w:val="center"/>
              <w:ind w:left="50"/>
              <w:spacing w:after="0"/>
              <w:rPr>
                <w:sz w:val="20"/>
                <w:szCs w:val="20"/>
                <w:color w:val="auto"/>
              </w:rPr>
            </w:pPr>
            <w:r>
              <w:rPr>
                <w:rFonts w:ascii="Arial" w:cs="Arial" w:eastAsia="Arial" w:hAnsi="Arial"/>
                <w:sz w:val="15"/>
                <w:szCs w:val="15"/>
                <w:color w:val="auto"/>
                <w:w w:val="99"/>
              </w:rPr>
              <w:t>50%</w:t>
            </w:r>
          </w:p>
        </w:tc>
      </w:tr>
      <w:tr>
        <w:trPr>
          <w:trHeight w:val="254"/>
        </w:trPr>
        <w:tc>
          <w:tcPr>
            <w:tcW w:w="600" w:type="dxa"/>
            <w:vAlign w:val="bottom"/>
            <w:shd w:val="clear" w:color="auto" w:fill="D6D1D8"/>
          </w:tcPr>
          <w:p>
            <w:pPr>
              <w:spacing w:after="0"/>
              <w:rPr>
                <w:sz w:val="22"/>
                <w:szCs w:val="22"/>
                <w:color w:val="auto"/>
              </w:rPr>
            </w:pPr>
          </w:p>
        </w:tc>
        <w:tc>
          <w:tcPr>
            <w:tcW w:w="780" w:type="dxa"/>
            <w:vAlign w:val="bottom"/>
            <w:shd w:val="clear" w:color="auto" w:fill="D6D1D8"/>
          </w:tcPr>
          <w:p>
            <w:pPr>
              <w:spacing w:after="0"/>
              <w:rPr>
                <w:sz w:val="22"/>
                <w:szCs w:val="22"/>
                <w:color w:val="auto"/>
              </w:rPr>
            </w:pPr>
          </w:p>
        </w:tc>
        <w:tc>
          <w:tcPr>
            <w:tcW w:w="1120" w:type="dxa"/>
            <w:vAlign w:val="bottom"/>
            <w:shd w:val="clear" w:color="auto" w:fill="D6D1D8"/>
          </w:tcPr>
          <w:p>
            <w:pPr>
              <w:ind w:left="120"/>
              <w:spacing w:after="0"/>
              <w:rPr>
                <w:sz w:val="20"/>
                <w:szCs w:val="20"/>
                <w:color w:val="auto"/>
              </w:rPr>
            </w:pPr>
            <w:r>
              <w:rPr>
                <w:rFonts w:ascii="Arial" w:cs="Arial" w:eastAsia="Arial" w:hAnsi="Arial"/>
                <w:sz w:val="15"/>
                <w:szCs w:val="15"/>
                <w:color w:val="auto"/>
              </w:rPr>
              <w:t>ending</w:t>
            </w:r>
          </w:p>
        </w:tc>
        <w:tc>
          <w:tcPr>
            <w:tcW w:w="4960" w:type="dxa"/>
            <w:vAlign w:val="bottom"/>
            <w:shd w:val="clear" w:color="auto" w:fill="D6D1D8"/>
          </w:tcPr>
          <w:p>
            <w:pPr>
              <w:spacing w:after="0"/>
              <w:rPr>
                <w:sz w:val="22"/>
                <w:szCs w:val="22"/>
                <w:color w:val="auto"/>
              </w:rPr>
            </w:pPr>
          </w:p>
        </w:tc>
        <w:tc>
          <w:tcPr>
            <w:tcW w:w="940" w:type="dxa"/>
            <w:vAlign w:val="bottom"/>
            <w:shd w:val="clear" w:color="auto" w:fill="D6D1D8"/>
          </w:tcPr>
          <w:p>
            <w:pPr>
              <w:spacing w:after="0"/>
              <w:rPr>
                <w:sz w:val="22"/>
                <w:szCs w:val="22"/>
                <w:color w:val="auto"/>
              </w:rPr>
            </w:pPr>
          </w:p>
        </w:tc>
        <w:tc>
          <w:tcPr>
            <w:tcW w:w="1000" w:type="dxa"/>
            <w:vAlign w:val="bottom"/>
            <w:shd w:val="clear" w:color="auto" w:fill="D6D1D8"/>
          </w:tcPr>
          <w:p>
            <w:pPr>
              <w:spacing w:after="0"/>
              <w:rPr>
                <w:sz w:val="22"/>
                <w:szCs w:val="22"/>
                <w:color w:val="auto"/>
              </w:rPr>
            </w:pPr>
          </w:p>
        </w:tc>
        <w:tc>
          <w:tcPr>
            <w:tcW w:w="780" w:type="dxa"/>
            <w:vAlign w:val="bottom"/>
            <w:shd w:val="clear" w:color="auto" w:fill="D6D1D8"/>
          </w:tcPr>
          <w:p>
            <w:pPr>
              <w:spacing w:after="0"/>
              <w:rPr>
                <w:sz w:val="22"/>
                <w:szCs w:val="22"/>
                <w:color w:val="auto"/>
              </w:rPr>
            </w:pPr>
          </w:p>
        </w:tc>
        <w:tc>
          <w:tcPr>
            <w:tcW w:w="740" w:type="dxa"/>
            <w:vAlign w:val="bottom"/>
            <w:shd w:val="clear" w:color="auto" w:fill="D6D1D8"/>
          </w:tcPr>
          <w:p>
            <w:pPr>
              <w:spacing w:after="0"/>
              <w:rPr>
                <w:sz w:val="22"/>
                <w:szCs w:val="22"/>
                <w:color w:val="auto"/>
              </w:rPr>
            </w:pPr>
          </w:p>
        </w:tc>
      </w:tr>
      <w:tr>
        <w:trPr>
          <w:trHeight w:val="241"/>
        </w:trPr>
        <w:tc>
          <w:tcPr>
            <w:tcW w:w="600" w:type="dxa"/>
            <w:vAlign w:val="bottom"/>
            <w:shd w:val="clear" w:color="auto" w:fill="D6D1D8"/>
          </w:tcPr>
          <w:p>
            <w:pPr>
              <w:spacing w:after="0"/>
              <w:rPr>
                <w:sz w:val="20"/>
                <w:szCs w:val="20"/>
                <w:color w:val="auto"/>
              </w:rPr>
            </w:pPr>
          </w:p>
        </w:tc>
        <w:tc>
          <w:tcPr>
            <w:tcW w:w="780" w:type="dxa"/>
            <w:vAlign w:val="bottom"/>
            <w:shd w:val="clear" w:color="auto" w:fill="D6D1D8"/>
          </w:tcPr>
          <w:p>
            <w:pPr>
              <w:spacing w:after="0"/>
              <w:rPr>
                <w:sz w:val="20"/>
                <w:szCs w:val="20"/>
                <w:color w:val="auto"/>
              </w:rPr>
            </w:pPr>
          </w:p>
        </w:tc>
        <w:tc>
          <w:tcPr>
            <w:tcW w:w="1120" w:type="dxa"/>
            <w:vAlign w:val="bottom"/>
            <w:shd w:val="clear" w:color="auto" w:fill="D6D1D8"/>
          </w:tcPr>
          <w:p>
            <w:pPr>
              <w:ind w:left="120"/>
              <w:spacing w:after="0"/>
              <w:rPr>
                <w:sz w:val="20"/>
                <w:szCs w:val="20"/>
                <w:color w:val="auto"/>
              </w:rPr>
            </w:pPr>
            <w:r>
              <w:rPr>
                <w:rFonts w:ascii="Arial" w:cs="Arial" w:eastAsia="Arial" w:hAnsi="Arial"/>
                <w:sz w:val="15"/>
                <w:szCs w:val="15"/>
                <w:color w:val="auto"/>
              </w:rPr>
              <w:t>12/31/2024</w:t>
            </w:r>
          </w:p>
        </w:tc>
        <w:tc>
          <w:tcPr>
            <w:tcW w:w="4960" w:type="dxa"/>
            <w:vAlign w:val="bottom"/>
            <w:shd w:val="clear" w:color="auto" w:fill="D6D1D8"/>
          </w:tcPr>
          <w:p>
            <w:pPr>
              <w:spacing w:after="0"/>
              <w:rPr>
                <w:sz w:val="20"/>
                <w:szCs w:val="20"/>
                <w:color w:val="auto"/>
              </w:rPr>
            </w:pPr>
          </w:p>
        </w:tc>
        <w:tc>
          <w:tcPr>
            <w:tcW w:w="940" w:type="dxa"/>
            <w:vAlign w:val="bottom"/>
            <w:shd w:val="clear" w:color="auto" w:fill="D6D1D8"/>
          </w:tcPr>
          <w:p>
            <w:pPr>
              <w:spacing w:after="0"/>
              <w:rPr>
                <w:sz w:val="20"/>
                <w:szCs w:val="20"/>
                <w:color w:val="auto"/>
              </w:rPr>
            </w:pPr>
          </w:p>
        </w:tc>
        <w:tc>
          <w:tcPr>
            <w:tcW w:w="1000" w:type="dxa"/>
            <w:vAlign w:val="bottom"/>
            <w:shd w:val="clear" w:color="auto" w:fill="D6D1D8"/>
          </w:tcPr>
          <w:p>
            <w:pPr>
              <w:spacing w:after="0"/>
              <w:rPr>
                <w:sz w:val="20"/>
                <w:szCs w:val="20"/>
                <w:color w:val="auto"/>
              </w:rPr>
            </w:pPr>
          </w:p>
        </w:tc>
        <w:tc>
          <w:tcPr>
            <w:tcW w:w="780" w:type="dxa"/>
            <w:vAlign w:val="bottom"/>
            <w:shd w:val="clear" w:color="auto" w:fill="D6D1D8"/>
          </w:tcPr>
          <w:p>
            <w:pPr>
              <w:spacing w:after="0"/>
              <w:rPr>
                <w:sz w:val="20"/>
                <w:szCs w:val="20"/>
                <w:color w:val="auto"/>
              </w:rPr>
            </w:pPr>
          </w:p>
        </w:tc>
        <w:tc>
          <w:tcPr>
            <w:tcW w:w="740" w:type="dxa"/>
            <w:vAlign w:val="bottom"/>
            <w:shd w:val="clear" w:color="auto" w:fill="D6D1D8"/>
          </w:tcPr>
          <w:p>
            <w:pPr>
              <w:spacing w:after="0"/>
              <w:rPr>
                <w:sz w:val="20"/>
                <w:szCs w:val="20"/>
                <w:color w:val="auto"/>
              </w:rPr>
            </w:pPr>
          </w:p>
        </w:tc>
      </w:tr>
      <w:tr>
        <w:trPr>
          <w:trHeight w:val="86"/>
        </w:trPr>
        <w:tc>
          <w:tcPr>
            <w:tcW w:w="600" w:type="dxa"/>
            <w:vAlign w:val="bottom"/>
            <w:shd w:val="clear" w:color="auto" w:fill="D6D1D8"/>
          </w:tcPr>
          <w:p>
            <w:pPr>
              <w:spacing w:after="0"/>
              <w:rPr>
                <w:sz w:val="7"/>
                <w:szCs w:val="7"/>
                <w:color w:val="auto"/>
              </w:rPr>
            </w:pPr>
          </w:p>
        </w:tc>
        <w:tc>
          <w:tcPr>
            <w:tcW w:w="780" w:type="dxa"/>
            <w:vAlign w:val="bottom"/>
            <w:shd w:val="clear" w:color="auto" w:fill="D6D1D8"/>
          </w:tcPr>
          <w:p>
            <w:pPr>
              <w:spacing w:after="0"/>
              <w:rPr>
                <w:sz w:val="7"/>
                <w:szCs w:val="7"/>
                <w:color w:val="auto"/>
              </w:rPr>
            </w:pPr>
          </w:p>
        </w:tc>
        <w:tc>
          <w:tcPr>
            <w:tcW w:w="1120" w:type="dxa"/>
            <w:vAlign w:val="bottom"/>
            <w:shd w:val="clear" w:color="auto" w:fill="D6D1D8"/>
          </w:tcPr>
          <w:p>
            <w:pPr>
              <w:spacing w:after="0"/>
              <w:rPr>
                <w:sz w:val="7"/>
                <w:szCs w:val="7"/>
                <w:color w:val="auto"/>
              </w:rPr>
            </w:pPr>
          </w:p>
        </w:tc>
        <w:tc>
          <w:tcPr>
            <w:tcW w:w="4960" w:type="dxa"/>
            <w:vAlign w:val="bottom"/>
            <w:shd w:val="clear" w:color="auto" w:fill="D6D1D8"/>
          </w:tcPr>
          <w:p>
            <w:pPr>
              <w:spacing w:after="0"/>
              <w:rPr>
                <w:sz w:val="7"/>
                <w:szCs w:val="7"/>
                <w:color w:val="auto"/>
              </w:rPr>
            </w:pPr>
          </w:p>
        </w:tc>
        <w:tc>
          <w:tcPr>
            <w:tcW w:w="940" w:type="dxa"/>
            <w:vAlign w:val="bottom"/>
            <w:shd w:val="clear" w:color="auto" w:fill="D6D1D8"/>
          </w:tcPr>
          <w:p>
            <w:pPr>
              <w:spacing w:after="0"/>
              <w:rPr>
                <w:sz w:val="7"/>
                <w:szCs w:val="7"/>
                <w:color w:val="auto"/>
              </w:rPr>
            </w:pPr>
          </w:p>
        </w:tc>
        <w:tc>
          <w:tcPr>
            <w:tcW w:w="1000" w:type="dxa"/>
            <w:vAlign w:val="bottom"/>
            <w:shd w:val="clear" w:color="auto" w:fill="D6D1D8"/>
          </w:tcPr>
          <w:p>
            <w:pPr>
              <w:spacing w:after="0"/>
              <w:rPr>
                <w:sz w:val="7"/>
                <w:szCs w:val="7"/>
                <w:color w:val="auto"/>
              </w:rPr>
            </w:pPr>
          </w:p>
        </w:tc>
        <w:tc>
          <w:tcPr>
            <w:tcW w:w="780" w:type="dxa"/>
            <w:vAlign w:val="bottom"/>
            <w:shd w:val="clear" w:color="auto" w:fill="D6D1D8"/>
          </w:tcPr>
          <w:p>
            <w:pPr>
              <w:spacing w:after="0"/>
              <w:rPr>
                <w:sz w:val="7"/>
                <w:szCs w:val="7"/>
                <w:color w:val="auto"/>
              </w:rPr>
            </w:pPr>
          </w:p>
        </w:tc>
        <w:tc>
          <w:tcPr>
            <w:tcW w:w="740" w:type="dxa"/>
            <w:vAlign w:val="bottom"/>
            <w:shd w:val="clear" w:color="auto" w:fill="D6D1D8"/>
          </w:tcPr>
          <w:p>
            <w:pPr>
              <w:spacing w:after="0"/>
              <w:rPr>
                <w:sz w:val="7"/>
                <w:szCs w:val="7"/>
                <w:color w:val="auto"/>
              </w:rPr>
            </w:pPr>
          </w:p>
        </w:tc>
      </w:tr>
      <w:tr>
        <w:trPr>
          <w:trHeight w:val="289"/>
        </w:trPr>
        <w:tc>
          <w:tcPr>
            <w:tcW w:w="600" w:type="dxa"/>
            <w:vAlign w:val="bottom"/>
          </w:tcPr>
          <w:p>
            <w:pPr>
              <w:ind w:left="80"/>
              <w:spacing w:after="0"/>
              <w:rPr>
                <w:sz w:val="20"/>
                <w:szCs w:val="20"/>
                <w:color w:val="auto"/>
              </w:rPr>
            </w:pPr>
            <w:r>
              <w:rPr>
                <w:rFonts w:ascii="Arial" w:cs="Arial" w:eastAsia="Arial" w:hAnsi="Arial"/>
                <w:sz w:val="15"/>
                <w:szCs w:val="15"/>
                <w:color w:val="auto"/>
                <w:w w:val="99"/>
              </w:rPr>
              <w:t>1/12/23</w:t>
            </w:r>
          </w:p>
        </w:tc>
        <w:tc>
          <w:tcPr>
            <w:tcW w:w="780" w:type="dxa"/>
            <w:vAlign w:val="bottom"/>
          </w:tcPr>
          <w:p>
            <w:pPr>
              <w:ind w:left="140"/>
              <w:spacing w:after="0"/>
              <w:rPr>
                <w:sz w:val="20"/>
                <w:szCs w:val="20"/>
                <w:color w:val="auto"/>
              </w:rPr>
            </w:pPr>
            <w:r>
              <w:rPr>
                <w:rFonts w:ascii="Arial" w:cs="Arial" w:eastAsia="Arial" w:hAnsi="Arial"/>
                <w:sz w:val="15"/>
                <w:szCs w:val="15"/>
                <w:color w:val="auto"/>
              </w:rPr>
              <w:t>2/28/25</w:t>
            </w:r>
          </w:p>
        </w:tc>
        <w:tc>
          <w:tcPr>
            <w:tcW w:w="1120" w:type="dxa"/>
            <w:vAlign w:val="bottom"/>
          </w:tcPr>
          <w:p>
            <w:pPr>
              <w:ind w:left="120"/>
              <w:spacing w:after="0"/>
              <w:rPr>
                <w:sz w:val="20"/>
                <w:szCs w:val="20"/>
                <w:color w:val="auto"/>
              </w:rPr>
            </w:pPr>
            <w:r>
              <w:rPr>
                <w:rFonts w:ascii="Arial" w:cs="Arial" w:eastAsia="Arial" w:hAnsi="Arial"/>
                <w:sz w:val="15"/>
                <w:szCs w:val="15"/>
                <w:color w:val="auto"/>
              </w:rPr>
              <w:t>2-year</w:t>
            </w:r>
          </w:p>
        </w:tc>
        <w:tc>
          <w:tcPr>
            <w:tcW w:w="4960" w:type="dxa"/>
            <w:vAlign w:val="bottom"/>
          </w:tcPr>
          <w:p>
            <w:pPr>
              <w:spacing w:after="0"/>
              <w:rPr>
                <w:sz w:val="20"/>
                <w:szCs w:val="20"/>
                <w:color w:val="auto"/>
              </w:rPr>
            </w:pPr>
            <w:r>
              <w:rPr>
                <w:rFonts w:ascii="Arial" w:cs="Arial" w:eastAsia="Arial" w:hAnsi="Arial"/>
                <w:sz w:val="15"/>
                <w:szCs w:val="15"/>
                <w:color w:val="auto"/>
              </w:rPr>
              <w:t>Las Vegas Operations Adjusted Property EBITDAR (4) Fair Share of</w:t>
            </w:r>
          </w:p>
        </w:tc>
        <w:tc>
          <w:tcPr>
            <w:tcW w:w="940" w:type="dxa"/>
            <w:vAlign w:val="bottom"/>
          </w:tcPr>
          <w:p>
            <w:pPr>
              <w:jc w:val="right"/>
              <w:ind w:right="147"/>
              <w:spacing w:after="0"/>
              <w:rPr>
                <w:sz w:val="20"/>
                <w:szCs w:val="20"/>
                <w:color w:val="auto"/>
              </w:rPr>
            </w:pPr>
            <w:r>
              <w:rPr>
                <w:rFonts w:ascii="Arial" w:cs="Arial" w:eastAsia="Arial" w:hAnsi="Arial"/>
                <w:sz w:val="15"/>
                <w:szCs w:val="15"/>
                <w:color w:val="auto"/>
              </w:rPr>
              <w:t>1.5x</w:t>
            </w:r>
          </w:p>
        </w:tc>
        <w:tc>
          <w:tcPr>
            <w:tcW w:w="1000" w:type="dxa"/>
            <w:vAlign w:val="bottom"/>
          </w:tcPr>
          <w:p>
            <w:pPr>
              <w:ind w:left="500"/>
              <w:spacing w:after="0"/>
              <w:rPr>
                <w:sz w:val="20"/>
                <w:szCs w:val="20"/>
                <w:color w:val="auto"/>
              </w:rPr>
            </w:pPr>
            <w:r>
              <w:rPr>
                <w:rFonts w:ascii="Arial" w:cs="Arial" w:eastAsia="Arial" w:hAnsi="Arial"/>
                <w:sz w:val="15"/>
                <w:szCs w:val="15"/>
                <w:color w:val="auto"/>
              </w:rPr>
              <w:t>2.1x</w:t>
            </w:r>
          </w:p>
        </w:tc>
        <w:tc>
          <w:tcPr>
            <w:tcW w:w="780" w:type="dxa"/>
            <w:vAlign w:val="bottom"/>
          </w:tcPr>
          <w:p>
            <w:pPr>
              <w:ind w:left="120"/>
              <w:spacing w:after="0"/>
              <w:rPr>
                <w:sz w:val="20"/>
                <w:szCs w:val="20"/>
                <w:color w:val="auto"/>
              </w:rPr>
            </w:pPr>
            <w:r>
              <w:rPr>
                <w:rFonts w:ascii="Arial" w:cs="Arial" w:eastAsia="Arial" w:hAnsi="Arial"/>
                <w:sz w:val="15"/>
                <w:szCs w:val="15"/>
                <w:color w:val="auto"/>
              </w:rPr>
              <w:t>Vested</w:t>
            </w:r>
          </w:p>
        </w:tc>
        <w:tc>
          <w:tcPr>
            <w:tcW w:w="740" w:type="dxa"/>
            <w:vAlign w:val="bottom"/>
          </w:tcPr>
          <w:p>
            <w:pPr>
              <w:jc w:val="center"/>
              <w:ind w:left="50"/>
              <w:spacing w:after="0"/>
              <w:rPr>
                <w:sz w:val="20"/>
                <w:szCs w:val="20"/>
                <w:color w:val="auto"/>
              </w:rPr>
            </w:pPr>
            <w:r>
              <w:rPr>
                <w:rFonts w:ascii="Arial" w:cs="Arial" w:eastAsia="Arial" w:hAnsi="Arial"/>
                <w:sz w:val="15"/>
                <w:szCs w:val="15"/>
                <w:color w:val="auto"/>
                <w:w w:val="99"/>
              </w:rPr>
              <w:t>50%</w:t>
            </w:r>
          </w:p>
        </w:tc>
      </w:tr>
      <w:tr>
        <w:trPr>
          <w:trHeight w:val="254"/>
        </w:trPr>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20" w:type="dxa"/>
            <w:vAlign w:val="bottom"/>
          </w:tcPr>
          <w:p>
            <w:pPr>
              <w:ind w:left="120"/>
              <w:spacing w:after="0"/>
              <w:rPr>
                <w:sz w:val="20"/>
                <w:szCs w:val="20"/>
                <w:color w:val="auto"/>
              </w:rPr>
            </w:pPr>
            <w:r>
              <w:rPr>
                <w:rFonts w:ascii="Arial" w:cs="Arial" w:eastAsia="Arial" w:hAnsi="Arial"/>
                <w:sz w:val="15"/>
                <w:szCs w:val="15"/>
                <w:color w:val="auto"/>
              </w:rPr>
              <w:t>ending</w:t>
            </w:r>
          </w:p>
        </w:tc>
        <w:tc>
          <w:tcPr>
            <w:tcW w:w="4960" w:type="dxa"/>
            <w:vAlign w:val="bottom"/>
          </w:tcPr>
          <w:p>
            <w:pPr>
              <w:spacing w:after="0"/>
              <w:rPr>
                <w:sz w:val="20"/>
                <w:szCs w:val="20"/>
                <w:color w:val="auto"/>
              </w:rPr>
            </w:pPr>
            <w:r>
              <w:rPr>
                <w:rFonts w:ascii="Arial" w:cs="Arial" w:eastAsia="Arial" w:hAnsi="Arial"/>
                <w:sz w:val="15"/>
                <w:szCs w:val="15"/>
                <w:color w:val="auto"/>
              </w:rPr>
              <w:t>Hotel Rooms (2)</w:t>
            </w:r>
          </w:p>
        </w:tc>
        <w:tc>
          <w:tcPr>
            <w:tcW w:w="9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41"/>
        </w:trPr>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ind w:left="120"/>
              <w:spacing w:after="0"/>
              <w:rPr>
                <w:sz w:val="20"/>
                <w:szCs w:val="20"/>
                <w:color w:val="auto"/>
              </w:rPr>
            </w:pPr>
            <w:r>
              <w:rPr>
                <w:rFonts w:ascii="Arial" w:cs="Arial" w:eastAsia="Arial" w:hAnsi="Arial"/>
                <w:sz w:val="15"/>
                <w:szCs w:val="15"/>
                <w:color w:val="auto"/>
              </w:rPr>
              <w:t>12/31/2024</w:t>
            </w:r>
          </w:p>
        </w:tc>
        <w:tc>
          <w:tcPr>
            <w:tcW w:w="4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86"/>
        </w:trPr>
        <w:tc>
          <w:tcPr>
            <w:tcW w:w="600" w:type="dxa"/>
            <w:vAlign w:val="bottom"/>
          </w:tcPr>
          <w:p>
            <w:pPr>
              <w:spacing w:after="0"/>
              <w:rPr>
                <w:sz w:val="7"/>
                <w:szCs w:val="7"/>
                <w:color w:val="auto"/>
              </w:rPr>
            </w:pPr>
          </w:p>
        </w:tc>
        <w:tc>
          <w:tcPr>
            <w:tcW w:w="1900" w:type="dxa"/>
            <w:vAlign w:val="bottom"/>
            <w:gridSpan w:val="2"/>
          </w:tcPr>
          <w:p>
            <w:pPr>
              <w:spacing w:after="0"/>
              <w:rPr>
                <w:sz w:val="7"/>
                <w:szCs w:val="7"/>
                <w:color w:val="auto"/>
              </w:rPr>
            </w:pPr>
          </w:p>
        </w:tc>
        <w:tc>
          <w:tcPr>
            <w:tcW w:w="49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r>
      <w:tr>
        <w:trPr>
          <w:trHeight w:val="289"/>
        </w:trPr>
        <w:tc>
          <w:tcPr>
            <w:tcW w:w="600" w:type="dxa"/>
            <w:vAlign w:val="bottom"/>
            <w:shd w:val="clear" w:color="auto" w:fill="D6D1D8"/>
          </w:tcPr>
          <w:p>
            <w:pPr>
              <w:ind w:left="80"/>
              <w:spacing w:after="0"/>
              <w:rPr>
                <w:sz w:val="20"/>
                <w:szCs w:val="20"/>
                <w:color w:val="auto"/>
              </w:rPr>
            </w:pPr>
            <w:r>
              <w:rPr>
                <w:rFonts w:ascii="Arial" w:cs="Arial" w:eastAsia="Arial" w:hAnsi="Arial"/>
                <w:sz w:val="15"/>
                <w:szCs w:val="15"/>
                <w:color w:val="auto"/>
              </w:rPr>
              <w:t>1/9/24</w:t>
            </w:r>
          </w:p>
        </w:tc>
        <w:tc>
          <w:tcPr>
            <w:tcW w:w="1900" w:type="dxa"/>
            <w:vAlign w:val="bottom"/>
            <w:gridSpan w:val="2"/>
            <w:shd w:val="clear" w:color="auto" w:fill="D6D1D8"/>
          </w:tcPr>
          <w:p>
            <w:pPr>
              <w:ind w:left="140"/>
              <w:spacing w:after="0"/>
              <w:rPr>
                <w:sz w:val="20"/>
                <w:szCs w:val="20"/>
                <w:color w:val="auto"/>
              </w:rPr>
            </w:pPr>
            <w:r>
              <w:rPr>
                <w:rFonts w:ascii="Arial" w:cs="Arial" w:eastAsia="Arial" w:hAnsi="Arial"/>
                <w:sz w:val="15"/>
                <w:szCs w:val="15"/>
                <w:color w:val="auto"/>
              </w:rPr>
              <w:t>2/28/25   1-year</w:t>
            </w:r>
          </w:p>
        </w:tc>
        <w:tc>
          <w:tcPr>
            <w:tcW w:w="4960" w:type="dxa"/>
            <w:vAlign w:val="bottom"/>
            <w:shd w:val="clear" w:color="auto" w:fill="D6D1D8"/>
          </w:tcPr>
          <w:p>
            <w:pPr>
              <w:spacing w:after="0"/>
              <w:rPr>
                <w:sz w:val="20"/>
                <w:szCs w:val="20"/>
                <w:color w:val="auto"/>
              </w:rPr>
            </w:pPr>
            <w:r>
              <w:rPr>
                <w:rFonts w:ascii="Arial" w:cs="Arial" w:eastAsia="Arial" w:hAnsi="Arial"/>
                <w:sz w:val="15"/>
                <w:szCs w:val="15"/>
                <w:color w:val="auto"/>
              </w:rPr>
              <w:t>Las Vegas Operations Revenue Fair Share of Hotel Rooms (2)</w:t>
            </w:r>
          </w:p>
        </w:tc>
        <w:tc>
          <w:tcPr>
            <w:tcW w:w="940" w:type="dxa"/>
            <w:vAlign w:val="bottom"/>
            <w:shd w:val="clear" w:color="auto" w:fill="D6D1D8"/>
          </w:tcPr>
          <w:p>
            <w:pPr>
              <w:jc w:val="right"/>
              <w:ind w:right="147"/>
              <w:spacing w:after="0"/>
              <w:rPr>
                <w:sz w:val="20"/>
                <w:szCs w:val="20"/>
                <w:color w:val="auto"/>
              </w:rPr>
            </w:pPr>
            <w:r>
              <w:rPr>
                <w:rFonts w:ascii="Arial" w:cs="Arial" w:eastAsia="Arial" w:hAnsi="Arial"/>
                <w:sz w:val="15"/>
                <w:szCs w:val="15"/>
                <w:color w:val="auto"/>
              </w:rPr>
              <w:t>1.65x</w:t>
            </w:r>
          </w:p>
        </w:tc>
        <w:tc>
          <w:tcPr>
            <w:tcW w:w="1000" w:type="dxa"/>
            <w:vAlign w:val="bottom"/>
            <w:shd w:val="clear" w:color="auto" w:fill="D6D1D8"/>
          </w:tcPr>
          <w:p>
            <w:pPr>
              <w:ind w:left="500"/>
              <w:spacing w:after="0"/>
              <w:rPr>
                <w:sz w:val="20"/>
                <w:szCs w:val="20"/>
                <w:color w:val="auto"/>
              </w:rPr>
            </w:pPr>
            <w:r>
              <w:rPr>
                <w:rFonts w:ascii="Arial" w:cs="Arial" w:eastAsia="Arial" w:hAnsi="Arial"/>
                <w:sz w:val="15"/>
                <w:szCs w:val="15"/>
                <w:color w:val="auto"/>
              </w:rPr>
              <w:t>2.2x</w:t>
            </w:r>
          </w:p>
        </w:tc>
        <w:tc>
          <w:tcPr>
            <w:tcW w:w="780" w:type="dxa"/>
            <w:vAlign w:val="bottom"/>
            <w:shd w:val="clear" w:color="auto" w:fill="D6D1D8"/>
          </w:tcPr>
          <w:p>
            <w:pPr>
              <w:ind w:left="120"/>
              <w:spacing w:after="0"/>
              <w:rPr>
                <w:sz w:val="20"/>
                <w:szCs w:val="20"/>
                <w:color w:val="auto"/>
              </w:rPr>
            </w:pPr>
            <w:r>
              <w:rPr>
                <w:rFonts w:ascii="Arial" w:cs="Arial" w:eastAsia="Arial" w:hAnsi="Arial"/>
                <w:sz w:val="15"/>
                <w:szCs w:val="15"/>
                <w:color w:val="auto"/>
              </w:rPr>
              <w:t>Vested</w:t>
            </w:r>
          </w:p>
        </w:tc>
        <w:tc>
          <w:tcPr>
            <w:tcW w:w="740" w:type="dxa"/>
            <w:vAlign w:val="bottom"/>
            <w:shd w:val="clear" w:color="auto" w:fill="D6D1D8"/>
          </w:tcPr>
          <w:p>
            <w:pPr>
              <w:jc w:val="center"/>
              <w:ind w:left="50"/>
              <w:spacing w:after="0"/>
              <w:rPr>
                <w:sz w:val="20"/>
                <w:szCs w:val="20"/>
                <w:color w:val="auto"/>
              </w:rPr>
            </w:pPr>
            <w:r>
              <w:rPr>
                <w:rFonts w:ascii="Arial" w:cs="Arial" w:eastAsia="Arial" w:hAnsi="Arial"/>
                <w:sz w:val="15"/>
                <w:szCs w:val="15"/>
                <w:color w:val="auto"/>
                <w:w w:val="99"/>
              </w:rPr>
              <w:t>50%</w:t>
            </w:r>
          </w:p>
        </w:tc>
      </w:tr>
      <w:tr>
        <w:trPr>
          <w:trHeight w:val="254"/>
        </w:trPr>
        <w:tc>
          <w:tcPr>
            <w:tcW w:w="600" w:type="dxa"/>
            <w:vAlign w:val="bottom"/>
            <w:shd w:val="clear" w:color="auto" w:fill="D6D1D8"/>
          </w:tcPr>
          <w:p>
            <w:pPr>
              <w:spacing w:after="0"/>
              <w:rPr>
                <w:sz w:val="22"/>
                <w:szCs w:val="22"/>
                <w:color w:val="auto"/>
              </w:rPr>
            </w:pPr>
          </w:p>
        </w:tc>
        <w:tc>
          <w:tcPr>
            <w:tcW w:w="780" w:type="dxa"/>
            <w:vAlign w:val="bottom"/>
            <w:shd w:val="clear" w:color="auto" w:fill="D6D1D8"/>
          </w:tcPr>
          <w:p>
            <w:pPr>
              <w:spacing w:after="0"/>
              <w:rPr>
                <w:sz w:val="22"/>
                <w:szCs w:val="22"/>
                <w:color w:val="auto"/>
              </w:rPr>
            </w:pPr>
          </w:p>
        </w:tc>
        <w:tc>
          <w:tcPr>
            <w:tcW w:w="1120" w:type="dxa"/>
            <w:vAlign w:val="bottom"/>
            <w:shd w:val="clear" w:color="auto" w:fill="D6D1D8"/>
          </w:tcPr>
          <w:p>
            <w:pPr>
              <w:ind w:left="120"/>
              <w:spacing w:after="0"/>
              <w:rPr>
                <w:sz w:val="20"/>
                <w:szCs w:val="20"/>
                <w:color w:val="auto"/>
              </w:rPr>
            </w:pPr>
            <w:r>
              <w:rPr>
                <w:rFonts w:ascii="Arial" w:cs="Arial" w:eastAsia="Arial" w:hAnsi="Arial"/>
                <w:sz w:val="15"/>
                <w:szCs w:val="15"/>
                <w:color w:val="auto"/>
              </w:rPr>
              <w:t>ending</w:t>
            </w:r>
          </w:p>
        </w:tc>
        <w:tc>
          <w:tcPr>
            <w:tcW w:w="4960" w:type="dxa"/>
            <w:vAlign w:val="bottom"/>
            <w:shd w:val="clear" w:color="auto" w:fill="D6D1D8"/>
          </w:tcPr>
          <w:p>
            <w:pPr>
              <w:spacing w:after="0"/>
              <w:rPr>
                <w:sz w:val="22"/>
                <w:szCs w:val="22"/>
                <w:color w:val="auto"/>
              </w:rPr>
            </w:pPr>
          </w:p>
        </w:tc>
        <w:tc>
          <w:tcPr>
            <w:tcW w:w="940" w:type="dxa"/>
            <w:vAlign w:val="bottom"/>
            <w:shd w:val="clear" w:color="auto" w:fill="D6D1D8"/>
          </w:tcPr>
          <w:p>
            <w:pPr>
              <w:spacing w:after="0"/>
              <w:rPr>
                <w:sz w:val="22"/>
                <w:szCs w:val="22"/>
                <w:color w:val="auto"/>
              </w:rPr>
            </w:pPr>
          </w:p>
        </w:tc>
        <w:tc>
          <w:tcPr>
            <w:tcW w:w="1000" w:type="dxa"/>
            <w:vAlign w:val="bottom"/>
            <w:shd w:val="clear" w:color="auto" w:fill="D6D1D8"/>
          </w:tcPr>
          <w:p>
            <w:pPr>
              <w:spacing w:after="0"/>
              <w:rPr>
                <w:sz w:val="22"/>
                <w:szCs w:val="22"/>
                <w:color w:val="auto"/>
              </w:rPr>
            </w:pPr>
          </w:p>
        </w:tc>
        <w:tc>
          <w:tcPr>
            <w:tcW w:w="780" w:type="dxa"/>
            <w:vAlign w:val="bottom"/>
            <w:shd w:val="clear" w:color="auto" w:fill="D6D1D8"/>
          </w:tcPr>
          <w:p>
            <w:pPr>
              <w:spacing w:after="0"/>
              <w:rPr>
                <w:sz w:val="22"/>
                <w:szCs w:val="22"/>
                <w:color w:val="auto"/>
              </w:rPr>
            </w:pPr>
          </w:p>
        </w:tc>
        <w:tc>
          <w:tcPr>
            <w:tcW w:w="740" w:type="dxa"/>
            <w:vAlign w:val="bottom"/>
            <w:shd w:val="clear" w:color="auto" w:fill="D6D1D8"/>
          </w:tcPr>
          <w:p>
            <w:pPr>
              <w:spacing w:after="0"/>
              <w:rPr>
                <w:sz w:val="22"/>
                <w:szCs w:val="22"/>
                <w:color w:val="auto"/>
              </w:rPr>
            </w:pPr>
          </w:p>
        </w:tc>
      </w:tr>
      <w:tr>
        <w:trPr>
          <w:trHeight w:val="241"/>
        </w:trPr>
        <w:tc>
          <w:tcPr>
            <w:tcW w:w="600" w:type="dxa"/>
            <w:vAlign w:val="bottom"/>
            <w:shd w:val="clear" w:color="auto" w:fill="D6D1D8"/>
          </w:tcPr>
          <w:p>
            <w:pPr>
              <w:spacing w:after="0"/>
              <w:rPr>
                <w:sz w:val="20"/>
                <w:szCs w:val="20"/>
                <w:color w:val="auto"/>
              </w:rPr>
            </w:pPr>
          </w:p>
        </w:tc>
        <w:tc>
          <w:tcPr>
            <w:tcW w:w="780" w:type="dxa"/>
            <w:vAlign w:val="bottom"/>
            <w:shd w:val="clear" w:color="auto" w:fill="D6D1D8"/>
          </w:tcPr>
          <w:p>
            <w:pPr>
              <w:spacing w:after="0"/>
              <w:rPr>
                <w:sz w:val="20"/>
                <w:szCs w:val="20"/>
                <w:color w:val="auto"/>
              </w:rPr>
            </w:pPr>
          </w:p>
        </w:tc>
        <w:tc>
          <w:tcPr>
            <w:tcW w:w="1120" w:type="dxa"/>
            <w:vAlign w:val="bottom"/>
            <w:shd w:val="clear" w:color="auto" w:fill="D6D1D8"/>
          </w:tcPr>
          <w:p>
            <w:pPr>
              <w:ind w:left="120"/>
              <w:spacing w:after="0"/>
              <w:rPr>
                <w:sz w:val="20"/>
                <w:szCs w:val="20"/>
                <w:color w:val="auto"/>
              </w:rPr>
            </w:pPr>
            <w:r>
              <w:rPr>
                <w:rFonts w:ascii="Arial" w:cs="Arial" w:eastAsia="Arial" w:hAnsi="Arial"/>
                <w:sz w:val="15"/>
                <w:szCs w:val="15"/>
                <w:color w:val="auto"/>
              </w:rPr>
              <w:t>12/31/2024</w:t>
            </w:r>
          </w:p>
        </w:tc>
        <w:tc>
          <w:tcPr>
            <w:tcW w:w="4960" w:type="dxa"/>
            <w:vAlign w:val="bottom"/>
            <w:shd w:val="clear" w:color="auto" w:fill="D6D1D8"/>
          </w:tcPr>
          <w:p>
            <w:pPr>
              <w:spacing w:after="0"/>
              <w:rPr>
                <w:sz w:val="20"/>
                <w:szCs w:val="20"/>
                <w:color w:val="auto"/>
              </w:rPr>
            </w:pPr>
          </w:p>
        </w:tc>
        <w:tc>
          <w:tcPr>
            <w:tcW w:w="940" w:type="dxa"/>
            <w:vAlign w:val="bottom"/>
            <w:shd w:val="clear" w:color="auto" w:fill="D6D1D8"/>
          </w:tcPr>
          <w:p>
            <w:pPr>
              <w:spacing w:after="0"/>
              <w:rPr>
                <w:sz w:val="20"/>
                <w:szCs w:val="20"/>
                <w:color w:val="auto"/>
              </w:rPr>
            </w:pPr>
          </w:p>
        </w:tc>
        <w:tc>
          <w:tcPr>
            <w:tcW w:w="1000" w:type="dxa"/>
            <w:vAlign w:val="bottom"/>
            <w:shd w:val="clear" w:color="auto" w:fill="D6D1D8"/>
          </w:tcPr>
          <w:p>
            <w:pPr>
              <w:spacing w:after="0"/>
              <w:rPr>
                <w:sz w:val="20"/>
                <w:szCs w:val="20"/>
                <w:color w:val="auto"/>
              </w:rPr>
            </w:pPr>
          </w:p>
        </w:tc>
        <w:tc>
          <w:tcPr>
            <w:tcW w:w="780" w:type="dxa"/>
            <w:vAlign w:val="bottom"/>
            <w:shd w:val="clear" w:color="auto" w:fill="D6D1D8"/>
          </w:tcPr>
          <w:p>
            <w:pPr>
              <w:spacing w:after="0"/>
              <w:rPr>
                <w:sz w:val="20"/>
                <w:szCs w:val="20"/>
                <w:color w:val="auto"/>
              </w:rPr>
            </w:pPr>
          </w:p>
        </w:tc>
        <w:tc>
          <w:tcPr>
            <w:tcW w:w="740" w:type="dxa"/>
            <w:vAlign w:val="bottom"/>
            <w:shd w:val="clear" w:color="auto" w:fill="D6D1D8"/>
          </w:tcPr>
          <w:p>
            <w:pPr>
              <w:spacing w:after="0"/>
              <w:rPr>
                <w:sz w:val="20"/>
                <w:szCs w:val="20"/>
                <w:color w:val="auto"/>
              </w:rPr>
            </w:pPr>
          </w:p>
        </w:tc>
      </w:tr>
      <w:tr>
        <w:trPr>
          <w:trHeight w:val="86"/>
        </w:trPr>
        <w:tc>
          <w:tcPr>
            <w:tcW w:w="600" w:type="dxa"/>
            <w:vAlign w:val="bottom"/>
            <w:shd w:val="clear" w:color="auto" w:fill="D6D1D8"/>
          </w:tcPr>
          <w:p>
            <w:pPr>
              <w:spacing w:after="0"/>
              <w:rPr>
                <w:sz w:val="7"/>
                <w:szCs w:val="7"/>
                <w:color w:val="auto"/>
              </w:rPr>
            </w:pPr>
          </w:p>
        </w:tc>
        <w:tc>
          <w:tcPr>
            <w:tcW w:w="1900" w:type="dxa"/>
            <w:vAlign w:val="bottom"/>
            <w:gridSpan w:val="2"/>
            <w:shd w:val="clear" w:color="auto" w:fill="D6D1D8"/>
          </w:tcPr>
          <w:p>
            <w:pPr>
              <w:spacing w:after="0"/>
              <w:rPr>
                <w:sz w:val="7"/>
                <w:szCs w:val="7"/>
                <w:color w:val="auto"/>
              </w:rPr>
            </w:pPr>
          </w:p>
        </w:tc>
        <w:tc>
          <w:tcPr>
            <w:tcW w:w="4960" w:type="dxa"/>
            <w:vAlign w:val="bottom"/>
            <w:shd w:val="clear" w:color="auto" w:fill="D6D1D8"/>
          </w:tcPr>
          <w:p>
            <w:pPr>
              <w:spacing w:after="0"/>
              <w:rPr>
                <w:sz w:val="7"/>
                <w:szCs w:val="7"/>
                <w:color w:val="auto"/>
              </w:rPr>
            </w:pPr>
          </w:p>
        </w:tc>
        <w:tc>
          <w:tcPr>
            <w:tcW w:w="940" w:type="dxa"/>
            <w:vAlign w:val="bottom"/>
            <w:shd w:val="clear" w:color="auto" w:fill="D6D1D8"/>
          </w:tcPr>
          <w:p>
            <w:pPr>
              <w:spacing w:after="0"/>
              <w:rPr>
                <w:sz w:val="7"/>
                <w:szCs w:val="7"/>
                <w:color w:val="auto"/>
              </w:rPr>
            </w:pPr>
          </w:p>
        </w:tc>
        <w:tc>
          <w:tcPr>
            <w:tcW w:w="1000" w:type="dxa"/>
            <w:vAlign w:val="bottom"/>
            <w:shd w:val="clear" w:color="auto" w:fill="D6D1D8"/>
          </w:tcPr>
          <w:p>
            <w:pPr>
              <w:spacing w:after="0"/>
              <w:rPr>
                <w:sz w:val="7"/>
                <w:szCs w:val="7"/>
                <w:color w:val="auto"/>
              </w:rPr>
            </w:pPr>
          </w:p>
        </w:tc>
        <w:tc>
          <w:tcPr>
            <w:tcW w:w="780" w:type="dxa"/>
            <w:vAlign w:val="bottom"/>
            <w:shd w:val="clear" w:color="auto" w:fill="D6D1D8"/>
          </w:tcPr>
          <w:p>
            <w:pPr>
              <w:spacing w:after="0"/>
              <w:rPr>
                <w:sz w:val="7"/>
                <w:szCs w:val="7"/>
                <w:color w:val="auto"/>
              </w:rPr>
            </w:pPr>
          </w:p>
        </w:tc>
        <w:tc>
          <w:tcPr>
            <w:tcW w:w="740" w:type="dxa"/>
            <w:vAlign w:val="bottom"/>
            <w:shd w:val="clear" w:color="auto" w:fill="D6D1D8"/>
          </w:tcPr>
          <w:p>
            <w:pPr>
              <w:spacing w:after="0"/>
              <w:rPr>
                <w:sz w:val="7"/>
                <w:szCs w:val="7"/>
                <w:color w:val="auto"/>
              </w:rPr>
            </w:pPr>
          </w:p>
        </w:tc>
      </w:tr>
      <w:tr>
        <w:trPr>
          <w:trHeight w:val="289"/>
        </w:trPr>
        <w:tc>
          <w:tcPr>
            <w:tcW w:w="600" w:type="dxa"/>
            <w:vAlign w:val="bottom"/>
          </w:tcPr>
          <w:p>
            <w:pPr>
              <w:ind w:left="80"/>
              <w:spacing w:after="0"/>
              <w:rPr>
                <w:sz w:val="20"/>
                <w:szCs w:val="20"/>
                <w:color w:val="auto"/>
              </w:rPr>
            </w:pPr>
            <w:r>
              <w:rPr>
                <w:rFonts w:ascii="Arial" w:cs="Arial" w:eastAsia="Arial" w:hAnsi="Arial"/>
                <w:sz w:val="15"/>
                <w:szCs w:val="15"/>
                <w:color w:val="auto"/>
              </w:rPr>
              <w:t>1/9/24</w:t>
            </w:r>
          </w:p>
        </w:tc>
        <w:tc>
          <w:tcPr>
            <w:tcW w:w="1900" w:type="dxa"/>
            <w:vAlign w:val="bottom"/>
            <w:gridSpan w:val="2"/>
          </w:tcPr>
          <w:p>
            <w:pPr>
              <w:ind w:left="140"/>
              <w:spacing w:after="0"/>
              <w:rPr>
                <w:sz w:val="20"/>
                <w:szCs w:val="20"/>
                <w:color w:val="auto"/>
              </w:rPr>
            </w:pPr>
            <w:r>
              <w:rPr>
                <w:rFonts w:ascii="Arial" w:cs="Arial" w:eastAsia="Arial" w:hAnsi="Arial"/>
                <w:sz w:val="15"/>
                <w:szCs w:val="15"/>
                <w:color w:val="auto"/>
              </w:rPr>
              <w:t>2/28/25   1-year</w:t>
            </w:r>
          </w:p>
        </w:tc>
        <w:tc>
          <w:tcPr>
            <w:tcW w:w="4960" w:type="dxa"/>
            <w:vAlign w:val="bottom"/>
          </w:tcPr>
          <w:p>
            <w:pPr>
              <w:spacing w:after="0"/>
              <w:rPr>
                <w:sz w:val="20"/>
                <w:szCs w:val="20"/>
                <w:color w:val="auto"/>
              </w:rPr>
            </w:pPr>
            <w:r>
              <w:rPr>
                <w:rFonts w:ascii="Arial" w:cs="Arial" w:eastAsia="Arial" w:hAnsi="Arial"/>
                <w:sz w:val="15"/>
                <w:szCs w:val="15"/>
                <w:color w:val="auto"/>
              </w:rPr>
              <w:t>Las Vegas Operations Adjusted Property EBITDAR (4) Fair Share of</w:t>
            </w:r>
          </w:p>
        </w:tc>
        <w:tc>
          <w:tcPr>
            <w:tcW w:w="940" w:type="dxa"/>
            <w:vAlign w:val="bottom"/>
          </w:tcPr>
          <w:p>
            <w:pPr>
              <w:jc w:val="right"/>
              <w:ind w:right="147"/>
              <w:spacing w:after="0"/>
              <w:rPr>
                <w:sz w:val="20"/>
                <w:szCs w:val="20"/>
                <w:color w:val="auto"/>
              </w:rPr>
            </w:pPr>
            <w:r>
              <w:rPr>
                <w:rFonts w:ascii="Arial" w:cs="Arial" w:eastAsia="Arial" w:hAnsi="Arial"/>
                <w:sz w:val="15"/>
                <w:szCs w:val="15"/>
                <w:color w:val="auto"/>
              </w:rPr>
              <w:t>1.5x</w:t>
            </w:r>
          </w:p>
        </w:tc>
        <w:tc>
          <w:tcPr>
            <w:tcW w:w="1000" w:type="dxa"/>
            <w:vAlign w:val="bottom"/>
          </w:tcPr>
          <w:p>
            <w:pPr>
              <w:ind w:left="500"/>
              <w:spacing w:after="0"/>
              <w:rPr>
                <w:sz w:val="20"/>
                <w:szCs w:val="20"/>
                <w:color w:val="auto"/>
              </w:rPr>
            </w:pPr>
            <w:r>
              <w:rPr>
                <w:rFonts w:ascii="Arial" w:cs="Arial" w:eastAsia="Arial" w:hAnsi="Arial"/>
                <w:sz w:val="15"/>
                <w:szCs w:val="15"/>
                <w:color w:val="auto"/>
              </w:rPr>
              <w:t>2.1x</w:t>
            </w:r>
          </w:p>
        </w:tc>
        <w:tc>
          <w:tcPr>
            <w:tcW w:w="780" w:type="dxa"/>
            <w:vAlign w:val="bottom"/>
          </w:tcPr>
          <w:p>
            <w:pPr>
              <w:ind w:left="120"/>
              <w:spacing w:after="0"/>
              <w:rPr>
                <w:sz w:val="20"/>
                <w:szCs w:val="20"/>
                <w:color w:val="auto"/>
              </w:rPr>
            </w:pPr>
            <w:r>
              <w:rPr>
                <w:rFonts w:ascii="Arial" w:cs="Arial" w:eastAsia="Arial" w:hAnsi="Arial"/>
                <w:sz w:val="15"/>
                <w:szCs w:val="15"/>
                <w:color w:val="auto"/>
              </w:rPr>
              <w:t>Vested</w:t>
            </w:r>
          </w:p>
        </w:tc>
        <w:tc>
          <w:tcPr>
            <w:tcW w:w="740" w:type="dxa"/>
            <w:vAlign w:val="bottom"/>
          </w:tcPr>
          <w:p>
            <w:pPr>
              <w:jc w:val="center"/>
              <w:ind w:left="50"/>
              <w:spacing w:after="0"/>
              <w:rPr>
                <w:sz w:val="20"/>
                <w:szCs w:val="20"/>
                <w:color w:val="auto"/>
              </w:rPr>
            </w:pPr>
            <w:r>
              <w:rPr>
                <w:rFonts w:ascii="Arial" w:cs="Arial" w:eastAsia="Arial" w:hAnsi="Arial"/>
                <w:sz w:val="15"/>
                <w:szCs w:val="15"/>
                <w:color w:val="auto"/>
                <w:w w:val="99"/>
              </w:rPr>
              <w:t>50%</w:t>
            </w:r>
          </w:p>
        </w:tc>
      </w:tr>
      <w:tr>
        <w:trPr>
          <w:trHeight w:val="254"/>
        </w:trPr>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20" w:type="dxa"/>
            <w:vAlign w:val="bottom"/>
          </w:tcPr>
          <w:p>
            <w:pPr>
              <w:ind w:left="120"/>
              <w:spacing w:after="0"/>
              <w:rPr>
                <w:sz w:val="20"/>
                <w:szCs w:val="20"/>
                <w:color w:val="auto"/>
              </w:rPr>
            </w:pPr>
            <w:r>
              <w:rPr>
                <w:rFonts w:ascii="Arial" w:cs="Arial" w:eastAsia="Arial" w:hAnsi="Arial"/>
                <w:sz w:val="15"/>
                <w:szCs w:val="15"/>
                <w:color w:val="auto"/>
              </w:rPr>
              <w:t>ending</w:t>
            </w:r>
          </w:p>
        </w:tc>
        <w:tc>
          <w:tcPr>
            <w:tcW w:w="4960" w:type="dxa"/>
            <w:vAlign w:val="bottom"/>
          </w:tcPr>
          <w:p>
            <w:pPr>
              <w:spacing w:after="0"/>
              <w:rPr>
                <w:sz w:val="20"/>
                <w:szCs w:val="20"/>
                <w:color w:val="auto"/>
              </w:rPr>
            </w:pPr>
            <w:r>
              <w:rPr>
                <w:rFonts w:ascii="Arial" w:cs="Arial" w:eastAsia="Arial" w:hAnsi="Arial"/>
                <w:sz w:val="15"/>
                <w:szCs w:val="15"/>
                <w:color w:val="auto"/>
              </w:rPr>
              <w:t>Hotel Rooms (2)</w:t>
            </w:r>
          </w:p>
        </w:tc>
        <w:tc>
          <w:tcPr>
            <w:tcW w:w="9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41"/>
        </w:trPr>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ind w:left="120"/>
              <w:spacing w:after="0"/>
              <w:rPr>
                <w:sz w:val="20"/>
                <w:szCs w:val="20"/>
                <w:color w:val="auto"/>
              </w:rPr>
            </w:pPr>
            <w:r>
              <w:rPr>
                <w:rFonts w:ascii="Arial" w:cs="Arial" w:eastAsia="Arial" w:hAnsi="Arial"/>
                <w:sz w:val="15"/>
                <w:szCs w:val="15"/>
                <w:color w:val="auto"/>
              </w:rPr>
              <w:t>12/31/2024</w:t>
            </w:r>
          </w:p>
        </w:tc>
        <w:tc>
          <w:tcPr>
            <w:tcW w:w="4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6534785</wp:posOffset>
            </wp:positionH>
            <wp:positionV relativeFrom="paragraph">
              <wp:posOffset>-3503295</wp:posOffset>
            </wp:positionV>
            <wp:extent cx="8255" cy="35585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3558540"/>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-3503295</wp:posOffset>
            </wp:positionV>
            <wp:extent cx="8255" cy="35585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355854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-3503295</wp:posOffset>
            </wp:positionV>
            <wp:extent cx="8255" cy="35585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3558540"/>
                    </a:xfrm>
                    <a:prstGeom prst="rect">
                      <a:avLst/>
                    </a:prstGeom>
                    <a:noFill/>
                  </pic:spPr>
                </pic:pic>
              </a:graphicData>
            </a:graphic>
          </wp:anchor>
        </w:drawing>
        <w:drawing>
          <wp:anchor simplePos="0" relativeHeight="251657728" behindDoc="1" locked="0" layoutInCell="0" allowOverlap="1">
            <wp:simplePos x="0" y="0"/>
            <wp:positionH relativeFrom="column">
              <wp:posOffset>4811395</wp:posOffset>
            </wp:positionH>
            <wp:positionV relativeFrom="paragraph">
              <wp:posOffset>-3503295</wp:posOffset>
            </wp:positionV>
            <wp:extent cx="8255" cy="35585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3558540"/>
                    </a:xfrm>
                    <a:prstGeom prst="rect">
                      <a:avLst/>
                    </a:prstGeom>
                    <a:noFill/>
                  </pic:spPr>
                </pic:pic>
              </a:graphicData>
            </a:graphic>
          </wp:anchor>
        </w:drawing>
        <w:drawing>
          <wp:anchor simplePos="0" relativeHeight="251657728" behindDoc="1" locked="0" layoutInCell="0" allowOverlap="1">
            <wp:simplePos x="0" y="0"/>
            <wp:positionH relativeFrom="column">
              <wp:posOffset>1600835</wp:posOffset>
            </wp:positionH>
            <wp:positionV relativeFrom="paragraph">
              <wp:posOffset>-3503295</wp:posOffset>
            </wp:positionV>
            <wp:extent cx="8255" cy="35585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3558540"/>
                    </a:xfrm>
                    <a:prstGeom prst="rect">
                      <a:avLst/>
                    </a:prstGeom>
                    <a:noFill/>
                  </pic:spPr>
                </pic:pic>
              </a:graphicData>
            </a:graphic>
          </wp:anchor>
        </w:drawing>
        <w:drawing>
          <wp:anchor simplePos="0" relativeHeight="251657728" behindDoc="1" locked="0" layoutInCell="0" allowOverlap="1">
            <wp:simplePos x="0" y="0"/>
            <wp:positionH relativeFrom="column">
              <wp:posOffset>981075</wp:posOffset>
            </wp:positionH>
            <wp:positionV relativeFrom="paragraph">
              <wp:posOffset>-3503295</wp:posOffset>
            </wp:positionV>
            <wp:extent cx="8255" cy="35585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3558540"/>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-3503295</wp:posOffset>
            </wp:positionV>
            <wp:extent cx="8255" cy="35585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3558540"/>
                    </a:xfrm>
                    <a:prstGeom prst="rect">
                      <a:avLst/>
                    </a:prstGeom>
                    <a:noFill/>
                  </pic:spPr>
                </pic:pic>
              </a:graphicData>
            </a:graphic>
          </wp:anchor>
        </w:drawing>
      </w:r>
    </w:p>
    <w:p>
      <w:pPr>
        <w:spacing w:after="0" w:line="155" w:lineRule="exact"/>
        <w:rPr>
          <w:sz w:val="20"/>
          <w:szCs w:val="20"/>
          <w:color w:val="auto"/>
        </w:rPr>
      </w:pPr>
    </w:p>
    <w:p>
      <w:pPr>
        <w:ind w:left="360" w:hanging="193"/>
        <w:spacing w:after="0"/>
        <w:tabs>
          <w:tab w:leader="none" w:pos="360" w:val="left"/>
        </w:tabs>
        <w:numPr>
          <w:ilvl w:val="0"/>
          <w:numId w:val="35"/>
        </w:numPr>
        <w:rPr>
          <w:rFonts w:ascii="Arial" w:cs="Arial" w:eastAsia="Arial" w:hAnsi="Arial"/>
          <w:sz w:val="12"/>
          <w:szCs w:val="12"/>
          <w:color w:val="auto"/>
        </w:rPr>
      </w:pPr>
      <w:r>
        <w:rPr>
          <w:rFonts w:ascii="Arial" w:cs="Arial" w:eastAsia="Arial" w:hAnsi="Arial"/>
          <w:sz w:val="12"/>
          <w:szCs w:val="12"/>
          <w:color w:val="auto"/>
        </w:rPr>
        <w:t>Each goal vests such that either 100% of the award vests if the performance target is achieved or 0% of the award vests if the performance target is not achieved.</w:t>
      </w:r>
    </w:p>
    <w:p>
      <w:pPr>
        <w:spacing w:after="0" w:line="102" w:lineRule="exact"/>
        <w:rPr>
          <w:rFonts w:ascii="Arial" w:cs="Arial" w:eastAsia="Arial" w:hAnsi="Arial"/>
          <w:sz w:val="12"/>
          <w:szCs w:val="12"/>
          <w:color w:val="auto"/>
        </w:rPr>
      </w:pPr>
    </w:p>
    <w:p>
      <w:pPr>
        <w:ind w:left="160" w:right="220" w:firstLine="7"/>
        <w:spacing w:after="0" w:line="259" w:lineRule="auto"/>
        <w:tabs>
          <w:tab w:leader="none" w:pos="347" w:val="left"/>
        </w:tabs>
        <w:numPr>
          <w:ilvl w:val="0"/>
          <w:numId w:val="35"/>
        </w:numPr>
        <w:rPr>
          <w:rFonts w:ascii="Arial" w:cs="Arial" w:eastAsia="Arial" w:hAnsi="Arial"/>
          <w:sz w:val="12"/>
          <w:szCs w:val="12"/>
          <w:color w:val="auto"/>
        </w:rPr>
      </w:pPr>
      <w:r>
        <w:rPr>
          <w:rFonts w:ascii="Arial" w:cs="Arial" w:eastAsia="Arial" w:hAnsi="Arial"/>
          <w:sz w:val="12"/>
          <w:szCs w:val="12"/>
          <w:color w:val="auto"/>
        </w:rPr>
        <w:t>Represents the share of Las Vegas Operations revenue or Adjusted Property EBITDAR relative to selected Las Vegas Strip peers divided by the Company’s share of hotel rooms among such peers.</w:t>
      </w:r>
    </w:p>
    <w:p>
      <w:pPr>
        <w:sectPr>
          <w:pgSz w:w="11900" w:h="16838" w:orient="portrait"/>
          <w:cols w:equalWidth="0" w:num="1">
            <w:col w:w="11080"/>
          </w:cols>
          <w:pgMar w:left="320" w:top="478" w:right="499" w:bottom="1075" w:gutter="0" w:footer="0" w:header="0"/>
        </w:sectPr>
      </w:pPr>
    </w:p>
    <w:p>
      <w:pPr>
        <w:spacing w:after="0" w:line="266" w:lineRule="exact"/>
        <w:rPr>
          <w:sz w:val="20"/>
          <w:szCs w:val="20"/>
          <w:color w:val="auto"/>
        </w:rPr>
      </w:pPr>
    </w:p>
    <w:p>
      <w:pPr>
        <w:ind w:left="160"/>
        <w:spacing w:after="0"/>
        <w:rPr>
          <w:sz w:val="20"/>
          <w:szCs w:val="20"/>
          <w:color w:val="auto"/>
        </w:rPr>
      </w:pPr>
      <w:r>
        <w:rPr>
          <w:rFonts w:ascii="Arial" w:cs="Arial" w:eastAsia="Arial" w:hAnsi="Arial"/>
          <w:sz w:val="12"/>
          <w:szCs w:val="12"/>
          <w:color w:val="351B3D"/>
        </w:rPr>
        <w:t>44</w:t>
      </w:r>
    </w:p>
    <w:p>
      <w:pPr>
        <w:sectPr>
          <w:pgSz w:w="11900" w:h="16838" w:orient="portrait"/>
          <w:cols w:equalWidth="0" w:num="1">
            <w:col w:w="11080"/>
          </w:cols>
          <w:pgMar w:left="320" w:top="478" w:right="499" w:bottom="1075"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0" w:right="240" w:firstLine="7"/>
        <w:spacing w:after="0" w:line="279" w:lineRule="auto"/>
        <w:tabs>
          <w:tab w:leader="none" w:pos="347"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Represents the share of Macau Operations GGR or Adjusted Property EBITDAR relative to selected Macau concessionaire peers divided by the Company’s share of gaming positions among such peers.</w:t>
      </w:r>
    </w:p>
    <w:p>
      <w:pPr>
        <w:spacing w:after="0" w:line="53" w:lineRule="exact"/>
        <w:rPr>
          <w:rFonts w:ascii="Arial" w:cs="Arial" w:eastAsia="Arial" w:hAnsi="Arial"/>
          <w:sz w:val="12"/>
          <w:szCs w:val="12"/>
          <w:color w:val="auto"/>
        </w:rPr>
      </w:pPr>
    </w:p>
    <w:p>
      <w:pPr>
        <w:ind w:left="160" w:right="20" w:firstLine="7"/>
        <w:spacing w:after="0" w:line="241" w:lineRule="auto"/>
        <w:tabs>
          <w:tab w:leader="none" w:pos="347" w:val="left"/>
        </w:tabs>
        <w:numPr>
          <w:ilvl w:val="0"/>
          <w:numId w:val="36"/>
        </w:numPr>
        <w:rPr>
          <w:rFonts w:ascii="Arial" w:cs="Arial" w:eastAsia="Arial" w:hAnsi="Arial"/>
          <w:sz w:val="12"/>
          <w:szCs w:val="12"/>
          <w:color w:val="auto"/>
        </w:rPr>
      </w:pPr>
      <w:r>
        <w:rPr>
          <w:rFonts w:ascii="Arial" w:cs="Arial" w:eastAsia="Arial" w:hAnsi="Arial"/>
          <w:sz w:val="12"/>
          <w:szCs w:val="12"/>
          <w:color w:val="auto"/>
        </w:rPr>
        <w:t>Adjusted Property EBITDAR is a net income (loss) before interest, income taxes, depreciation and amortization, pre-opening expenses, gain on EBH Transaction, net, impairment of goodwill and intangible assets, property charges and other, triple-net operating lease rent expense related to Encore Boston Harbor, management and license fees, corporate expenses and other (including intercompany golf course, meeting and convention, and water rights leases), stock-based compensation, change in derivatives fair value, loss on debt financing transactions, and other non-operating income and expenses. (Note 20—“Segment Information” to our Consolidated Financial Statements included in Item 8 (Financial Statements and Supplementary Data) of Part II of our Annual Report on Form 10-K for the year ended December 31, 2024, filed with the SEC on February 13, 2025) for the definition of “Adjusted Property EBITDAR” and a reconciliation of Adjusted Property EBITDAR to net income/loss attributable to Wynn Resorts.</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6"/>
          <w:szCs w:val="16"/>
          <w:color w:val="110F1C"/>
        </w:rPr>
        <w:t>EQUITY AWARD GRANT PRACTICES</w:t>
      </w:r>
    </w:p>
    <w:p>
      <w:pPr>
        <w:spacing w:after="0" w:line="19" w:lineRule="exact"/>
        <w:rPr>
          <w:sz w:val="20"/>
          <w:szCs w:val="20"/>
          <w:color w:val="auto"/>
        </w:rPr>
      </w:pPr>
    </w:p>
    <w:p>
      <w:pPr>
        <w:ind w:left="160" w:right="200"/>
        <w:spacing w:after="0" w:line="249" w:lineRule="auto"/>
        <w:rPr>
          <w:sz w:val="20"/>
          <w:szCs w:val="20"/>
          <w:color w:val="auto"/>
        </w:rPr>
      </w:pPr>
      <w:r>
        <w:rPr>
          <w:rFonts w:ascii="Arial" w:cs="Arial" w:eastAsia="Arial" w:hAnsi="Arial"/>
          <w:sz w:val="16"/>
          <w:szCs w:val="16"/>
          <w:color w:val="auto"/>
        </w:rPr>
        <w:t>In response to Item 402(x)(1) of Regulation S-K, the Company does not currently grant new awards of stock options, stock appreciation rights or similar option-like instruments, and generally is not in the practice of granting such awards. The Company has not granted such an award since fiscal year 2022. Accordingly, the Company has no specific policy or practice on the timing of such awards in relation to the disclosure of material non-public information by the Company.</w:t>
      </w:r>
    </w:p>
    <w:p>
      <w:pPr>
        <w:spacing w:after="0" w:line="183" w:lineRule="exact"/>
        <w:rPr>
          <w:sz w:val="20"/>
          <w:szCs w:val="20"/>
          <w:color w:val="auto"/>
        </w:rPr>
      </w:pPr>
    </w:p>
    <w:p>
      <w:pPr>
        <w:ind w:left="160" w:right="140"/>
        <w:spacing w:after="0" w:line="248" w:lineRule="auto"/>
        <w:rPr>
          <w:sz w:val="20"/>
          <w:szCs w:val="20"/>
          <w:color w:val="auto"/>
        </w:rPr>
      </w:pPr>
      <w:r>
        <w:rPr>
          <w:rFonts w:ascii="Arial" w:cs="Arial" w:eastAsia="Arial" w:hAnsi="Arial"/>
          <w:sz w:val="16"/>
          <w:szCs w:val="16"/>
          <w:color w:val="351B3D"/>
        </w:rPr>
        <w:t xml:space="preserve">EXECUTIVE BENEFITS: </w:t>
      </w:r>
      <w:r>
        <w:rPr>
          <w:rFonts w:ascii="Arial" w:cs="Arial" w:eastAsia="Arial" w:hAnsi="Arial"/>
          <w:sz w:val="16"/>
          <w:szCs w:val="16"/>
          <w:color w:val="000000"/>
        </w:rPr>
        <w:t>We provide our NEOs with benefits that we believe are reasonable, competitive and consistent with our overall executive</w:t>
      </w:r>
      <w:r>
        <w:rPr>
          <w:rFonts w:ascii="Arial" w:cs="Arial" w:eastAsia="Arial" w:hAnsi="Arial"/>
          <w:sz w:val="16"/>
          <w:szCs w:val="16"/>
          <w:color w:val="351B3D"/>
        </w:rPr>
        <w:t xml:space="preserve"> </w:t>
      </w:r>
      <w:r>
        <w:rPr>
          <w:rFonts w:ascii="Arial" w:cs="Arial" w:eastAsia="Arial" w:hAnsi="Arial"/>
          <w:sz w:val="16"/>
          <w:szCs w:val="16"/>
          <w:color w:val="000000"/>
        </w:rPr>
        <w:t>compensation program. Our executive benefits include certain health insurance coverage, life insurance premiums, and reimbursement of nonresident state income taxes, all of which are described in the footnotes to the “2024 Summary Compensation Table.” We pay nonresident state income taxes imposed on our executives who we required to travel on Company business and perform services in states other than their states of employment. This primarily arose as a result of travel to, and work in, Massachusetts in connection with our Encore Boston Harbor resort. Our reimbursement covers the incremental cost of the nonresident taxes and puts the executives in the same economic position as though they had worked in their normal places of business. The Company does not gross-up or pay any state income taxes that the employees incur on account of work in their normal work locations. In addition, we provide to certain of our executives, including NEOs, employee discounts at certain of our properties’ outlets, complimentary rooms and meals for business purposes, and access to the Company’s aircraft pursuant to time-sharing agreements described in “Certain relationships and transactions—Aircraft Arrangements.”</w:t>
      </w:r>
    </w:p>
    <w:p>
      <w:pPr>
        <w:spacing w:after="0" w:line="185" w:lineRule="exact"/>
        <w:rPr>
          <w:sz w:val="20"/>
          <w:szCs w:val="20"/>
          <w:color w:val="auto"/>
        </w:rPr>
      </w:pPr>
    </w:p>
    <w:p>
      <w:pPr>
        <w:ind w:left="160" w:right="240"/>
        <w:spacing w:after="0" w:line="256" w:lineRule="auto"/>
        <w:rPr>
          <w:sz w:val="20"/>
          <w:szCs w:val="20"/>
          <w:color w:val="auto"/>
        </w:rPr>
      </w:pPr>
      <w:r>
        <w:rPr>
          <w:rFonts w:ascii="Arial" w:cs="Arial" w:eastAsia="Arial" w:hAnsi="Arial"/>
          <w:sz w:val="16"/>
          <w:szCs w:val="16"/>
          <w:color w:val="351B3D"/>
        </w:rPr>
        <w:t xml:space="preserve">PEER GROUP BENCHMARKING: </w:t>
      </w:r>
      <w:r>
        <w:rPr>
          <w:rFonts w:ascii="Arial" w:cs="Arial" w:eastAsia="Arial" w:hAnsi="Arial"/>
          <w:sz w:val="16"/>
          <w:szCs w:val="16"/>
          <w:color w:val="000000"/>
        </w:rPr>
        <w:t>The Compensation Committee believes that it is appropriate to offer competitive total compensation packages to</w:t>
      </w:r>
      <w:r>
        <w:rPr>
          <w:rFonts w:ascii="Arial" w:cs="Arial" w:eastAsia="Arial" w:hAnsi="Arial"/>
          <w:sz w:val="16"/>
          <w:szCs w:val="16"/>
          <w:color w:val="351B3D"/>
        </w:rPr>
        <w:t xml:space="preserve"> </w:t>
      </w:r>
      <w:r>
        <w:rPr>
          <w:rFonts w:ascii="Arial" w:cs="Arial" w:eastAsia="Arial" w:hAnsi="Arial"/>
          <w:sz w:val="16"/>
          <w:szCs w:val="16"/>
          <w:color w:val="000000"/>
        </w:rPr>
        <w:t>senior executive officers to attract and retain top talent in a competitive industry. The compensation peer group allows the Compensation Committee to monitor the compensation practices of our primary competitors for executive talent. The Compensation Committee targets the 50th percentile for the Company’s senior executive officers’ total compensation.</w:t>
      </w:r>
    </w:p>
    <w:p>
      <w:pPr>
        <w:spacing w:after="0" w:line="178" w:lineRule="exact"/>
        <w:rPr>
          <w:sz w:val="20"/>
          <w:szCs w:val="20"/>
          <w:color w:val="auto"/>
        </w:rPr>
      </w:pPr>
    </w:p>
    <w:p>
      <w:pPr>
        <w:ind w:left="160" w:right="100"/>
        <w:spacing w:after="0" w:line="256" w:lineRule="auto"/>
        <w:rPr>
          <w:sz w:val="20"/>
          <w:szCs w:val="20"/>
          <w:color w:val="auto"/>
        </w:rPr>
      </w:pPr>
      <w:r>
        <w:rPr>
          <w:rFonts w:ascii="Arial" w:cs="Arial" w:eastAsia="Arial" w:hAnsi="Arial"/>
          <w:sz w:val="16"/>
          <w:szCs w:val="16"/>
          <w:color w:val="auto"/>
        </w:rPr>
        <w:t>In 2024, as part of our regular review of our compensation programs, as well as in connection with a new employment contract for Ms. Krum, the Compensation Committee considered peer group data from gaming and other related industries that the Compensation Committee believes reflect the competitive market for executive talent similar to that required by the Company. The Compensation Committee did not modify the Company’s peer group for 2024.</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080"/>
          </w:cols>
          <w:pgMar w:left="320" w:top="478"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45"/>
          <w:szCs w:val="45"/>
          <w:color w:val="110F1C"/>
        </w:rPr>
        <w:t>Wynn Resorts 2024 Executive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5516245</wp:posOffset>
            </wp:positionH>
            <wp:positionV relativeFrom="paragraph">
              <wp:posOffset>252730</wp:posOffset>
            </wp:positionV>
            <wp:extent cx="8255" cy="13925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1392555"/>
                    </a:xfrm>
                    <a:prstGeom prst="rect">
                      <a:avLst/>
                    </a:prstGeom>
                    <a:noFill/>
                  </pic:spPr>
                </pic:pic>
              </a:graphicData>
            </a:graphic>
          </wp:anchor>
        </w:drawing>
        <w:drawing>
          <wp:anchor simplePos="0" relativeHeight="251657728" behindDoc="1" locked="0" layoutInCell="0" allowOverlap="1">
            <wp:simplePos x="0" y="0"/>
            <wp:positionH relativeFrom="column">
              <wp:posOffset>3350260</wp:posOffset>
            </wp:positionH>
            <wp:positionV relativeFrom="paragraph">
              <wp:posOffset>252730</wp:posOffset>
            </wp:positionV>
            <wp:extent cx="8255" cy="13925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1392555"/>
                    </a:xfrm>
                    <a:prstGeom prst="rect">
                      <a:avLst/>
                    </a:prstGeom>
                    <a:noFill/>
                  </pic:spPr>
                </pic:pic>
              </a:graphicData>
            </a:graphic>
          </wp:anchor>
        </w:drawing>
      </w:r>
    </w:p>
    <w:p>
      <w:pPr>
        <w:spacing w:after="0" w:line="378" w:lineRule="exact"/>
        <w:rPr>
          <w:sz w:val="20"/>
          <w:szCs w:val="20"/>
          <w:color w:val="auto"/>
        </w:rPr>
      </w:pPr>
    </w:p>
    <w:tbl>
      <w:tblPr>
        <w:tblLayout w:type="fixed"/>
        <w:tblInd w:w="160" w:type="dxa"/>
        <w:tblCellMar>
          <w:top w:w="0" w:type="dxa"/>
          <w:left w:w="0" w:type="dxa"/>
          <w:bottom w:w="0" w:type="dxa"/>
          <w:right w:w="0" w:type="dxa"/>
        </w:tblCellMar>
      </w:tblPr>
      <w:tr>
        <w:trPr>
          <w:trHeight w:val="301"/>
        </w:trPr>
        <w:tc>
          <w:tcPr>
            <w:tcW w:w="5120" w:type="dxa"/>
            <w:vAlign w:val="bottom"/>
            <w:tcBorders>
              <w:bottom w:val="single" w:sz="8" w:color="351B3D"/>
            </w:tcBorders>
            <w:shd w:val="clear" w:color="auto" w:fill="351B3D"/>
          </w:tcPr>
          <w:p>
            <w:pPr>
              <w:ind w:left="80"/>
              <w:spacing w:after="0"/>
              <w:rPr>
                <w:sz w:val="20"/>
                <w:szCs w:val="20"/>
                <w:color w:val="auto"/>
              </w:rPr>
            </w:pPr>
            <w:r>
              <w:rPr>
                <w:rFonts w:ascii="Arial" w:cs="Arial" w:eastAsia="Arial" w:hAnsi="Arial"/>
                <w:sz w:val="16"/>
                <w:szCs w:val="16"/>
                <w:color w:val="FFFFFF"/>
              </w:rPr>
              <w:t>GAMING &amp; RESORTS</w:t>
            </w:r>
          </w:p>
        </w:tc>
        <w:tc>
          <w:tcPr>
            <w:tcW w:w="3280" w:type="dxa"/>
            <w:vAlign w:val="bottom"/>
            <w:tcBorders>
              <w:bottom w:val="single" w:sz="8" w:color="351B3D"/>
            </w:tcBorders>
            <w:shd w:val="clear" w:color="auto" w:fill="351B3D"/>
          </w:tcPr>
          <w:p>
            <w:pPr>
              <w:ind w:left="100"/>
              <w:spacing w:after="0"/>
              <w:rPr>
                <w:sz w:val="20"/>
                <w:szCs w:val="20"/>
                <w:color w:val="auto"/>
              </w:rPr>
            </w:pPr>
            <w:r>
              <w:rPr>
                <w:rFonts w:ascii="Arial" w:cs="Arial" w:eastAsia="Arial" w:hAnsi="Arial"/>
                <w:sz w:val="16"/>
                <w:szCs w:val="16"/>
                <w:color w:val="FFFFFF"/>
              </w:rPr>
              <w:t>   TRAVEL, HOSPITALITY &amp; RESORTS</w:t>
            </w:r>
          </w:p>
        </w:tc>
        <w:tc>
          <w:tcPr>
            <w:tcW w:w="2520" w:type="dxa"/>
            <w:vAlign w:val="bottom"/>
            <w:tcBorders>
              <w:bottom w:val="single" w:sz="8" w:color="351B3D"/>
            </w:tcBorders>
            <w:shd w:val="clear" w:color="auto" w:fill="351B3D"/>
          </w:tcPr>
          <w:p>
            <w:pPr>
              <w:ind w:left="340"/>
              <w:spacing w:after="0"/>
              <w:rPr>
                <w:sz w:val="20"/>
                <w:szCs w:val="20"/>
                <w:color w:val="auto"/>
              </w:rPr>
            </w:pPr>
            <w:r>
              <w:rPr>
                <w:rFonts w:ascii="Arial" w:cs="Arial" w:eastAsia="Arial" w:hAnsi="Arial"/>
                <w:sz w:val="16"/>
                <w:szCs w:val="16"/>
                <w:color w:val="FFFFFF"/>
              </w:rPr>
              <w:t>LIFESTYLE PRODUCTS</w:t>
            </w:r>
          </w:p>
        </w:tc>
      </w:tr>
      <w:tr>
        <w:trPr>
          <w:trHeight w:val="291"/>
        </w:trPr>
        <w:tc>
          <w:tcPr>
            <w:tcW w:w="5120" w:type="dxa"/>
            <w:vAlign w:val="bottom"/>
            <w:shd w:val="clear" w:color="auto" w:fill="D6D1D8"/>
          </w:tcPr>
          <w:p>
            <w:pPr>
              <w:ind w:left="80"/>
              <w:spacing w:after="0"/>
              <w:rPr>
                <w:sz w:val="20"/>
                <w:szCs w:val="20"/>
                <w:color w:val="auto"/>
              </w:rPr>
            </w:pPr>
            <w:r>
              <w:rPr>
                <w:rFonts w:ascii="Arial" w:cs="Arial" w:eastAsia="Arial" w:hAnsi="Arial"/>
                <w:sz w:val="16"/>
                <w:szCs w:val="16"/>
                <w:color w:val="auto"/>
              </w:rPr>
              <w:t>Boyd Gaming Corp.</w:t>
            </w:r>
          </w:p>
        </w:tc>
        <w:tc>
          <w:tcPr>
            <w:tcW w:w="3280" w:type="dxa"/>
            <w:vAlign w:val="bottom"/>
            <w:shd w:val="clear" w:color="auto" w:fill="D6D1D8"/>
          </w:tcPr>
          <w:p>
            <w:pPr>
              <w:ind w:left="100"/>
              <w:spacing w:after="0"/>
              <w:rPr>
                <w:sz w:val="20"/>
                <w:szCs w:val="20"/>
                <w:color w:val="auto"/>
              </w:rPr>
            </w:pPr>
            <w:r>
              <w:rPr>
                <w:rFonts w:ascii="Arial" w:cs="Arial" w:eastAsia="Arial" w:hAnsi="Arial"/>
                <w:sz w:val="16"/>
                <w:szCs w:val="16"/>
                <w:color w:val="auto"/>
              </w:rPr>
              <w:t>    Hilton Worldwide Holdings Inc.</w:t>
            </w:r>
          </w:p>
        </w:tc>
        <w:tc>
          <w:tcPr>
            <w:tcW w:w="2520" w:type="dxa"/>
            <w:vAlign w:val="bottom"/>
            <w:shd w:val="clear" w:color="auto" w:fill="D6D1D8"/>
          </w:tcPr>
          <w:p>
            <w:pPr>
              <w:ind w:left="340"/>
              <w:spacing w:after="0"/>
              <w:rPr>
                <w:sz w:val="20"/>
                <w:szCs w:val="20"/>
                <w:color w:val="auto"/>
              </w:rPr>
            </w:pPr>
            <w:r>
              <w:rPr>
                <w:rFonts w:ascii="Arial" w:cs="Arial" w:eastAsia="Arial" w:hAnsi="Arial"/>
                <w:sz w:val="16"/>
                <w:szCs w:val="16"/>
                <w:color w:val="auto"/>
              </w:rPr>
              <w:t>Capri Holdings Limited</w:t>
            </w:r>
          </w:p>
        </w:tc>
      </w:tr>
      <w:tr>
        <w:trPr>
          <w:trHeight w:val="84"/>
        </w:trPr>
        <w:tc>
          <w:tcPr>
            <w:tcW w:w="5120" w:type="dxa"/>
            <w:vAlign w:val="bottom"/>
            <w:shd w:val="clear" w:color="auto" w:fill="D6D1D8"/>
          </w:tcPr>
          <w:p>
            <w:pPr>
              <w:spacing w:after="0"/>
              <w:rPr>
                <w:sz w:val="7"/>
                <w:szCs w:val="7"/>
                <w:color w:val="auto"/>
              </w:rPr>
            </w:pPr>
          </w:p>
        </w:tc>
        <w:tc>
          <w:tcPr>
            <w:tcW w:w="3280" w:type="dxa"/>
            <w:vAlign w:val="bottom"/>
            <w:shd w:val="clear" w:color="auto" w:fill="D6D1D8"/>
          </w:tcPr>
          <w:p>
            <w:pPr>
              <w:spacing w:after="0"/>
              <w:rPr>
                <w:sz w:val="7"/>
                <w:szCs w:val="7"/>
                <w:color w:val="auto"/>
              </w:rPr>
            </w:pPr>
          </w:p>
        </w:tc>
        <w:tc>
          <w:tcPr>
            <w:tcW w:w="2520" w:type="dxa"/>
            <w:vAlign w:val="bottom"/>
            <w:shd w:val="clear" w:color="auto" w:fill="D6D1D8"/>
          </w:tcPr>
          <w:p>
            <w:pPr>
              <w:spacing w:after="0"/>
              <w:rPr>
                <w:sz w:val="7"/>
                <w:szCs w:val="7"/>
                <w:color w:val="auto"/>
              </w:rPr>
            </w:pPr>
          </w:p>
        </w:tc>
      </w:tr>
      <w:tr>
        <w:trPr>
          <w:trHeight w:val="291"/>
        </w:trPr>
        <w:tc>
          <w:tcPr>
            <w:tcW w:w="5120" w:type="dxa"/>
            <w:vAlign w:val="bottom"/>
          </w:tcPr>
          <w:p>
            <w:pPr>
              <w:ind w:left="80"/>
              <w:spacing w:after="0"/>
              <w:rPr>
                <w:sz w:val="20"/>
                <w:szCs w:val="20"/>
                <w:color w:val="auto"/>
              </w:rPr>
            </w:pPr>
            <w:r>
              <w:rPr>
                <w:rFonts w:ascii="Arial" w:cs="Arial" w:eastAsia="Arial" w:hAnsi="Arial"/>
                <w:sz w:val="16"/>
                <w:szCs w:val="16"/>
                <w:color w:val="auto"/>
              </w:rPr>
              <w:t>Caesars Entertainment, Inc.</w:t>
            </w:r>
          </w:p>
        </w:tc>
        <w:tc>
          <w:tcPr>
            <w:tcW w:w="3280" w:type="dxa"/>
            <w:vAlign w:val="bottom"/>
          </w:tcPr>
          <w:p>
            <w:pPr>
              <w:ind w:left="100"/>
              <w:spacing w:after="0"/>
              <w:rPr>
                <w:sz w:val="20"/>
                <w:szCs w:val="20"/>
                <w:color w:val="auto"/>
              </w:rPr>
            </w:pPr>
            <w:r>
              <w:rPr>
                <w:rFonts w:ascii="Arial" w:cs="Arial" w:eastAsia="Arial" w:hAnsi="Arial"/>
                <w:sz w:val="16"/>
                <w:szCs w:val="16"/>
                <w:color w:val="auto"/>
              </w:rPr>
              <w:t>    Hyatt Hotels Corporation</w:t>
            </w:r>
          </w:p>
        </w:tc>
        <w:tc>
          <w:tcPr>
            <w:tcW w:w="2520" w:type="dxa"/>
            <w:vAlign w:val="bottom"/>
          </w:tcPr>
          <w:p>
            <w:pPr>
              <w:ind w:left="340"/>
              <w:spacing w:after="0"/>
              <w:rPr>
                <w:sz w:val="20"/>
                <w:szCs w:val="20"/>
                <w:color w:val="auto"/>
              </w:rPr>
            </w:pPr>
            <w:r>
              <w:rPr>
                <w:rFonts w:ascii="Arial" w:cs="Arial" w:eastAsia="Arial" w:hAnsi="Arial"/>
                <w:sz w:val="16"/>
                <w:szCs w:val="16"/>
                <w:color w:val="auto"/>
              </w:rPr>
              <w:t>PVH Corp.</w:t>
            </w:r>
          </w:p>
        </w:tc>
      </w:tr>
      <w:tr>
        <w:trPr>
          <w:trHeight w:val="84"/>
        </w:trPr>
        <w:tc>
          <w:tcPr>
            <w:tcW w:w="5120" w:type="dxa"/>
            <w:vAlign w:val="bottom"/>
          </w:tcPr>
          <w:p>
            <w:pPr>
              <w:spacing w:after="0"/>
              <w:rPr>
                <w:sz w:val="7"/>
                <w:szCs w:val="7"/>
                <w:color w:val="auto"/>
              </w:rPr>
            </w:pPr>
          </w:p>
        </w:tc>
        <w:tc>
          <w:tcPr>
            <w:tcW w:w="3280" w:type="dxa"/>
            <w:vAlign w:val="bottom"/>
          </w:tcPr>
          <w:p>
            <w:pPr>
              <w:spacing w:after="0"/>
              <w:rPr>
                <w:sz w:val="7"/>
                <w:szCs w:val="7"/>
                <w:color w:val="auto"/>
              </w:rPr>
            </w:pPr>
          </w:p>
        </w:tc>
        <w:tc>
          <w:tcPr>
            <w:tcW w:w="2520" w:type="dxa"/>
            <w:vAlign w:val="bottom"/>
          </w:tcPr>
          <w:p>
            <w:pPr>
              <w:spacing w:after="0"/>
              <w:rPr>
                <w:sz w:val="7"/>
                <w:szCs w:val="7"/>
                <w:color w:val="auto"/>
              </w:rPr>
            </w:pPr>
          </w:p>
        </w:tc>
      </w:tr>
      <w:tr>
        <w:trPr>
          <w:trHeight w:val="291"/>
        </w:trPr>
        <w:tc>
          <w:tcPr>
            <w:tcW w:w="5120" w:type="dxa"/>
            <w:vAlign w:val="bottom"/>
            <w:shd w:val="clear" w:color="auto" w:fill="D6D1D8"/>
          </w:tcPr>
          <w:p>
            <w:pPr>
              <w:ind w:left="80"/>
              <w:spacing w:after="0"/>
              <w:rPr>
                <w:sz w:val="20"/>
                <w:szCs w:val="20"/>
                <w:color w:val="auto"/>
              </w:rPr>
            </w:pPr>
            <w:r>
              <w:rPr>
                <w:rFonts w:ascii="Arial" w:cs="Arial" w:eastAsia="Arial" w:hAnsi="Arial"/>
                <w:sz w:val="16"/>
                <w:szCs w:val="16"/>
                <w:color w:val="auto"/>
              </w:rPr>
              <w:t>Las Vegas Sands Corp.</w:t>
            </w:r>
          </w:p>
        </w:tc>
        <w:tc>
          <w:tcPr>
            <w:tcW w:w="3280" w:type="dxa"/>
            <w:vAlign w:val="bottom"/>
            <w:shd w:val="clear" w:color="auto" w:fill="D6D1D8"/>
          </w:tcPr>
          <w:p>
            <w:pPr>
              <w:ind w:left="100"/>
              <w:spacing w:after="0"/>
              <w:rPr>
                <w:sz w:val="20"/>
                <w:szCs w:val="20"/>
                <w:color w:val="auto"/>
              </w:rPr>
            </w:pPr>
            <w:r>
              <w:rPr>
                <w:rFonts w:ascii="Arial" w:cs="Arial" w:eastAsia="Arial" w:hAnsi="Arial"/>
                <w:sz w:val="16"/>
                <w:szCs w:val="16"/>
                <w:color w:val="auto"/>
              </w:rPr>
              <w:t>    Marriott International, Inc.</w:t>
            </w:r>
          </w:p>
        </w:tc>
        <w:tc>
          <w:tcPr>
            <w:tcW w:w="2520" w:type="dxa"/>
            <w:vAlign w:val="bottom"/>
            <w:shd w:val="clear" w:color="auto" w:fill="D6D1D8"/>
          </w:tcPr>
          <w:p>
            <w:pPr>
              <w:ind w:left="340"/>
              <w:spacing w:after="0"/>
              <w:rPr>
                <w:sz w:val="20"/>
                <w:szCs w:val="20"/>
                <w:color w:val="auto"/>
              </w:rPr>
            </w:pPr>
            <w:r>
              <w:rPr>
                <w:rFonts w:ascii="Arial" w:cs="Arial" w:eastAsia="Arial" w:hAnsi="Arial"/>
                <w:sz w:val="16"/>
                <w:szCs w:val="16"/>
                <w:color w:val="auto"/>
              </w:rPr>
              <w:t>Ralph Lauren Corporation</w:t>
            </w:r>
          </w:p>
        </w:tc>
      </w:tr>
      <w:tr>
        <w:trPr>
          <w:trHeight w:val="84"/>
        </w:trPr>
        <w:tc>
          <w:tcPr>
            <w:tcW w:w="5120" w:type="dxa"/>
            <w:vAlign w:val="bottom"/>
            <w:shd w:val="clear" w:color="auto" w:fill="D6D1D8"/>
          </w:tcPr>
          <w:p>
            <w:pPr>
              <w:spacing w:after="0"/>
              <w:rPr>
                <w:sz w:val="7"/>
                <w:szCs w:val="7"/>
                <w:color w:val="auto"/>
              </w:rPr>
            </w:pPr>
          </w:p>
        </w:tc>
        <w:tc>
          <w:tcPr>
            <w:tcW w:w="3280" w:type="dxa"/>
            <w:vAlign w:val="bottom"/>
            <w:shd w:val="clear" w:color="auto" w:fill="D6D1D8"/>
          </w:tcPr>
          <w:p>
            <w:pPr>
              <w:spacing w:after="0"/>
              <w:rPr>
                <w:sz w:val="7"/>
                <w:szCs w:val="7"/>
                <w:color w:val="auto"/>
              </w:rPr>
            </w:pPr>
          </w:p>
        </w:tc>
        <w:tc>
          <w:tcPr>
            <w:tcW w:w="2520" w:type="dxa"/>
            <w:vAlign w:val="bottom"/>
            <w:shd w:val="clear" w:color="auto" w:fill="D6D1D8"/>
          </w:tcPr>
          <w:p>
            <w:pPr>
              <w:spacing w:after="0"/>
              <w:rPr>
                <w:sz w:val="7"/>
                <w:szCs w:val="7"/>
                <w:color w:val="auto"/>
              </w:rPr>
            </w:pPr>
          </w:p>
        </w:tc>
      </w:tr>
      <w:tr>
        <w:trPr>
          <w:trHeight w:val="291"/>
        </w:trPr>
        <w:tc>
          <w:tcPr>
            <w:tcW w:w="5120" w:type="dxa"/>
            <w:vAlign w:val="bottom"/>
          </w:tcPr>
          <w:p>
            <w:pPr>
              <w:ind w:left="80"/>
              <w:spacing w:after="0"/>
              <w:rPr>
                <w:sz w:val="20"/>
                <w:szCs w:val="20"/>
                <w:color w:val="auto"/>
              </w:rPr>
            </w:pPr>
            <w:r>
              <w:rPr>
                <w:rFonts w:ascii="Arial" w:cs="Arial" w:eastAsia="Arial" w:hAnsi="Arial"/>
                <w:sz w:val="16"/>
                <w:szCs w:val="16"/>
                <w:color w:val="auto"/>
              </w:rPr>
              <w:t>MGM Resorts International</w:t>
            </w:r>
          </w:p>
        </w:tc>
        <w:tc>
          <w:tcPr>
            <w:tcW w:w="3280" w:type="dxa"/>
            <w:vAlign w:val="bottom"/>
          </w:tcPr>
          <w:p>
            <w:pPr>
              <w:ind w:left="100"/>
              <w:spacing w:after="0"/>
              <w:rPr>
                <w:sz w:val="20"/>
                <w:szCs w:val="20"/>
                <w:color w:val="auto"/>
              </w:rPr>
            </w:pPr>
            <w:r>
              <w:rPr>
                <w:rFonts w:ascii="Arial" w:cs="Arial" w:eastAsia="Arial" w:hAnsi="Arial"/>
                <w:sz w:val="16"/>
                <w:szCs w:val="16"/>
                <w:color w:val="auto"/>
              </w:rPr>
              <w:t>    Norwegian Cruise Line Holdings Ltd</w:t>
            </w:r>
          </w:p>
        </w:tc>
        <w:tc>
          <w:tcPr>
            <w:tcW w:w="2520" w:type="dxa"/>
            <w:vAlign w:val="bottom"/>
          </w:tcPr>
          <w:p>
            <w:pPr>
              <w:ind w:left="340"/>
              <w:spacing w:after="0"/>
              <w:rPr>
                <w:sz w:val="20"/>
                <w:szCs w:val="20"/>
                <w:color w:val="auto"/>
              </w:rPr>
            </w:pPr>
            <w:r>
              <w:rPr>
                <w:rFonts w:ascii="Arial" w:cs="Arial" w:eastAsia="Arial" w:hAnsi="Arial"/>
                <w:sz w:val="16"/>
                <w:szCs w:val="16"/>
                <w:color w:val="auto"/>
              </w:rPr>
              <w:t>Tapestry, Inc.</w:t>
            </w:r>
          </w:p>
        </w:tc>
      </w:tr>
      <w:tr>
        <w:trPr>
          <w:trHeight w:val="84"/>
        </w:trPr>
        <w:tc>
          <w:tcPr>
            <w:tcW w:w="5120" w:type="dxa"/>
            <w:vAlign w:val="bottom"/>
          </w:tcPr>
          <w:p>
            <w:pPr>
              <w:spacing w:after="0"/>
              <w:rPr>
                <w:sz w:val="7"/>
                <w:szCs w:val="7"/>
                <w:color w:val="auto"/>
              </w:rPr>
            </w:pPr>
          </w:p>
        </w:tc>
        <w:tc>
          <w:tcPr>
            <w:tcW w:w="3280" w:type="dxa"/>
            <w:vAlign w:val="bottom"/>
          </w:tcPr>
          <w:p>
            <w:pPr>
              <w:spacing w:after="0"/>
              <w:rPr>
                <w:sz w:val="7"/>
                <w:szCs w:val="7"/>
                <w:color w:val="auto"/>
              </w:rPr>
            </w:pPr>
          </w:p>
        </w:tc>
        <w:tc>
          <w:tcPr>
            <w:tcW w:w="2520" w:type="dxa"/>
            <w:vAlign w:val="bottom"/>
          </w:tcPr>
          <w:p>
            <w:pPr>
              <w:spacing w:after="0"/>
              <w:rPr>
                <w:sz w:val="7"/>
                <w:szCs w:val="7"/>
                <w:color w:val="auto"/>
              </w:rPr>
            </w:pPr>
          </w:p>
        </w:tc>
      </w:tr>
      <w:tr>
        <w:trPr>
          <w:trHeight w:val="291"/>
        </w:trPr>
        <w:tc>
          <w:tcPr>
            <w:tcW w:w="5120" w:type="dxa"/>
            <w:vAlign w:val="bottom"/>
            <w:shd w:val="clear" w:color="auto" w:fill="D6D1D8"/>
          </w:tcPr>
          <w:p>
            <w:pPr>
              <w:ind w:left="80"/>
              <w:spacing w:after="0"/>
              <w:rPr>
                <w:sz w:val="20"/>
                <w:szCs w:val="20"/>
                <w:color w:val="auto"/>
              </w:rPr>
            </w:pPr>
            <w:r>
              <w:rPr>
                <w:rFonts w:ascii="Arial" w:cs="Arial" w:eastAsia="Arial" w:hAnsi="Arial"/>
                <w:sz w:val="16"/>
                <w:szCs w:val="16"/>
                <w:color w:val="auto"/>
              </w:rPr>
              <w:t>Penn Entertainment</w:t>
            </w:r>
          </w:p>
        </w:tc>
        <w:tc>
          <w:tcPr>
            <w:tcW w:w="3280" w:type="dxa"/>
            <w:vAlign w:val="bottom"/>
            <w:shd w:val="clear" w:color="auto" w:fill="D6D1D8"/>
          </w:tcPr>
          <w:p>
            <w:pPr>
              <w:ind w:left="100"/>
              <w:spacing w:after="0"/>
              <w:rPr>
                <w:sz w:val="20"/>
                <w:szCs w:val="20"/>
                <w:color w:val="auto"/>
              </w:rPr>
            </w:pPr>
            <w:r>
              <w:rPr>
                <w:rFonts w:ascii="Arial" w:cs="Arial" w:eastAsia="Arial" w:hAnsi="Arial"/>
                <w:sz w:val="16"/>
                <w:szCs w:val="16"/>
                <w:color w:val="auto"/>
              </w:rPr>
              <w:t>    Royal Caribbean Cruises Ltd</w:t>
            </w:r>
          </w:p>
        </w:tc>
        <w:tc>
          <w:tcPr>
            <w:tcW w:w="2520" w:type="dxa"/>
            <w:vAlign w:val="bottom"/>
            <w:shd w:val="clear" w:color="auto" w:fill="D6D1D8"/>
          </w:tcPr>
          <w:p>
            <w:pPr>
              <w:ind w:left="340"/>
              <w:spacing w:after="0"/>
              <w:rPr>
                <w:sz w:val="20"/>
                <w:szCs w:val="20"/>
                <w:color w:val="auto"/>
              </w:rPr>
            </w:pPr>
            <w:r>
              <w:rPr>
                <w:rFonts w:ascii="Arial" w:cs="Arial" w:eastAsia="Arial" w:hAnsi="Arial"/>
                <w:sz w:val="16"/>
                <w:szCs w:val="16"/>
                <w:color w:val="auto"/>
              </w:rPr>
              <w:t>V.F. Corporation</w:t>
            </w:r>
          </w:p>
        </w:tc>
      </w:tr>
      <w:tr>
        <w:trPr>
          <w:trHeight w:val="84"/>
        </w:trPr>
        <w:tc>
          <w:tcPr>
            <w:tcW w:w="5120" w:type="dxa"/>
            <w:vAlign w:val="bottom"/>
            <w:shd w:val="clear" w:color="auto" w:fill="D6D1D8"/>
          </w:tcPr>
          <w:p>
            <w:pPr>
              <w:spacing w:after="0"/>
              <w:rPr>
                <w:sz w:val="7"/>
                <w:szCs w:val="7"/>
                <w:color w:val="auto"/>
              </w:rPr>
            </w:pPr>
          </w:p>
        </w:tc>
        <w:tc>
          <w:tcPr>
            <w:tcW w:w="3280" w:type="dxa"/>
            <w:vAlign w:val="bottom"/>
            <w:shd w:val="clear" w:color="auto" w:fill="D6D1D8"/>
          </w:tcPr>
          <w:p>
            <w:pPr>
              <w:spacing w:after="0"/>
              <w:rPr>
                <w:sz w:val="7"/>
                <w:szCs w:val="7"/>
                <w:color w:val="auto"/>
              </w:rPr>
            </w:pPr>
          </w:p>
        </w:tc>
        <w:tc>
          <w:tcPr>
            <w:tcW w:w="2520" w:type="dxa"/>
            <w:vAlign w:val="bottom"/>
            <w:shd w:val="clear" w:color="auto" w:fill="D6D1D8"/>
          </w:tcPr>
          <w:p>
            <w:pPr>
              <w:spacing w:after="0"/>
              <w:rPr>
                <w:sz w:val="7"/>
                <w:szCs w:val="7"/>
                <w:color w:val="auto"/>
              </w:rPr>
            </w:pPr>
          </w:p>
        </w:tc>
      </w:tr>
    </w:tbl>
    <w:p>
      <w:pPr>
        <w:spacing w:after="0" w:line="200" w:lineRule="exact"/>
        <w:rPr>
          <w:sz w:val="20"/>
          <w:szCs w:val="20"/>
          <w:color w:val="auto"/>
        </w:rPr>
      </w:pPr>
    </w:p>
    <w:p>
      <w:pPr>
        <w:ind w:left="160" w:right="40"/>
        <w:spacing w:after="0" w:line="279" w:lineRule="auto"/>
        <w:rPr>
          <w:sz w:val="20"/>
          <w:szCs w:val="20"/>
          <w:color w:val="auto"/>
        </w:rPr>
      </w:pPr>
      <w:r>
        <w:rPr>
          <w:rFonts w:ascii="Arial" w:cs="Arial" w:eastAsia="Arial" w:hAnsi="Arial"/>
          <w:sz w:val="16"/>
          <w:szCs w:val="16"/>
          <w:color w:val="auto"/>
        </w:rPr>
        <w:t>The 15 companies in the peer group generally had revenue, market capitalization and total enterprise value (as of December 31, 2024) similar to those of the Company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5660390</wp:posOffset>
            </wp:positionH>
            <wp:positionV relativeFrom="paragraph">
              <wp:posOffset>128270</wp:posOffset>
            </wp:positionV>
            <wp:extent cx="8255" cy="16306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1630680"/>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128270</wp:posOffset>
            </wp:positionV>
            <wp:extent cx="8255" cy="16306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163068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128270</wp:posOffset>
            </wp:positionV>
            <wp:extent cx="8255" cy="16306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1630680"/>
                    </a:xfrm>
                    <a:prstGeom prst="rect">
                      <a:avLst/>
                    </a:prstGeom>
                    <a:noFill/>
                  </pic:spPr>
                </pic:pic>
              </a:graphicData>
            </a:graphic>
          </wp:anchor>
        </w:drawing>
      </w:r>
    </w:p>
    <w:p>
      <w:pPr>
        <w:spacing w:after="0" w:line="182" w:lineRule="exact"/>
        <w:rPr>
          <w:sz w:val="20"/>
          <w:szCs w:val="20"/>
          <w:color w:val="auto"/>
        </w:rPr>
      </w:pPr>
    </w:p>
    <w:tbl>
      <w:tblPr>
        <w:tblLayout w:type="fixed"/>
        <w:tblInd w:w="160" w:type="dxa"/>
        <w:tblCellMar>
          <w:top w:w="0" w:type="dxa"/>
          <w:left w:w="0" w:type="dxa"/>
          <w:bottom w:w="0" w:type="dxa"/>
          <w:right w:w="0" w:type="dxa"/>
        </w:tblCellMar>
      </w:tblPr>
      <w:tr>
        <w:trPr>
          <w:trHeight w:val="301"/>
        </w:trPr>
        <w:tc>
          <w:tcPr>
            <w:tcW w:w="4160" w:type="dxa"/>
            <w:vAlign w:val="bottom"/>
            <w:tcBorders>
              <w:bottom w:val="single" w:sz="8" w:color="351B3D"/>
            </w:tcBorders>
            <w:shd w:val="clear" w:color="auto" w:fill="351B3D"/>
          </w:tcPr>
          <w:p>
            <w:pPr>
              <w:spacing w:after="0"/>
              <w:rPr>
                <w:sz w:val="24"/>
                <w:szCs w:val="24"/>
                <w:color w:val="auto"/>
              </w:rPr>
            </w:pPr>
          </w:p>
        </w:tc>
        <w:tc>
          <w:tcPr>
            <w:tcW w:w="2420" w:type="dxa"/>
            <w:vAlign w:val="bottom"/>
            <w:tcBorders>
              <w:bottom w:val="single" w:sz="8" w:color="351B3D"/>
            </w:tcBorders>
            <w:gridSpan w:val="3"/>
            <w:shd w:val="clear" w:color="auto" w:fill="351B3D"/>
          </w:tcPr>
          <w:p>
            <w:pPr>
              <w:ind w:left="860"/>
              <w:spacing w:after="0"/>
              <w:rPr>
                <w:sz w:val="20"/>
                <w:szCs w:val="20"/>
                <w:color w:val="auto"/>
              </w:rPr>
            </w:pPr>
            <w:r>
              <w:rPr>
                <w:rFonts w:ascii="Arial" w:cs="Arial" w:eastAsia="Arial" w:hAnsi="Arial"/>
                <w:sz w:val="16"/>
                <w:szCs w:val="16"/>
                <w:color w:val="FFFFFF"/>
              </w:rPr>
              <w:t xml:space="preserve">WYNN RESORTS    </w:t>
            </w:r>
          </w:p>
        </w:tc>
        <w:tc>
          <w:tcPr>
            <w:tcW w:w="1680" w:type="dxa"/>
            <w:vAlign w:val="bottom"/>
            <w:tcBorders>
              <w:bottom w:val="single" w:sz="8" w:color="351B3D"/>
            </w:tcBorders>
            <w:shd w:val="clear" w:color="auto" w:fill="351B3D"/>
          </w:tcPr>
          <w:p>
            <w:pPr>
              <w:ind w:left="60"/>
              <w:spacing w:after="0"/>
              <w:rPr>
                <w:sz w:val="20"/>
                <w:szCs w:val="20"/>
                <w:color w:val="auto"/>
              </w:rPr>
            </w:pPr>
            <w:r>
              <w:rPr>
                <w:rFonts w:ascii="Arial" w:cs="Arial" w:eastAsia="Arial" w:hAnsi="Arial"/>
                <w:sz w:val="16"/>
                <w:szCs w:val="16"/>
                <w:color w:val="FFFFFF"/>
              </w:rPr>
              <w:t> </w:t>
            </w:r>
          </w:p>
        </w:tc>
        <w:tc>
          <w:tcPr>
            <w:tcW w:w="160" w:type="dxa"/>
            <w:vAlign w:val="bottom"/>
            <w:tcBorders>
              <w:bottom w:val="single" w:sz="8" w:color="351B3D"/>
            </w:tcBorders>
            <w:shd w:val="clear" w:color="auto" w:fill="351B3D"/>
          </w:tcPr>
          <w:p>
            <w:pPr>
              <w:spacing w:after="0"/>
              <w:rPr>
                <w:sz w:val="24"/>
                <w:szCs w:val="24"/>
                <w:color w:val="auto"/>
              </w:rPr>
            </w:pPr>
          </w:p>
        </w:tc>
        <w:tc>
          <w:tcPr>
            <w:tcW w:w="340" w:type="dxa"/>
            <w:vAlign w:val="bottom"/>
            <w:tcBorders>
              <w:bottom w:val="single" w:sz="8" w:color="351B3D"/>
            </w:tcBorders>
            <w:shd w:val="clear" w:color="auto" w:fill="351B3D"/>
          </w:tcPr>
          <w:p>
            <w:pPr>
              <w:spacing w:after="0"/>
              <w:rPr>
                <w:sz w:val="24"/>
                <w:szCs w:val="24"/>
                <w:color w:val="auto"/>
              </w:rPr>
            </w:pPr>
          </w:p>
        </w:tc>
        <w:tc>
          <w:tcPr>
            <w:tcW w:w="2160" w:type="dxa"/>
            <w:vAlign w:val="bottom"/>
            <w:tcBorders>
              <w:bottom w:val="single" w:sz="8" w:color="351B3D"/>
            </w:tcBorders>
            <w:shd w:val="clear" w:color="auto" w:fill="351B3D"/>
          </w:tcPr>
          <w:p>
            <w:pPr>
              <w:ind w:left="640"/>
              <w:spacing w:after="0"/>
              <w:rPr>
                <w:sz w:val="20"/>
                <w:szCs w:val="20"/>
                <w:color w:val="auto"/>
              </w:rPr>
            </w:pPr>
            <w:r>
              <w:rPr>
                <w:rFonts w:ascii="Arial" w:cs="Arial" w:eastAsia="Arial" w:hAnsi="Arial"/>
                <w:sz w:val="16"/>
                <w:szCs w:val="16"/>
                <w:color w:val="FFFFFF"/>
              </w:rPr>
              <w:t>PEER GROUP</w:t>
            </w:r>
          </w:p>
        </w:tc>
      </w:tr>
      <w:tr>
        <w:trPr>
          <w:trHeight w:val="291"/>
        </w:trPr>
        <w:tc>
          <w:tcPr>
            <w:tcW w:w="4160" w:type="dxa"/>
            <w:vAlign w:val="bottom"/>
            <w:shd w:val="clear" w:color="auto" w:fill="D6D1D8"/>
          </w:tcPr>
          <w:p>
            <w:pPr>
              <w:ind w:left="80"/>
              <w:spacing w:after="0"/>
              <w:rPr>
                <w:sz w:val="20"/>
                <w:szCs w:val="20"/>
                <w:color w:val="auto"/>
              </w:rPr>
            </w:pPr>
            <w:r>
              <w:rPr>
                <w:rFonts w:ascii="Arial" w:cs="Arial" w:eastAsia="Arial" w:hAnsi="Arial"/>
                <w:sz w:val="16"/>
                <w:szCs w:val="16"/>
                <w:color w:val="auto"/>
              </w:rPr>
              <w:t>Revenue</w:t>
            </w:r>
          </w:p>
        </w:tc>
        <w:tc>
          <w:tcPr>
            <w:tcW w:w="2040" w:type="dxa"/>
            <w:vAlign w:val="bottom"/>
            <w:shd w:val="clear" w:color="auto" w:fill="D6D1D8"/>
          </w:tcPr>
          <w:p>
            <w:pPr>
              <w:jc w:val="center"/>
              <w:ind w:left="980"/>
              <w:spacing w:after="0"/>
              <w:rPr>
                <w:sz w:val="20"/>
                <w:szCs w:val="20"/>
                <w:color w:val="auto"/>
              </w:rPr>
            </w:pPr>
            <w:r>
              <w:rPr>
                <w:rFonts w:ascii="Arial" w:cs="Arial" w:eastAsia="Arial" w:hAnsi="Arial"/>
                <w:sz w:val="16"/>
                <w:szCs w:val="16"/>
                <w:color w:val="auto"/>
                <w:w w:val="88"/>
              </w:rPr>
              <w:t>$7.1 billion </w:t>
            </w:r>
          </w:p>
        </w:tc>
        <w:tc>
          <w:tcPr>
            <w:tcW w:w="160" w:type="dxa"/>
            <w:vAlign w:val="bottom"/>
            <w:shd w:val="clear" w:color="auto" w:fill="D6D1D8"/>
          </w:tcPr>
          <w:p>
            <w:pPr>
              <w:ind w:left="40"/>
              <w:spacing w:after="0"/>
              <w:rPr>
                <w:sz w:val="20"/>
                <w:szCs w:val="20"/>
                <w:color w:val="auto"/>
              </w:rPr>
            </w:pPr>
            <w:r>
              <w:rPr>
                <w:rFonts w:ascii="Arial" w:cs="Arial" w:eastAsia="Arial" w:hAnsi="Arial"/>
                <w:sz w:val="14"/>
                <w:szCs w:val="14"/>
                <w:color w:val="auto"/>
                <w:w w:val="71"/>
              </w:rPr>
              <w:t> </w:t>
            </w:r>
          </w:p>
        </w:tc>
        <w:tc>
          <w:tcPr>
            <w:tcW w:w="220" w:type="dxa"/>
            <w:vAlign w:val="bottom"/>
            <w:shd w:val="clear" w:color="auto" w:fill="D6D1D8"/>
          </w:tcPr>
          <w:p>
            <w:pPr>
              <w:ind w:left="40"/>
              <w:spacing w:after="0"/>
              <w:rPr>
                <w:sz w:val="20"/>
                <w:szCs w:val="20"/>
                <w:color w:val="auto"/>
              </w:rPr>
            </w:pPr>
            <w:r>
              <w:rPr>
                <w:rFonts w:ascii="Arial" w:cs="Arial" w:eastAsia="Arial" w:hAnsi="Arial"/>
                <w:sz w:val="16"/>
                <w:szCs w:val="16"/>
                <w:color w:val="auto"/>
              </w:rPr>
              <w:t> </w:t>
            </w:r>
          </w:p>
        </w:tc>
        <w:tc>
          <w:tcPr>
            <w:tcW w:w="1680" w:type="dxa"/>
            <w:vAlign w:val="bottom"/>
            <w:shd w:val="clear" w:color="auto" w:fill="D6D1D8"/>
          </w:tcPr>
          <w:p>
            <w:pPr>
              <w:jc w:val="center"/>
              <w:ind w:left="880"/>
              <w:spacing w:after="0"/>
              <w:rPr>
                <w:sz w:val="20"/>
                <w:szCs w:val="20"/>
                <w:color w:val="auto"/>
              </w:rPr>
            </w:pPr>
            <w:r>
              <w:rPr>
                <w:rFonts w:ascii="Arial" w:cs="Arial" w:eastAsia="Arial" w:hAnsi="Arial"/>
                <w:sz w:val="16"/>
                <w:szCs w:val="16"/>
                <w:color w:val="auto"/>
                <w:w w:val="82"/>
              </w:rPr>
              <w:t>Range: </w:t>
            </w:r>
          </w:p>
        </w:tc>
        <w:tc>
          <w:tcPr>
            <w:tcW w:w="160" w:type="dxa"/>
            <w:vAlign w:val="bottom"/>
            <w:shd w:val="clear" w:color="auto" w:fill="D6D1D8"/>
          </w:tcPr>
          <w:p>
            <w:pPr>
              <w:ind w:left="40"/>
              <w:spacing w:after="0"/>
              <w:rPr>
                <w:sz w:val="20"/>
                <w:szCs w:val="20"/>
                <w:color w:val="auto"/>
              </w:rPr>
            </w:pPr>
            <w:r>
              <w:rPr>
                <w:rFonts w:ascii="Arial" w:cs="Arial" w:eastAsia="Arial" w:hAnsi="Arial"/>
                <w:sz w:val="14"/>
                <w:szCs w:val="14"/>
                <w:color w:val="auto"/>
                <w:w w:val="71"/>
              </w:rPr>
              <w:t> </w:t>
            </w:r>
          </w:p>
        </w:tc>
        <w:tc>
          <w:tcPr>
            <w:tcW w:w="340" w:type="dxa"/>
            <w:vAlign w:val="bottom"/>
            <w:shd w:val="clear" w:color="auto" w:fill="D6D1D8"/>
          </w:tcPr>
          <w:p>
            <w:pPr>
              <w:ind w:left="40"/>
              <w:spacing w:after="0"/>
              <w:rPr>
                <w:sz w:val="20"/>
                <w:szCs w:val="20"/>
                <w:color w:val="auto"/>
              </w:rPr>
            </w:pPr>
            <w:r>
              <w:rPr>
                <w:rFonts w:ascii="Arial" w:cs="Arial" w:eastAsia="Arial" w:hAnsi="Arial"/>
                <w:sz w:val="16"/>
                <w:szCs w:val="16"/>
                <w:color w:val="auto"/>
              </w:rPr>
              <w:t> </w:t>
            </w:r>
          </w:p>
        </w:tc>
        <w:tc>
          <w:tcPr>
            <w:tcW w:w="2160" w:type="dxa"/>
            <w:vAlign w:val="bottom"/>
            <w:shd w:val="clear" w:color="auto" w:fill="D6D1D8"/>
          </w:tcPr>
          <w:p>
            <w:pPr>
              <w:ind w:left="200"/>
              <w:spacing w:after="0"/>
              <w:rPr>
                <w:sz w:val="20"/>
                <w:szCs w:val="20"/>
                <w:color w:val="auto"/>
              </w:rPr>
            </w:pPr>
            <w:r>
              <w:rPr>
                <w:rFonts w:ascii="Arial" w:cs="Arial" w:eastAsia="Arial" w:hAnsi="Arial"/>
                <w:sz w:val="16"/>
                <w:szCs w:val="16"/>
                <w:color w:val="auto"/>
              </w:rPr>
              <w:t>$3.8 billion–$24.8 billion</w:t>
            </w:r>
          </w:p>
        </w:tc>
      </w:tr>
      <w:tr>
        <w:trPr>
          <w:trHeight w:val="84"/>
        </w:trPr>
        <w:tc>
          <w:tcPr>
            <w:tcW w:w="4160" w:type="dxa"/>
            <w:vAlign w:val="bottom"/>
            <w:shd w:val="clear" w:color="auto" w:fill="D6D1D8"/>
          </w:tcPr>
          <w:p>
            <w:pPr>
              <w:spacing w:after="0"/>
              <w:rPr>
                <w:sz w:val="7"/>
                <w:szCs w:val="7"/>
                <w:color w:val="auto"/>
              </w:rPr>
            </w:pPr>
          </w:p>
        </w:tc>
        <w:tc>
          <w:tcPr>
            <w:tcW w:w="2040" w:type="dxa"/>
            <w:vAlign w:val="bottom"/>
            <w:shd w:val="clear" w:color="auto" w:fill="D6D1D8"/>
          </w:tcPr>
          <w:p>
            <w:pPr>
              <w:spacing w:after="0"/>
              <w:rPr>
                <w:sz w:val="7"/>
                <w:szCs w:val="7"/>
                <w:color w:val="auto"/>
              </w:rPr>
            </w:pPr>
          </w:p>
        </w:tc>
        <w:tc>
          <w:tcPr>
            <w:tcW w:w="160" w:type="dxa"/>
            <w:vAlign w:val="bottom"/>
            <w:shd w:val="clear" w:color="auto" w:fill="D6D1D8"/>
          </w:tcPr>
          <w:p>
            <w:pPr>
              <w:spacing w:after="0"/>
              <w:rPr>
                <w:sz w:val="7"/>
                <w:szCs w:val="7"/>
                <w:color w:val="auto"/>
              </w:rPr>
            </w:pPr>
          </w:p>
        </w:tc>
        <w:tc>
          <w:tcPr>
            <w:tcW w:w="220" w:type="dxa"/>
            <w:vAlign w:val="bottom"/>
            <w:shd w:val="clear" w:color="auto" w:fill="D6D1D8"/>
          </w:tcPr>
          <w:p>
            <w:pPr>
              <w:spacing w:after="0"/>
              <w:rPr>
                <w:sz w:val="7"/>
                <w:szCs w:val="7"/>
                <w:color w:val="auto"/>
              </w:rPr>
            </w:pPr>
          </w:p>
        </w:tc>
        <w:tc>
          <w:tcPr>
            <w:tcW w:w="1680" w:type="dxa"/>
            <w:vAlign w:val="bottom"/>
            <w:shd w:val="clear" w:color="auto" w:fill="D6D1D8"/>
          </w:tcPr>
          <w:p>
            <w:pPr>
              <w:spacing w:after="0"/>
              <w:rPr>
                <w:sz w:val="7"/>
                <w:szCs w:val="7"/>
                <w:color w:val="auto"/>
              </w:rPr>
            </w:pPr>
          </w:p>
        </w:tc>
        <w:tc>
          <w:tcPr>
            <w:tcW w:w="160" w:type="dxa"/>
            <w:vAlign w:val="bottom"/>
            <w:shd w:val="clear" w:color="auto" w:fill="D6D1D8"/>
          </w:tcPr>
          <w:p>
            <w:pPr>
              <w:spacing w:after="0"/>
              <w:rPr>
                <w:sz w:val="7"/>
                <w:szCs w:val="7"/>
                <w:color w:val="auto"/>
              </w:rPr>
            </w:pPr>
          </w:p>
        </w:tc>
        <w:tc>
          <w:tcPr>
            <w:tcW w:w="340" w:type="dxa"/>
            <w:vAlign w:val="bottom"/>
            <w:shd w:val="clear" w:color="auto" w:fill="D6D1D8"/>
          </w:tcPr>
          <w:p>
            <w:pPr>
              <w:spacing w:after="0"/>
              <w:rPr>
                <w:sz w:val="7"/>
                <w:szCs w:val="7"/>
                <w:color w:val="auto"/>
              </w:rPr>
            </w:pPr>
          </w:p>
        </w:tc>
        <w:tc>
          <w:tcPr>
            <w:tcW w:w="2160" w:type="dxa"/>
            <w:vAlign w:val="bottom"/>
            <w:shd w:val="clear" w:color="auto" w:fill="D6D1D8"/>
          </w:tcPr>
          <w:p>
            <w:pPr>
              <w:spacing w:after="0"/>
              <w:rPr>
                <w:sz w:val="7"/>
                <w:szCs w:val="7"/>
                <w:color w:val="auto"/>
              </w:rPr>
            </w:pPr>
          </w:p>
        </w:tc>
      </w:tr>
      <w:tr>
        <w:trPr>
          <w:trHeight w:val="291"/>
        </w:trPr>
        <w:tc>
          <w:tcPr>
            <w:tcW w:w="4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center"/>
              <w:ind w:left="900"/>
              <w:spacing w:after="0"/>
              <w:rPr>
                <w:sz w:val="20"/>
                <w:szCs w:val="20"/>
                <w:color w:val="auto"/>
              </w:rPr>
            </w:pPr>
            <w:r>
              <w:rPr>
                <w:rFonts w:ascii="Arial" w:cs="Arial" w:eastAsia="Arial" w:hAnsi="Arial"/>
                <w:sz w:val="16"/>
                <w:szCs w:val="16"/>
                <w:color w:val="auto"/>
                <w:w w:val="84"/>
              </w:rPr>
              <w:t>Median: </w:t>
            </w:r>
          </w:p>
        </w:tc>
        <w:tc>
          <w:tcPr>
            <w:tcW w:w="160" w:type="dxa"/>
            <w:vAlign w:val="bottom"/>
          </w:tcPr>
          <w:p>
            <w:pPr>
              <w:ind w:left="80"/>
              <w:spacing w:after="0"/>
              <w:rPr>
                <w:sz w:val="20"/>
                <w:szCs w:val="20"/>
                <w:color w:val="auto"/>
              </w:rPr>
            </w:pPr>
            <w:r>
              <w:rPr>
                <w:rFonts w:ascii="Arial" w:cs="Arial" w:eastAsia="Arial" w:hAnsi="Arial"/>
                <w:sz w:val="8"/>
                <w:szCs w:val="8"/>
                <w:color w:val="auto"/>
                <w:w w:val="74"/>
              </w:rPr>
              <w:t> </w:t>
            </w:r>
          </w:p>
        </w:tc>
        <w:tc>
          <w:tcPr>
            <w:tcW w:w="340" w:type="dxa"/>
            <w:vAlign w:val="bottom"/>
          </w:tcPr>
          <w:p>
            <w:pPr>
              <w:ind w:left="80"/>
              <w:spacing w:after="0"/>
              <w:rPr>
                <w:sz w:val="20"/>
                <w:szCs w:val="20"/>
                <w:color w:val="auto"/>
              </w:rPr>
            </w:pPr>
            <w:r>
              <w:rPr>
                <w:rFonts w:ascii="Arial" w:cs="Arial" w:eastAsia="Arial" w:hAnsi="Arial"/>
                <w:sz w:val="16"/>
                <w:szCs w:val="16"/>
                <w:color w:val="auto"/>
              </w:rPr>
              <w:t> </w:t>
            </w:r>
          </w:p>
        </w:tc>
        <w:tc>
          <w:tcPr>
            <w:tcW w:w="2160" w:type="dxa"/>
            <w:vAlign w:val="bottom"/>
          </w:tcPr>
          <w:p>
            <w:pPr>
              <w:ind w:left="200"/>
              <w:spacing w:after="0"/>
              <w:rPr>
                <w:sz w:val="20"/>
                <w:szCs w:val="20"/>
                <w:color w:val="auto"/>
              </w:rPr>
            </w:pPr>
            <w:r>
              <w:rPr>
                <w:rFonts w:ascii="Arial" w:cs="Arial" w:eastAsia="Arial" w:hAnsi="Arial"/>
                <w:sz w:val="16"/>
                <w:szCs w:val="16"/>
                <w:color w:val="auto"/>
              </w:rPr>
              <w:t>$9.4 billion</w:t>
            </w:r>
          </w:p>
        </w:tc>
      </w:tr>
      <w:tr>
        <w:trPr>
          <w:trHeight w:val="84"/>
        </w:trPr>
        <w:tc>
          <w:tcPr>
            <w:tcW w:w="41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160" w:type="dxa"/>
            <w:vAlign w:val="bottom"/>
          </w:tcPr>
          <w:p>
            <w:pPr>
              <w:spacing w:after="0"/>
              <w:rPr>
                <w:sz w:val="7"/>
                <w:szCs w:val="7"/>
                <w:color w:val="auto"/>
              </w:rPr>
            </w:pPr>
          </w:p>
        </w:tc>
      </w:tr>
      <w:tr>
        <w:trPr>
          <w:trHeight w:val="291"/>
        </w:trPr>
        <w:tc>
          <w:tcPr>
            <w:tcW w:w="4160" w:type="dxa"/>
            <w:vAlign w:val="bottom"/>
            <w:shd w:val="clear" w:color="auto" w:fill="D6D1D8"/>
          </w:tcPr>
          <w:p>
            <w:pPr>
              <w:ind w:left="80"/>
              <w:spacing w:after="0"/>
              <w:rPr>
                <w:sz w:val="20"/>
                <w:szCs w:val="20"/>
                <w:color w:val="auto"/>
              </w:rPr>
            </w:pPr>
            <w:r>
              <w:rPr>
                <w:rFonts w:ascii="Arial" w:cs="Arial" w:eastAsia="Arial" w:hAnsi="Arial"/>
                <w:sz w:val="16"/>
                <w:szCs w:val="16"/>
                <w:color w:val="auto"/>
              </w:rPr>
              <w:t>Market Capitalization</w:t>
            </w:r>
          </w:p>
        </w:tc>
        <w:tc>
          <w:tcPr>
            <w:tcW w:w="2040" w:type="dxa"/>
            <w:vAlign w:val="bottom"/>
            <w:shd w:val="clear" w:color="auto" w:fill="D6D1D8"/>
          </w:tcPr>
          <w:p>
            <w:pPr>
              <w:jc w:val="center"/>
              <w:ind w:left="980"/>
              <w:spacing w:after="0"/>
              <w:rPr>
                <w:sz w:val="20"/>
                <w:szCs w:val="20"/>
                <w:color w:val="auto"/>
              </w:rPr>
            </w:pPr>
            <w:r>
              <w:rPr>
                <w:rFonts w:ascii="Arial" w:cs="Arial" w:eastAsia="Arial" w:hAnsi="Arial"/>
                <w:sz w:val="16"/>
                <w:szCs w:val="16"/>
                <w:color w:val="auto"/>
                <w:w w:val="88"/>
              </w:rPr>
              <w:t>$9.5 billion </w:t>
            </w:r>
          </w:p>
        </w:tc>
        <w:tc>
          <w:tcPr>
            <w:tcW w:w="160" w:type="dxa"/>
            <w:vAlign w:val="bottom"/>
            <w:shd w:val="clear" w:color="auto" w:fill="D6D1D8"/>
          </w:tcPr>
          <w:p>
            <w:pPr>
              <w:ind w:left="40"/>
              <w:spacing w:after="0"/>
              <w:rPr>
                <w:sz w:val="20"/>
                <w:szCs w:val="20"/>
                <w:color w:val="auto"/>
              </w:rPr>
            </w:pPr>
            <w:r>
              <w:rPr>
                <w:rFonts w:ascii="Arial" w:cs="Arial" w:eastAsia="Arial" w:hAnsi="Arial"/>
                <w:sz w:val="14"/>
                <w:szCs w:val="14"/>
                <w:color w:val="auto"/>
                <w:w w:val="71"/>
              </w:rPr>
              <w:t> </w:t>
            </w:r>
          </w:p>
        </w:tc>
        <w:tc>
          <w:tcPr>
            <w:tcW w:w="220" w:type="dxa"/>
            <w:vAlign w:val="bottom"/>
            <w:shd w:val="clear" w:color="auto" w:fill="D6D1D8"/>
          </w:tcPr>
          <w:p>
            <w:pPr>
              <w:ind w:left="40"/>
              <w:spacing w:after="0"/>
              <w:rPr>
                <w:sz w:val="20"/>
                <w:szCs w:val="20"/>
                <w:color w:val="auto"/>
              </w:rPr>
            </w:pPr>
            <w:r>
              <w:rPr>
                <w:rFonts w:ascii="Arial" w:cs="Arial" w:eastAsia="Arial" w:hAnsi="Arial"/>
                <w:sz w:val="16"/>
                <w:szCs w:val="16"/>
                <w:color w:val="auto"/>
              </w:rPr>
              <w:t> </w:t>
            </w:r>
          </w:p>
        </w:tc>
        <w:tc>
          <w:tcPr>
            <w:tcW w:w="1680" w:type="dxa"/>
            <w:vAlign w:val="bottom"/>
            <w:shd w:val="clear" w:color="auto" w:fill="D6D1D8"/>
          </w:tcPr>
          <w:p>
            <w:pPr>
              <w:jc w:val="center"/>
              <w:ind w:left="880"/>
              <w:spacing w:after="0"/>
              <w:rPr>
                <w:sz w:val="20"/>
                <w:szCs w:val="20"/>
                <w:color w:val="auto"/>
              </w:rPr>
            </w:pPr>
            <w:r>
              <w:rPr>
                <w:rFonts w:ascii="Arial" w:cs="Arial" w:eastAsia="Arial" w:hAnsi="Arial"/>
                <w:sz w:val="16"/>
                <w:szCs w:val="16"/>
                <w:color w:val="auto"/>
                <w:w w:val="82"/>
              </w:rPr>
              <w:t>Range: </w:t>
            </w:r>
          </w:p>
        </w:tc>
        <w:tc>
          <w:tcPr>
            <w:tcW w:w="160" w:type="dxa"/>
            <w:vAlign w:val="bottom"/>
            <w:shd w:val="clear" w:color="auto" w:fill="D6D1D8"/>
          </w:tcPr>
          <w:p>
            <w:pPr>
              <w:ind w:left="40"/>
              <w:spacing w:after="0"/>
              <w:rPr>
                <w:sz w:val="20"/>
                <w:szCs w:val="20"/>
                <w:color w:val="auto"/>
              </w:rPr>
            </w:pPr>
            <w:r>
              <w:rPr>
                <w:rFonts w:ascii="Arial" w:cs="Arial" w:eastAsia="Arial" w:hAnsi="Arial"/>
                <w:sz w:val="14"/>
                <w:szCs w:val="14"/>
                <w:color w:val="auto"/>
                <w:w w:val="71"/>
              </w:rPr>
              <w:t> </w:t>
            </w:r>
          </w:p>
        </w:tc>
        <w:tc>
          <w:tcPr>
            <w:tcW w:w="340" w:type="dxa"/>
            <w:vAlign w:val="bottom"/>
            <w:shd w:val="clear" w:color="auto" w:fill="D6D1D8"/>
          </w:tcPr>
          <w:p>
            <w:pPr>
              <w:ind w:left="40"/>
              <w:spacing w:after="0"/>
              <w:rPr>
                <w:sz w:val="20"/>
                <w:szCs w:val="20"/>
                <w:color w:val="auto"/>
              </w:rPr>
            </w:pPr>
            <w:r>
              <w:rPr>
                <w:rFonts w:ascii="Arial" w:cs="Arial" w:eastAsia="Arial" w:hAnsi="Arial"/>
                <w:sz w:val="16"/>
                <w:szCs w:val="16"/>
                <w:color w:val="auto"/>
              </w:rPr>
              <w:t> </w:t>
            </w:r>
          </w:p>
        </w:tc>
        <w:tc>
          <w:tcPr>
            <w:tcW w:w="2160" w:type="dxa"/>
            <w:vAlign w:val="bottom"/>
            <w:shd w:val="clear" w:color="auto" w:fill="D6D1D8"/>
          </w:tcPr>
          <w:p>
            <w:pPr>
              <w:ind w:left="200"/>
              <w:spacing w:after="0"/>
              <w:rPr>
                <w:sz w:val="20"/>
                <w:szCs w:val="20"/>
                <w:color w:val="auto"/>
              </w:rPr>
            </w:pPr>
            <w:r>
              <w:rPr>
                <w:rFonts w:ascii="Arial" w:cs="Arial" w:eastAsia="Arial" w:hAnsi="Arial"/>
                <w:sz w:val="16"/>
                <w:szCs w:val="16"/>
                <w:color w:val="auto"/>
              </w:rPr>
              <w:t>$2.5 billion–$77.5 billion</w:t>
            </w:r>
          </w:p>
        </w:tc>
      </w:tr>
      <w:tr>
        <w:trPr>
          <w:trHeight w:val="84"/>
        </w:trPr>
        <w:tc>
          <w:tcPr>
            <w:tcW w:w="4160" w:type="dxa"/>
            <w:vAlign w:val="bottom"/>
            <w:shd w:val="clear" w:color="auto" w:fill="D6D1D8"/>
          </w:tcPr>
          <w:p>
            <w:pPr>
              <w:spacing w:after="0"/>
              <w:rPr>
                <w:sz w:val="7"/>
                <w:szCs w:val="7"/>
                <w:color w:val="auto"/>
              </w:rPr>
            </w:pPr>
          </w:p>
        </w:tc>
        <w:tc>
          <w:tcPr>
            <w:tcW w:w="2040" w:type="dxa"/>
            <w:vAlign w:val="bottom"/>
            <w:shd w:val="clear" w:color="auto" w:fill="D6D1D8"/>
          </w:tcPr>
          <w:p>
            <w:pPr>
              <w:spacing w:after="0"/>
              <w:rPr>
                <w:sz w:val="7"/>
                <w:szCs w:val="7"/>
                <w:color w:val="auto"/>
              </w:rPr>
            </w:pPr>
          </w:p>
        </w:tc>
        <w:tc>
          <w:tcPr>
            <w:tcW w:w="160" w:type="dxa"/>
            <w:vAlign w:val="bottom"/>
            <w:shd w:val="clear" w:color="auto" w:fill="D6D1D8"/>
          </w:tcPr>
          <w:p>
            <w:pPr>
              <w:spacing w:after="0"/>
              <w:rPr>
                <w:sz w:val="7"/>
                <w:szCs w:val="7"/>
                <w:color w:val="auto"/>
              </w:rPr>
            </w:pPr>
          </w:p>
        </w:tc>
        <w:tc>
          <w:tcPr>
            <w:tcW w:w="220" w:type="dxa"/>
            <w:vAlign w:val="bottom"/>
            <w:shd w:val="clear" w:color="auto" w:fill="D6D1D8"/>
          </w:tcPr>
          <w:p>
            <w:pPr>
              <w:spacing w:after="0"/>
              <w:rPr>
                <w:sz w:val="7"/>
                <w:szCs w:val="7"/>
                <w:color w:val="auto"/>
              </w:rPr>
            </w:pPr>
          </w:p>
        </w:tc>
        <w:tc>
          <w:tcPr>
            <w:tcW w:w="1680" w:type="dxa"/>
            <w:vAlign w:val="bottom"/>
            <w:shd w:val="clear" w:color="auto" w:fill="D6D1D8"/>
          </w:tcPr>
          <w:p>
            <w:pPr>
              <w:spacing w:after="0"/>
              <w:rPr>
                <w:sz w:val="7"/>
                <w:szCs w:val="7"/>
                <w:color w:val="auto"/>
              </w:rPr>
            </w:pPr>
          </w:p>
        </w:tc>
        <w:tc>
          <w:tcPr>
            <w:tcW w:w="160" w:type="dxa"/>
            <w:vAlign w:val="bottom"/>
            <w:shd w:val="clear" w:color="auto" w:fill="D6D1D8"/>
          </w:tcPr>
          <w:p>
            <w:pPr>
              <w:spacing w:after="0"/>
              <w:rPr>
                <w:sz w:val="7"/>
                <w:szCs w:val="7"/>
                <w:color w:val="auto"/>
              </w:rPr>
            </w:pPr>
          </w:p>
        </w:tc>
        <w:tc>
          <w:tcPr>
            <w:tcW w:w="340" w:type="dxa"/>
            <w:vAlign w:val="bottom"/>
            <w:shd w:val="clear" w:color="auto" w:fill="D6D1D8"/>
          </w:tcPr>
          <w:p>
            <w:pPr>
              <w:spacing w:after="0"/>
              <w:rPr>
                <w:sz w:val="7"/>
                <w:szCs w:val="7"/>
                <w:color w:val="auto"/>
              </w:rPr>
            </w:pPr>
          </w:p>
        </w:tc>
        <w:tc>
          <w:tcPr>
            <w:tcW w:w="2160" w:type="dxa"/>
            <w:vAlign w:val="bottom"/>
            <w:shd w:val="clear" w:color="auto" w:fill="D6D1D8"/>
          </w:tcPr>
          <w:p>
            <w:pPr>
              <w:spacing w:after="0"/>
              <w:rPr>
                <w:sz w:val="7"/>
                <w:szCs w:val="7"/>
                <w:color w:val="auto"/>
              </w:rPr>
            </w:pPr>
          </w:p>
        </w:tc>
      </w:tr>
      <w:tr>
        <w:trPr>
          <w:trHeight w:val="291"/>
        </w:trPr>
        <w:tc>
          <w:tcPr>
            <w:tcW w:w="4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center"/>
              <w:ind w:left="900"/>
              <w:spacing w:after="0"/>
              <w:rPr>
                <w:sz w:val="20"/>
                <w:szCs w:val="20"/>
                <w:color w:val="auto"/>
              </w:rPr>
            </w:pPr>
            <w:r>
              <w:rPr>
                <w:rFonts w:ascii="Arial" w:cs="Arial" w:eastAsia="Arial" w:hAnsi="Arial"/>
                <w:sz w:val="16"/>
                <w:szCs w:val="16"/>
                <w:color w:val="auto"/>
                <w:w w:val="84"/>
              </w:rPr>
              <w:t>Median: </w:t>
            </w:r>
          </w:p>
        </w:tc>
        <w:tc>
          <w:tcPr>
            <w:tcW w:w="160" w:type="dxa"/>
            <w:vAlign w:val="bottom"/>
          </w:tcPr>
          <w:p>
            <w:pPr>
              <w:ind w:left="80"/>
              <w:spacing w:after="0"/>
              <w:rPr>
                <w:sz w:val="20"/>
                <w:szCs w:val="20"/>
                <w:color w:val="auto"/>
              </w:rPr>
            </w:pPr>
            <w:r>
              <w:rPr>
                <w:rFonts w:ascii="Arial" w:cs="Arial" w:eastAsia="Arial" w:hAnsi="Arial"/>
                <w:sz w:val="8"/>
                <w:szCs w:val="8"/>
                <w:color w:val="auto"/>
                <w:w w:val="74"/>
              </w:rPr>
              <w:t> </w:t>
            </w:r>
          </w:p>
        </w:tc>
        <w:tc>
          <w:tcPr>
            <w:tcW w:w="340" w:type="dxa"/>
            <w:vAlign w:val="bottom"/>
          </w:tcPr>
          <w:p>
            <w:pPr>
              <w:ind w:left="80"/>
              <w:spacing w:after="0"/>
              <w:rPr>
                <w:sz w:val="20"/>
                <w:szCs w:val="20"/>
                <w:color w:val="auto"/>
              </w:rPr>
            </w:pPr>
            <w:r>
              <w:rPr>
                <w:rFonts w:ascii="Arial" w:cs="Arial" w:eastAsia="Arial" w:hAnsi="Arial"/>
                <w:sz w:val="16"/>
                <w:szCs w:val="16"/>
                <w:color w:val="auto"/>
              </w:rPr>
              <w:t> </w:t>
            </w:r>
          </w:p>
        </w:tc>
        <w:tc>
          <w:tcPr>
            <w:tcW w:w="2160" w:type="dxa"/>
            <w:vAlign w:val="bottom"/>
          </w:tcPr>
          <w:p>
            <w:pPr>
              <w:ind w:left="200"/>
              <w:spacing w:after="0"/>
              <w:rPr>
                <w:sz w:val="20"/>
                <w:szCs w:val="20"/>
                <w:color w:val="auto"/>
              </w:rPr>
            </w:pPr>
            <w:r>
              <w:rPr>
                <w:rFonts w:ascii="Arial" w:cs="Arial" w:eastAsia="Arial" w:hAnsi="Arial"/>
                <w:sz w:val="16"/>
                <w:szCs w:val="16"/>
                <w:color w:val="auto"/>
              </w:rPr>
              <w:t>$11.3 billion</w:t>
            </w:r>
          </w:p>
        </w:tc>
      </w:tr>
      <w:tr>
        <w:trPr>
          <w:trHeight w:val="84"/>
        </w:trPr>
        <w:tc>
          <w:tcPr>
            <w:tcW w:w="41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160" w:type="dxa"/>
            <w:vAlign w:val="bottom"/>
          </w:tcPr>
          <w:p>
            <w:pPr>
              <w:spacing w:after="0"/>
              <w:rPr>
                <w:sz w:val="7"/>
                <w:szCs w:val="7"/>
                <w:color w:val="auto"/>
              </w:rPr>
            </w:pPr>
          </w:p>
        </w:tc>
      </w:tr>
      <w:tr>
        <w:trPr>
          <w:trHeight w:val="291"/>
        </w:trPr>
        <w:tc>
          <w:tcPr>
            <w:tcW w:w="4160" w:type="dxa"/>
            <w:vAlign w:val="bottom"/>
            <w:shd w:val="clear" w:color="auto" w:fill="D6D1D8"/>
          </w:tcPr>
          <w:p>
            <w:pPr>
              <w:ind w:left="80"/>
              <w:spacing w:after="0"/>
              <w:rPr>
                <w:sz w:val="20"/>
                <w:szCs w:val="20"/>
                <w:color w:val="auto"/>
              </w:rPr>
            </w:pPr>
            <w:r>
              <w:rPr>
                <w:rFonts w:ascii="Arial" w:cs="Arial" w:eastAsia="Arial" w:hAnsi="Arial"/>
                <w:sz w:val="16"/>
                <w:szCs w:val="16"/>
                <w:color w:val="auto"/>
              </w:rPr>
              <w:t>Enterprise Value</w:t>
            </w:r>
          </w:p>
        </w:tc>
        <w:tc>
          <w:tcPr>
            <w:tcW w:w="2040" w:type="dxa"/>
            <w:vAlign w:val="bottom"/>
            <w:shd w:val="clear" w:color="auto" w:fill="D6D1D8"/>
          </w:tcPr>
          <w:p>
            <w:pPr>
              <w:jc w:val="center"/>
              <w:ind w:left="980"/>
              <w:spacing w:after="0"/>
              <w:rPr>
                <w:sz w:val="20"/>
                <w:szCs w:val="20"/>
                <w:color w:val="auto"/>
              </w:rPr>
            </w:pPr>
            <w:r>
              <w:rPr>
                <w:rFonts w:ascii="Arial" w:cs="Arial" w:eastAsia="Arial" w:hAnsi="Arial"/>
                <w:sz w:val="16"/>
                <w:szCs w:val="16"/>
                <w:color w:val="auto"/>
                <w:w w:val="88"/>
              </w:rPr>
              <w:t>$19.7 billion </w:t>
            </w:r>
          </w:p>
        </w:tc>
        <w:tc>
          <w:tcPr>
            <w:tcW w:w="160" w:type="dxa"/>
            <w:vAlign w:val="bottom"/>
            <w:shd w:val="clear" w:color="auto" w:fill="D6D1D8"/>
          </w:tcPr>
          <w:p>
            <w:pPr>
              <w:ind w:left="80"/>
              <w:spacing w:after="0"/>
              <w:rPr>
                <w:sz w:val="20"/>
                <w:szCs w:val="20"/>
                <w:color w:val="auto"/>
              </w:rPr>
            </w:pPr>
            <w:r>
              <w:rPr>
                <w:rFonts w:ascii="Arial" w:cs="Arial" w:eastAsia="Arial" w:hAnsi="Arial"/>
                <w:sz w:val="8"/>
                <w:szCs w:val="8"/>
                <w:color w:val="auto"/>
                <w:w w:val="74"/>
              </w:rPr>
              <w:t> </w:t>
            </w:r>
          </w:p>
        </w:tc>
        <w:tc>
          <w:tcPr>
            <w:tcW w:w="220" w:type="dxa"/>
            <w:vAlign w:val="bottom"/>
            <w:shd w:val="clear" w:color="auto" w:fill="D6D1D8"/>
          </w:tcPr>
          <w:p>
            <w:pPr>
              <w:ind w:left="80"/>
              <w:spacing w:after="0"/>
              <w:rPr>
                <w:sz w:val="20"/>
                <w:szCs w:val="20"/>
                <w:color w:val="auto"/>
              </w:rPr>
            </w:pPr>
            <w:r>
              <w:rPr>
                <w:rFonts w:ascii="Arial" w:cs="Arial" w:eastAsia="Arial" w:hAnsi="Arial"/>
                <w:sz w:val="16"/>
                <w:szCs w:val="16"/>
                <w:color w:val="auto"/>
              </w:rPr>
              <w:t> </w:t>
            </w:r>
          </w:p>
        </w:tc>
        <w:tc>
          <w:tcPr>
            <w:tcW w:w="1680" w:type="dxa"/>
            <w:vAlign w:val="bottom"/>
            <w:shd w:val="clear" w:color="auto" w:fill="D6D1D8"/>
          </w:tcPr>
          <w:p>
            <w:pPr>
              <w:jc w:val="center"/>
              <w:ind w:left="880"/>
              <w:spacing w:after="0"/>
              <w:rPr>
                <w:sz w:val="20"/>
                <w:szCs w:val="20"/>
                <w:color w:val="auto"/>
              </w:rPr>
            </w:pPr>
            <w:r>
              <w:rPr>
                <w:rFonts w:ascii="Arial" w:cs="Arial" w:eastAsia="Arial" w:hAnsi="Arial"/>
                <w:sz w:val="16"/>
                <w:szCs w:val="16"/>
                <w:color w:val="auto"/>
                <w:w w:val="82"/>
              </w:rPr>
              <w:t>Range: </w:t>
            </w:r>
          </w:p>
        </w:tc>
        <w:tc>
          <w:tcPr>
            <w:tcW w:w="160" w:type="dxa"/>
            <w:vAlign w:val="bottom"/>
            <w:shd w:val="clear" w:color="auto" w:fill="D6D1D8"/>
          </w:tcPr>
          <w:p>
            <w:pPr>
              <w:ind w:left="40"/>
              <w:spacing w:after="0"/>
              <w:rPr>
                <w:sz w:val="20"/>
                <w:szCs w:val="20"/>
                <w:color w:val="auto"/>
              </w:rPr>
            </w:pPr>
            <w:r>
              <w:rPr>
                <w:rFonts w:ascii="Arial" w:cs="Arial" w:eastAsia="Arial" w:hAnsi="Arial"/>
                <w:sz w:val="14"/>
                <w:szCs w:val="14"/>
                <w:color w:val="auto"/>
                <w:w w:val="71"/>
              </w:rPr>
              <w:t> </w:t>
            </w:r>
          </w:p>
        </w:tc>
        <w:tc>
          <w:tcPr>
            <w:tcW w:w="340" w:type="dxa"/>
            <w:vAlign w:val="bottom"/>
            <w:shd w:val="clear" w:color="auto" w:fill="D6D1D8"/>
          </w:tcPr>
          <w:p>
            <w:pPr>
              <w:ind w:left="40"/>
              <w:spacing w:after="0"/>
              <w:rPr>
                <w:sz w:val="20"/>
                <w:szCs w:val="20"/>
                <w:color w:val="auto"/>
              </w:rPr>
            </w:pPr>
            <w:r>
              <w:rPr>
                <w:rFonts w:ascii="Arial" w:cs="Arial" w:eastAsia="Arial" w:hAnsi="Arial"/>
                <w:sz w:val="16"/>
                <w:szCs w:val="16"/>
                <w:color w:val="auto"/>
              </w:rPr>
              <w:t> </w:t>
            </w:r>
          </w:p>
        </w:tc>
        <w:tc>
          <w:tcPr>
            <w:tcW w:w="2160" w:type="dxa"/>
            <w:vAlign w:val="bottom"/>
            <w:shd w:val="clear" w:color="auto" w:fill="D6D1D8"/>
          </w:tcPr>
          <w:p>
            <w:pPr>
              <w:ind w:left="200"/>
              <w:spacing w:after="0"/>
              <w:rPr>
                <w:sz w:val="20"/>
                <w:szCs w:val="20"/>
                <w:color w:val="auto"/>
              </w:rPr>
            </w:pPr>
            <w:r>
              <w:rPr>
                <w:rFonts w:ascii="Arial" w:cs="Arial" w:eastAsia="Arial" w:hAnsi="Arial"/>
                <w:sz w:val="16"/>
                <w:szCs w:val="16"/>
                <w:color w:val="auto"/>
              </w:rPr>
              <w:t>$5.8 billion–$91.6 billion</w:t>
            </w:r>
          </w:p>
        </w:tc>
      </w:tr>
      <w:tr>
        <w:trPr>
          <w:trHeight w:val="84"/>
        </w:trPr>
        <w:tc>
          <w:tcPr>
            <w:tcW w:w="4160" w:type="dxa"/>
            <w:vAlign w:val="bottom"/>
            <w:shd w:val="clear" w:color="auto" w:fill="D6D1D8"/>
          </w:tcPr>
          <w:p>
            <w:pPr>
              <w:spacing w:after="0"/>
              <w:rPr>
                <w:sz w:val="7"/>
                <w:szCs w:val="7"/>
                <w:color w:val="auto"/>
              </w:rPr>
            </w:pPr>
          </w:p>
        </w:tc>
        <w:tc>
          <w:tcPr>
            <w:tcW w:w="2040" w:type="dxa"/>
            <w:vAlign w:val="bottom"/>
            <w:shd w:val="clear" w:color="auto" w:fill="D6D1D8"/>
          </w:tcPr>
          <w:p>
            <w:pPr>
              <w:spacing w:after="0"/>
              <w:rPr>
                <w:sz w:val="7"/>
                <w:szCs w:val="7"/>
                <w:color w:val="auto"/>
              </w:rPr>
            </w:pPr>
          </w:p>
        </w:tc>
        <w:tc>
          <w:tcPr>
            <w:tcW w:w="160" w:type="dxa"/>
            <w:vAlign w:val="bottom"/>
            <w:shd w:val="clear" w:color="auto" w:fill="D6D1D8"/>
          </w:tcPr>
          <w:p>
            <w:pPr>
              <w:spacing w:after="0"/>
              <w:rPr>
                <w:sz w:val="7"/>
                <w:szCs w:val="7"/>
                <w:color w:val="auto"/>
              </w:rPr>
            </w:pPr>
          </w:p>
        </w:tc>
        <w:tc>
          <w:tcPr>
            <w:tcW w:w="220" w:type="dxa"/>
            <w:vAlign w:val="bottom"/>
            <w:shd w:val="clear" w:color="auto" w:fill="D6D1D8"/>
          </w:tcPr>
          <w:p>
            <w:pPr>
              <w:spacing w:after="0"/>
              <w:rPr>
                <w:sz w:val="7"/>
                <w:szCs w:val="7"/>
                <w:color w:val="auto"/>
              </w:rPr>
            </w:pPr>
          </w:p>
        </w:tc>
        <w:tc>
          <w:tcPr>
            <w:tcW w:w="1680" w:type="dxa"/>
            <w:vAlign w:val="bottom"/>
            <w:shd w:val="clear" w:color="auto" w:fill="D6D1D8"/>
          </w:tcPr>
          <w:p>
            <w:pPr>
              <w:spacing w:after="0"/>
              <w:rPr>
                <w:sz w:val="7"/>
                <w:szCs w:val="7"/>
                <w:color w:val="auto"/>
              </w:rPr>
            </w:pPr>
          </w:p>
        </w:tc>
        <w:tc>
          <w:tcPr>
            <w:tcW w:w="160" w:type="dxa"/>
            <w:vAlign w:val="bottom"/>
            <w:shd w:val="clear" w:color="auto" w:fill="D6D1D8"/>
          </w:tcPr>
          <w:p>
            <w:pPr>
              <w:spacing w:after="0"/>
              <w:rPr>
                <w:sz w:val="7"/>
                <w:szCs w:val="7"/>
                <w:color w:val="auto"/>
              </w:rPr>
            </w:pPr>
          </w:p>
        </w:tc>
        <w:tc>
          <w:tcPr>
            <w:tcW w:w="340" w:type="dxa"/>
            <w:vAlign w:val="bottom"/>
            <w:shd w:val="clear" w:color="auto" w:fill="D6D1D8"/>
          </w:tcPr>
          <w:p>
            <w:pPr>
              <w:spacing w:after="0"/>
              <w:rPr>
                <w:sz w:val="7"/>
                <w:szCs w:val="7"/>
                <w:color w:val="auto"/>
              </w:rPr>
            </w:pPr>
          </w:p>
        </w:tc>
        <w:tc>
          <w:tcPr>
            <w:tcW w:w="2160" w:type="dxa"/>
            <w:vAlign w:val="bottom"/>
            <w:shd w:val="clear" w:color="auto" w:fill="D6D1D8"/>
          </w:tcPr>
          <w:p>
            <w:pPr>
              <w:spacing w:after="0"/>
              <w:rPr>
                <w:sz w:val="7"/>
                <w:szCs w:val="7"/>
                <w:color w:val="auto"/>
              </w:rPr>
            </w:pPr>
          </w:p>
        </w:tc>
      </w:tr>
      <w:tr>
        <w:trPr>
          <w:trHeight w:val="291"/>
        </w:trPr>
        <w:tc>
          <w:tcPr>
            <w:tcW w:w="4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center"/>
              <w:ind w:left="900"/>
              <w:spacing w:after="0"/>
              <w:rPr>
                <w:sz w:val="20"/>
                <w:szCs w:val="20"/>
                <w:color w:val="auto"/>
              </w:rPr>
            </w:pPr>
            <w:r>
              <w:rPr>
                <w:rFonts w:ascii="Arial" w:cs="Arial" w:eastAsia="Arial" w:hAnsi="Arial"/>
                <w:sz w:val="16"/>
                <w:szCs w:val="16"/>
                <w:color w:val="auto"/>
                <w:w w:val="84"/>
              </w:rPr>
              <w:t>Median: </w:t>
            </w:r>
          </w:p>
        </w:tc>
        <w:tc>
          <w:tcPr>
            <w:tcW w:w="160" w:type="dxa"/>
            <w:vAlign w:val="bottom"/>
          </w:tcPr>
          <w:p>
            <w:pPr>
              <w:ind w:left="80"/>
              <w:spacing w:after="0"/>
              <w:rPr>
                <w:sz w:val="20"/>
                <w:szCs w:val="20"/>
                <w:color w:val="auto"/>
              </w:rPr>
            </w:pPr>
            <w:r>
              <w:rPr>
                <w:rFonts w:ascii="Arial" w:cs="Arial" w:eastAsia="Arial" w:hAnsi="Arial"/>
                <w:sz w:val="8"/>
                <w:szCs w:val="8"/>
                <w:color w:val="auto"/>
                <w:w w:val="74"/>
              </w:rPr>
              <w:t> </w:t>
            </w:r>
          </w:p>
        </w:tc>
        <w:tc>
          <w:tcPr>
            <w:tcW w:w="340" w:type="dxa"/>
            <w:vAlign w:val="bottom"/>
          </w:tcPr>
          <w:p>
            <w:pPr>
              <w:ind w:left="80"/>
              <w:spacing w:after="0"/>
              <w:rPr>
                <w:sz w:val="20"/>
                <w:szCs w:val="20"/>
                <w:color w:val="auto"/>
              </w:rPr>
            </w:pPr>
            <w:r>
              <w:rPr>
                <w:rFonts w:ascii="Arial" w:cs="Arial" w:eastAsia="Arial" w:hAnsi="Arial"/>
                <w:sz w:val="16"/>
                <w:szCs w:val="16"/>
                <w:color w:val="auto"/>
              </w:rPr>
              <w:t> </w:t>
            </w:r>
          </w:p>
        </w:tc>
        <w:tc>
          <w:tcPr>
            <w:tcW w:w="2160" w:type="dxa"/>
            <w:vAlign w:val="bottom"/>
          </w:tcPr>
          <w:p>
            <w:pPr>
              <w:ind w:left="200"/>
              <w:spacing w:after="0"/>
              <w:rPr>
                <w:sz w:val="20"/>
                <w:szCs w:val="20"/>
                <w:color w:val="auto"/>
              </w:rPr>
            </w:pPr>
            <w:r>
              <w:rPr>
                <w:rFonts w:ascii="Arial" w:cs="Arial" w:eastAsia="Arial" w:hAnsi="Arial"/>
                <w:sz w:val="16"/>
                <w:szCs w:val="16"/>
                <w:color w:val="auto"/>
              </w:rPr>
              <w:t>$17.1 billion</w:t>
            </w:r>
          </w:p>
        </w:tc>
      </w:tr>
    </w:tbl>
    <w:p>
      <w:pPr>
        <w:spacing w:after="0" w:line="178" w:lineRule="exact"/>
        <w:rPr>
          <w:sz w:val="20"/>
          <w:szCs w:val="20"/>
          <w:color w:val="auto"/>
        </w:rPr>
      </w:pPr>
    </w:p>
    <w:p>
      <w:pPr>
        <w:ind w:left="160"/>
        <w:spacing w:after="0"/>
        <w:rPr>
          <w:sz w:val="20"/>
          <w:szCs w:val="20"/>
          <w:color w:val="auto"/>
        </w:rPr>
      </w:pPr>
      <w:r>
        <w:rPr>
          <w:rFonts w:ascii="Arial" w:cs="Arial" w:eastAsia="Arial" w:hAnsi="Arial"/>
          <w:sz w:val="11"/>
          <w:szCs w:val="11"/>
          <w:color w:val="auto"/>
        </w:rPr>
        <w:t>Data source: Bloomberg.</w:t>
      </w:r>
    </w:p>
    <w:p>
      <w:pPr>
        <w:spacing w:after="0" w:line="2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45"/>
          <w:szCs w:val="45"/>
          <w:color w:val="110F1C"/>
        </w:rPr>
        <w:t>Non-Disclosure of Certain Metrics and Targets</w:t>
      </w:r>
    </w:p>
    <w:p>
      <w:pPr>
        <w:spacing w:after="0" w:line="344" w:lineRule="exact"/>
        <w:rPr>
          <w:sz w:val="20"/>
          <w:szCs w:val="20"/>
          <w:color w:val="auto"/>
        </w:rPr>
      </w:pPr>
    </w:p>
    <w:p>
      <w:pPr>
        <w:jc w:val="both"/>
        <w:ind w:left="160" w:right="260"/>
        <w:spacing w:after="0" w:line="262" w:lineRule="auto"/>
        <w:rPr>
          <w:sz w:val="20"/>
          <w:szCs w:val="20"/>
          <w:color w:val="auto"/>
        </w:rPr>
      </w:pPr>
      <w:r>
        <w:rPr>
          <w:rFonts w:ascii="Arial" w:cs="Arial" w:eastAsia="Arial" w:hAnsi="Arial"/>
          <w:sz w:val="16"/>
          <w:szCs w:val="16"/>
          <w:color w:val="auto"/>
        </w:rPr>
        <w:t>The Company believes in transparency and strives to disclose as much information to shareholders as possible except when we believe that providing full, or even limited, disclosure would be detrimental to the interests of shareholders. We believe certain disclosures could provide our competitors with insight regarding confidential business strategies without meaningfully adding to shareholders’ understanding.</w:t>
      </w:r>
    </w:p>
    <w:p>
      <w:pPr>
        <w:spacing w:after="0" w:line="102" w:lineRule="exact"/>
        <w:rPr>
          <w:sz w:val="20"/>
          <w:szCs w:val="20"/>
          <w:color w:val="auto"/>
        </w:rPr>
      </w:pPr>
    </w:p>
    <w:p>
      <w:pPr>
        <w:ind w:left="160"/>
        <w:spacing w:after="0"/>
        <w:rPr>
          <w:sz w:val="20"/>
          <w:szCs w:val="20"/>
          <w:color w:val="auto"/>
        </w:rPr>
      </w:pPr>
      <w:r>
        <w:rPr>
          <w:rFonts w:ascii="Arial" w:cs="Arial" w:eastAsia="Arial" w:hAnsi="Arial"/>
          <w:sz w:val="12"/>
          <w:szCs w:val="12"/>
          <w:color w:val="351B3D"/>
        </w:rPr>
        <w:t>46</w:t>
      </w:r>
    </w:p>
    <w:p>
      <w:pPr>
        <w:sectPr>
          <w:pgSz w:w="11900" w:h="16838" w:orient="portrait"/>
          <w:cols w:equalWidth="0" w:num="1">
            <w:col w:w="11080"/>
          </w:cols>
          <w:pgMar w:left="320" w:top="478"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45"/>
          <w:szCs w:val="45"/>
          <w:color w:val="110F1C"/>
        </w:rPr>
        <w:t>Other Aspects of Our Executive Compensation</w:t>
      </w:r>
    </w:p>
    <w:p>
      <w:pPr>
        <w:spacing w:after="0" w:line="344" w:lineRule="exact"/>
        <w:rPr>
          <w:sz w:val="20"/>
          <w:szCs w:val="20"/>
          <w:color w:val="auto"/>
        </w:rPr>
      </w:pPr>
    </w:p>
    <w:p>
      <w:pPr>
        <w:ind w:left="160" w:right="140"/>
        <w:spacing w:after="0" w:line="279" w:lineRule="auto"/>
        <w:rPr>
          <w:sz w:val="20"/>
          <w:szCs w:val="20"/>
          <w:color w:val="auto"/>
        </w:rPr>
      </w:pPr>
      <w:r>
        <w:rPr>
          <w:rFonts w:ascii="Arial" w:cs="Arial" w:eastAsia="Arial" w:hAnsi="Arial"/>
          <w:sz w:val="16"/>
          <w:szCs w:val="16"/>
          <w:color w:val="351B3D"/>
        </w:rPr>
        <w:t xml:space="preserve">STOCK OWNERSHIP REQUIREMENTS: </w:t>
      </w:r>
      <w:r>
        <w:rPr>
          <w:rFonts w:ascii="Arial" w:cs="Arial" w:eastAsia="Arial" w:hAnsi="Arial"/>
          <w:sz w:val="16"/>
          <w:szCs w:val="16"/>
          <w:color w:val="000000"/>
        </w:rPr>
        <w:t>The Board has adopted the following stock ownership requirements applicable to non-employee directors and</w:t>
      </w:r>
      <w:r>
        <w:rPr>
          <w:rFonts w:ascii="Arial" w:cs="Arial" w:eastAsia="Arial" w:hAnsi="Arial"/>
          <w:sz w:val="16"/>
          <w:szCs w:val="16"/>
          <w:color w:val="351B3D"/>
        </w:rPr>
        <w:t xml:space="preserve"> </w:t>
      </w:r>
      <w:r>
        <w:rPr>
          <w:rFonts w:ascii="Arial" w:cs="Arial" w:eastAsia="Arial" w:hAnsi="Arial"/>
          <w:sz w:val="16"/>
          <w:szCs w:val="16"/>
          <w:color w:val="000000"/>
        </w:rPr>
        <w:t>senior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128270</wp:posOffset>
            </wp:positionV>
            <wp:extent cx="8255" cy="9512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951230"/>
                    </a:xfrm>
                    <a:prstGeom prst="rect">
                      <a:avLst/>
                    </a:prstGeom>
                    <a:noFill/>
                  </pic:spPr>
                </pic:pic>
              </a:graphicData>
            </a:graphic>
          </wp:anchor>
        </w:drawing>
      </w:r>
    </w:p>
    <w:p>
      <w:pPr>
        <w:spacing w:after="0" w:line="182" w:lineRule="exact"/>
        <w:rPr>
          <w:sz w:val="20"/>
          <w:szCs w:val="20"/>
          <w:color w:val="auto"/>
        </w:rPr>
      </w:pPr>
    </w:p>
    <w:tbl>
      <w:tblPr>
        <w:tblLayout w:type="fixed"/>
        <w:tblInd w:w="160" w:type="dxa"/>
        <w:tblCellMar>
          <w:top w:w="0" w:type="dxa"/>
          <w:left w:w="0" w:type="dxa"/>
          <w:bottom w:w="0" w:type="dxa"/>
          <w:right w:w="0" w:type="dxa"/>
        </w:tblCellMar>
      </w:tblPr>
      <w:tr>
        <w:trPr>
          <w:trHeight w:val="398"/>
        </w:trPr>
        <w:tc>
          <w:tcPr>
            <w:tcW w:w="5460" w:type="dxa"/>
            <w:vAlign w:val="bottom"/>
            <w:shd w:val="clear" w:color="auto" w:fill="D6D1D8"/>
          </w:tcPr>
          <w:p>
            <w:pPr>
              <w:ind w:left="240"/>
              <w:spacing w:after="0"/>
              <w:rPr>
                <w:sz w:val="20"/>
                <w:szCs w:val="20"/>
                <w:color w:val="auto"/>
              </w:rPr>
            </w:pPr>
            <w:r>
              <w:rPr>
                <w:rFonts w:ascii="Arial" w:cs="Arial" w:eastAsia="Arial" w:hAnsi="Arial"/>
                <w:sz w:val="16"/>
                <w:szCs w:val="16"/>
                <w:color w:val="auto"/>
              </w:rPr>
              <w:t>Chief Executive Officer</w:t>
            </w:r>
          </w:p>
        </w:tc>
        <w:tc>
          <w:tcPr>
            <w:tcW w:w="5460" w:type="dxa"/>
            <w:vAlign w:val="bottom"/>
            <w:shd w:val="clear" w:color="auto" w:fill="D6D1D8"/>
          </w:tcPr>
          <w:p>
            <w:pPr>
              <w:ind w:left="240"/>
              <w:spacing w:after="0"/>
              <w:rPr>
                <w:sz w:val="20"/>
                <w:szCs w:val="20"/>
                <w:color w:val="auto"/>
              </w:rPr>
            </w:pPr>
            <w:r>
              <w:rPr>
                <w:rFonts w:ascii="Arial" w:cs="Arial" w:eastAsia="Arial" w:hAnsi="Arial"/>
                <w:sz w:val="16"/>
                <w:szCs w:val="16"/>
                <w:color w:val="auto"/>
              </w:rPr>
              <w:t>6x base salary</w:t>
            </w:r>
          </w:p>
        </w:tc>
      </w:tr>
      <w:tr>
        <w:trPr>
          <w:trHeight w:val="137"/>
        </w:trPr>
        <w:tc>
          <w:tcPr>
            <w:tcW w:w="5460" w:type="dxa"/>
            <w:vAlign w:val="bottom"/>
            <w:shd w:val="clear" w:color="auto" w:fill="D6D1D8"/>
          </w:tcPr>
          <w:p>
            <w:pPr>
              <w:spacing w:after="0"/>
              <w:rPr>
                <w:sz w:val="11"/>
                <w:szCs w:val="11"/>
                <w:color w:val="auto"/>
              </w:rPr>
            </w:pPr>
          </w:p>
        </w:tc>
        <w:tc>
          <w:tcPr>
            <w:tcW w:w="5460" w:type="dxa"/>
            <w:vAlign w:val="bottom"/>
            <w:shd w:val="clear" w:color="auto" w:fill="D6D1D8"/>
          </w:tcPr>
          <w:p>
            <w:pPr>
              <w:spacing w:after="0"/>
              <w:rPr>
                <w:sz w:val="11"/>
                <w:szCs w:val="11"/>
                <w:color w:val="auto"/>
              </w:rPr>
            </w:pPr>
          </w:p>
        </w:tc>
      </w:tr>
      <w:tr>
        <w:trPr>
          <w:trHeight w:val="371"/>
        </w:trPr>
        <w:tc>
          <w:tcPr>
            <w:tcW w:w="5460" w:type="dxa"/>
            <w:vAlign w:val="bottom"/>
          </w:tcPr>
          <w:p>
            <w:pPr>
              <w:ind w:left="240"/>
              <w:spacing w:after="0"/>
              <w:rPr>
                <w:sz w:val="20"/>
                <w:szCs w:val="20"/>
                <w:color w:val="auto"/>
              </w:rPr>
            </w:pPr>
            <w:r>
              <w:rPr>
                <w:rFonts w:ascii="Arial" w:cs="Arial" w:eastAsia="Arial" w:hAnsi="Arial"/>
                <w:sz w:val="16"/>
                <w:szCs w:val="16"/>
                <w:color w:val="auto"/>
              </w:rPr>
              <w:t>Other NEOs</w:t>
            </w:r>
          </w:p>
        </w:tc>
        <w:tc>
          <w:tcPr>
            <w:tcW w:w="5460" w:type="dxa"/>
            <w:vAlign w:val="bottom"/>
          </w:tcPr>
          <w:p>
            <w:pPr>
              <w:ind w:left="240"/>
              <w:spacing w:after="0"/>
              <w:rPr>
                <w:sz w:val="20"/>
                <w:szCs w:val="20"/>
                <w:color w:val="auto"/>
              </w:rPr>
            </w:pPr>
            <w:r>
              <w:rPr>
                <w:rFonts w:ascii="Arial" w:cs="Arial" w:eastAsia="Arial" w:hAnsi="Arial"/>
                <w:sz w:val="16"/>
                <w:szCs w:val="16"/>
                <w:color w:val="auto"/>
              </w:rPr>
              <w:t>3x base salary</w:t>
            </w:r>
          </w:p>
        </w:tc>
      </w:tr>
      <w:tr>
        <w:trPr>
          <w:trHeight w:val="110"/>
        </w:trPr>
        <w:tc>
          <w:tcPr>
            <w:tcW w:w="5460" w:type="dxa"/>
            <w:vAlign w:val="bottom"/>
          </w:tcPr>
          <w:p>
            <w:pPr>
              <w:spacing w:after="0"/>
              <w:rPr>
                <w:sz w:val="9"/>
                <w:szCs w:val="9"/>
                <w:color w:val="auto"/>
              </w:rPr>
            </w:pPr>
          </w:p>
        </w:tc>
        <w:tc>
          <w:tcPr>
            <w:tcW w:w="5460" w:type="dxa"/>
            <w:vAlign w:val="bottom"/>
          </w:tcPr>
          <w:p>
            <w:pPr>
              <w:spacing w:after="0"/>
              <w:rPr>
                <w:sz w:val="9"/>
                <w:szCs w:val="9"/>
                <w:color w:val="auto"/>
              </w:rPr>
            </w:pPr>
          </w:p>
        </w:tc>
      </w:tr>
      <w:tr>
        <w:trPr>
          <w:trHeight w:val="371"/>
        </w:trPr>
        <w:tc>
          <w:tcPr>
            <w:tcW w:w="5460" w:type="dxa"/>
            <w:vAlign w:val="bottom"/>
            <w:shd w:val="clear" w:color="auto" w:fill="D6D1D8"/>
          </w:tcPr>
          <w:p>
            <w:pPr>
              <w:ind w:left="240"/>
              <w:spacing w:after="0"/>
              <w:rPr>
                <w:sz w:val="20"/>
                <w:szCs w:val="20"/>
                <w:color w:val="auto"/>
              </w:rPr>
            </w:pPr>
            <w:r>
              <w:rPr>
                <w:rFonts w:ascii="Arial" w:cs="Arial" w:eastAsia="Arial" w:hAnsi="Arial"/>
                <w:sz w:val="16"/>
                <w:szCs w:val="16"/>
                <w:color w:val="auto"/>
              </w:rPr>
              <w:t>Non-employee directors</w:t>
            </w:r>
          </w:p>
        </w:tc>
        <w:tc>
          <w:tcPr>
            <w:tcW w:w="5460" w:type="dxa"/>
            <w:vAlign w:val="bottom"/>
            <w:shd w:val="clear" w:color="auto" w:fill="D6D1D8"/>
          </w:tcPr>
          <w:p>
            <w:pPr>
              <w:ind w:left="240"/>
              <w:spacing w:after="0"/>
              <w:rPr>
                <w:sz w:val="20"/>
                <w:szCs w:val="20"/>
                <w:color w:val="auto"/>
              </w:rPr>
            </w:pPr>
            <w:r>
              <w:rPr>
                <w:rFonts w:ascii="Arial" w:cs="Arial" w:eastAsia="Arial" w:hAnsi="Arial"/>
                <w:sz w:val="16"/>
                <w:szCs w:val="16"/>
                <w:color w:val="auto"/>
              </w:rPr>
              <w:t>3x annual retainer</w:t>
            </w:r>
          </w:p>
        </w:tc>
      </w:tr>
      <w:tr>
        <w:trPr>
          <w:trHeight w:val="110"/>
        </w:trPr>
        <w:tc>
          <w:tcPr>
            <w:tcW w:w="5460" w:type="dxa"/>
            <w:vAlign w:val="bottom"/>
            <w:shd w:val="clear" w:color="auto" w:fill="D6D1D8"/>
          </w:tcPr>
          <w:p>
            <w:pPr>
              <w:spacing w:after="0"/>
              <w:rPr>
                <w:sz w:val="9"/>
                <w:szCs w:val="9"/>
                <w:color w:val="auto"/>
              </w:rPr>
            </w:pPr>
          </w:p>
        </w:tc>
        <w:tc>
          <w:tcPr>
            <w:tcW w:w="5460" w:type="dxa"/>
            <w:vAlign w:val="bottom"/>
            <w:shd w:val="clear" w:color="auto" w:fill="D6D1D8"/>
          </w:tcPr>
          <w:p>
            <w:pPr>
              <w:spacing w:after="0"/>
              <w:rPr>
                <w:sz w:val="9"/>
                <w:szCs w:val="9"/>
                <w:color w:val="auto"/>
              </w:rPr>
            </w:pPr>
          </w:p>
        </w:tc>
      </w:tr>
    </w:tbl>
    <w:p>
      <w:pPr>
        <w:spacing w:after="0" w:line="200" w:lineRule="exact"/>
        <w:rPr>
          <w:sz w:val="20"/>
          <w:szCs w:val="20"/>
          <w:color w:val="auto"/>
        </w:rPr>
      </w:pPr>
    </w:p>
    <w:p>
      <w:pPr>
        <w:ind w:left="160" w:right="180"/>
        <w:spacing w:after="0" w:line="256" w:lineRule="auto"/>
        <w:rPr>
          <w:sz w:val="20"/>
          <w:szCs w:val="20"/>
          <w:color w:val="auto"/>
        </w:rPr>
      </w:pPr>
      <w:r>
        <w:rPr>
          <w:rFonts w:ascii="Arial" w:cs="Arial" w:eastAsia="Arial" w:hAnsi="Arial"/>
          <w:sz w:val="16"/>
          <w:szCs w:val="16"/>
          <w:color w:val="auto"/>
        </w:rPr>
        <w:t>Ownership requirements must be met for NEOs within five years of appointment to office and for directors within five years of election to the Board, with vested options and all restricted stock grants counted toward satisfaction of ownership requirements. If an NEO fails to make progress toward meeting these requirements, he or she will be automatically restricted by the Company from selling shares in future vesting beyond what is required to meet tax obligations. Currently, all our directors and NEOs satisfy the requirements.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6"/>
          <w:szCs w:val="16"/>
          <w:color w:val="110F1C"/>
        </w:rPr>
        <w:t>CLAWBACK POLICY</w:t>
      </w:r>
    </w:p>
    <w:p>
      <w:pPr>
        <w:spacing w:after="0" w:line="19"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color w:val="auto"/>
        </w:rPr>
        <w:t xml:space="preserve">The Board has adopted a clawback policy for executive officer compensation. Incentive-based compensation paid to our current or former executive officers, including our current or former NEOs, is subject to clawback ( </w:t>
      </w:r>
      <w:r>
        <w:rPr>
          <w:rFonts w:ascii="Arial" w:cs="Arial" w:eastAsia="Arial" w:hAnsi="Arial"/>
          <w:sz w:val="16"/>
          <w:szCs w:val="16"/>
          <w:i w:val="1"/>
          <w:iCs w:val="1"/>
          <w:color w:val="auto"/>
        </w:rPr>
        <w:t>i.e.</w:t>
      </w:r>
      <w:r>
        <w:rPr>
          <w:rFonts w:ascii="Arial" w:cs="Arial" w:eastAsia="Arial" w:hAnsi="Arial"/>
          <w:sz w:val="16"/>
          <w:szCs w:val="16"/>
          <w:color w:val="auto"/>
        </w:rPr>
        <w:t>, repayments by the NEO to the Company) if there is a restatement of our financial statements within three years of the payment. The amount of the clawback generally is equal to the difference between the compensation received by the NEO and the payment that would have been made based on the restated financial results. The clawback policy is filed as an exhibit to our Annual Report on Form 10-K.</w:t>
      </w:r>
    </w:p>
    <w:p>
      <w:pPr>
        <w:spacing w:after="0" w:line="187" w:lineRule="exact"/>
        <w:rPr>
          <w:sz w:val="20"/>
          <w:szCs w:val="20"/>
          <w:color w:val="auto"/>
        </w:rPr>
      </w:pPr>
    </w:p>
    <w:p>
      <w:pPr>
        <w:ind w:left="160" w:right="40"/>
        <w:spacing w:after="0" w:line="253" w:lineRule="auto"/>
        <w:rPr>
          <w:sz w:val="20"/>
          <w:szCs w:val="20"/>
          <w:color w:val="auto"/>
        </w:rPr>
      </w:pPr>
      <w:r>
        <w:rPr>
          <w:rFonts w:ascii="Arial" w:cs="Arial" w:eastAsia="Arial" w:hAnsi="Arial"/>
          <w:sz w:val="16"/>
          <w:szCs w:val="16"/>
          <w:color w:val="351B3D"/>
        </w:rPr>
        <w:t xml:space="preserve">ROLE OF THE COMPENSATION COMMITTEE AND MANAGEMENT IN SETTING COMPENSATION: </w:t>
      </w:r>
      <w:r>
        <w:rPr>
          <w:rFonts w:ascii="Arial" w:cs="Arial" w:eastAsia="Arial" w:hAnsi="Arial"/>
          <w:sz w:val="16"/>
          <w:szCs w:val="16"/>
          <w:color w:val="000000"/>
        </w:rPr>
        <w:t>The Compensation Committee sets all elements</w:t>
      </w:r>
      <w:r>
        <w:rPr>
          <w:rFonts w:ascii="Arial" w:cs="Arial" w:eastAsia="Arial" w:hAnsi="Arial"/>
          <w:sz w:val="16"/>
          <w:szCs w:val="16"/>
          <w:color w:val="351B3D"/>
        </w:rPr>
        <w:t xml:space="preserve"> </w:t>
      </w:r>
      <w:r>
        <w:rPr>
          <w:rFonts w:ascii="Arial" w:cs="Arial" w:eastAsia="Arial" w:hAnsi="Arial"/>
          <w:sz w:val="16"/>
          <w:szCs w:val="16"/>
          <w:color w:val="000000"/>
        </w:rPr>
        <w:t>of compensation for our NEOs based upon the NEO’s contributions to the operating and strategic performance of the Company. The Compensation Committee considers the recommendations of the CEO in establishing compensation for all other NEOs. In addition, the CEO performs annual reviews of our senior executive officers and makes recommendations to the Compensation Committee. The Compensation Committee reviews the recommendations and makes final decisions regarding compensation for our senior executive officers.</w:t>
      </w:r>
    </w:p>
    <w:p>
      <w:pPr>
        <w:spacing w:after="0" w:line="180" w:lineRule="exact"/>
        <w:rPr>
          <w:sz w:val="20"/>
          <w:szCs w:val="20"/>
          <w:color w:val="auto"/>
        </w:rPr>
      </w:pPr>
    </w:p>
    <w:p>
      <w:pPr>
        <w:ind w:left="160" w:right="160"/>
        <w:spacing w:after="0" w:line="253" w:lineRule="auto"/>
        <w:rPr>
          <w:sz w:val="20"/>
          <w:szCs w:val="20"/>
          <w:color w:val="auto"/>
        </w:rPr>
      </w:pPr>
      <w:r>
        <w:rPr>
          <w:rFonts w:ascii="Arial" w:cs="Arial" w:eastAsia="Arial" w:hAnsi="Arial"/>
          <w:sz w:val="16"/>
          <w:szCs w:val="16"/>
          <w:color w:val="351B3D"/>
        </w:rPr>
        <w:t xml:space="preserve">ROLE OF THE COMPENSATION CONSULTANT: </w:t>
      </w:r>
      <w:r>
        <w:rPr>
          <w:rFonts w:ascii="Arial" w:cs="Arial" w:eastAsia="Arial" w:hAnsi="Arial"/>
          <w:sz w:val="16"/>
          <w:szCs w:val="16"/>
          <w:color w:val="000000"/>
        </w:rPr>
        <w:t>The Compensation Committee has the authority to retain compensation consulting firms to assist it in</w:t>
      </w:r>
      <w:r>
        <w:rPr>
          <w:rFonts w:ascii="Arial" w:cs="Arial" w:eastAsia="Arial" w:hAnsi="Arial"/>
          <w:sz w:val="16"/>
          <w:szCs w:val="16"/>
          <w:color w:val="351B3D"/>
        </w:rPr>
        <w:t xml:space="preserve"> </w:t>
      </w:r>
      <w:r>
        <w:rPr>
          <w:rFonts w:ascii="Arial" w:cs="Arial" w:eastAsia="Arial" w:hAnsi="Arial"/>
          <w:sz w:val="16"/>
          <w:szCs w:val="16"/>
          <w:color w:val="000000"/>
        </w:rPr>
        <w:t>the evaluation of senior executive officer and employee compensation and benefit programs. In 2024, the Compensation Committee retained Radford a nationally recognized independent compensation consulting firm, to assist in performing its duties. Radford does not provide any other services to the Company. In 2024, Radford, at the direction of the Compensation Committee, completed a peer group review, in connection with the Compensation Committee’s review of compensation levels of our NEOs. The Compensation Committee retains sole responsibility for engaging its advisors.</w:t>
      </w:r>
    </w:p>
    <w:p>
      <w:pPr>
        <w:spacing w:after="0" w:line="180" w:lineRule="exact"/>
        <w:rPr>
          <w:sz w:val="20"/>
          <w:szCs w:val="20"/>
          <w:color w:val="auto"/>
        </w:rPr>
      </w:pPr>
    </w:p>
    <w:p>
      <w:pPr>
        <w:ind w:left="160" w:right="360"/>
        <w:spacing w:after="0" w:line="262" w:lineRule="auto"/>
        <w:rPr>
          <w:sz w:val="20"/>
          <w:szCs w:val="20"/>
          <w:color w:val="auto"/>
        </w:rPr>
      </w:pPr>
      <w:r>
        <w:rPr>
          <w:rFonts w:ascii="Arial" w:cs="Arial" w:eastAsia="Arial" w:hAnsi="Arial"/>
          <w:sz w:val="16"/>
          <w:szCs w:val="16"/>
          <w:color w:val="351B3D"/>
        </w:rPr>
        <w:t xml:space="preserve">INDEPENDENCE OF THE COMPENSATION CONSULTANT: </w:t>
      </w:r>
      <w:r>
        <w:rPr>
          <w:rFonts w:ascii="Arial" w:cs="Arial" w:eastAsia="Arial" w:hAnsi="Arial"/>
          <w:sz w:val="16"/>
          <w:szCs w:val="16"/>
          <w:color w:val="000000"/>
        </w:rPr>
        <w:t>The Compensation Committee has determined that Radford is independent, and the</w:t>
      </w:r>
      <w:r>
        <w:rPr>
          <w:rFonts w:ascii="Arial" w:cs="Arial" w:eastAsia="Arial" w:hAnsi="Arial"/>
          <w:sz w:val="16"/>
          <w:szCs w:val="16"/>
          <w:color w:val="351B3D"/>
        </w:rPr>
        <w:t xml:space="preserve"> </w:t>
      </w:r>
      <w:r>
        <w:rPr>
          <w:rFonts w:ascii="Arial" w:cs="Arial" w:eastAsia="Arial" w:hAnsi="Arial"/>
          <w:sz w:val="16"/>
          <w:szCs w:val="16"/>
          <w:color w:val="000000"/>
        </w:rPr>
        <w:t>services provided by Radford currently do not and during 2024 did not raise any conflict of interest. In reaching these conclusions, the Compensation Committee considered the factors set forth in Rule 10C-1 of the Exchange Act and applicable listing standards.</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080"/>
          </w:cols>
          <w:pgMar w:left="320" w:top="478"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color w:val="351B3D"/>
        </w:rPr>
        <w:t xml:space="preserve">EMPLOYMENT CONTRACTS: </w:t>
      </w:r>
      <w:r>
        <w:rPr>
          <w:rFonts w:ascii="Arial" w:cs="Arial" w:eastAsia="Arial" w:hAnsi="Arial"/>
          <w:sz w:val="16"/>
          <w:szCs w:val="16"/>
          <w:color w:val="000000"/>
        </w:rPr>
        <w:t>We have a longstanding practice of entering into multi-year employment contracts with our senior executive officers and</w:t>
      </w:r>
      <w:r>
        <w:rPr>
          <w:rFonts w:ascii="Arial" w:cs="Arial" w:eastAsia="Arial" w:hAnsi="Arial"/>
          <w:sz w:val="16"/>
          <w:szCs w:val="16"/>
          <w:color w:val="351B3D"/>
        </w:rPr>
        <w:t xml:space="preserve"> </w:t>
      </w:r>
      <w:r>
        <w:rPr>
          <w:rFonts w:ascii="Arial" w:cs="Arial" w:eastAsia="Arial" w:hAnsi="Arial"/>
          <w:sz w:val="16"/>
          <w:szCs w:val="16"/>
          <w:color w:val="000000"/>
        </w:rPr>
        <w:t>senior management. We believe that employment contracts provide greater assurance of continuity and retention of critical creative and operating talent in a highly competitive industry. Employment contracts for our NEOs are approved by the Compensation Committee in consultation with the Compensation Committee’s independent compensation advisors, as needed. The employment contracts for the NEOs currently employed by the Company specify their base salary and provide that if the executive’s employment terminates upon certain circumstances, the executive will receive specified separation benefits as described in more detail under the section below titled “Potential payments upon termination, retirement or change in control.” The NEOs’ employment contracts and the terms of their equity award agreements also provide that vesting of some or all of an executive’s outstanding equity awards will accelerate upon certain events. Our current employment contracts do not provide for any excise tax gross ups. We believe that providing for these benefits in these situations enhances the value of the business by preserving the continuity of management during potential change in control situations and by focusing our senior executives on our long-term priorities. Additional information regarding payments under these provisions is provided under the heading “Potential payments upon termination retirement or change in control.”</w:t>
      </w:r>
    </w:p>
    <w:p>
      <w:pPr>
        <w:spacing w:after="0" w:line="191" w:lineRule="exact"/>
        <w:rPr>
          <w:sz w:val="20"/>
          <w:szCs w:val="20"/>
          <w:color w:val="auto"/>
        </w:rPr>
      </w:pPr>
    </w:p>
    <w:p>
      <w:pPr>
        <w:ind w:left="160" w:right="180"/>
        <w:spacing w:after="0" w:line="262" w:lineRule="auto"/>
        <w:rPr>
          <w:sz w:val="20"/>
          <w:szCs w:val="20"/>
          <w:color w:val="auto"/>
        </w:rPr>
      </w:pPr>
      <w:r>
        <w:rPr>
          <w:rFonts w:ascii="Arial" w:cs="Arial" w:eastAsia="Arial" w:hAnsi="Arial"/>
          <w:sz w:val="16"/>
          <w:szCs w:val="16"/>
          <w:color w:val="351B3D"/>
        </w:rPr>
        <w:t xml:space="preserve">RETIREMENT PLAN: </w:t>
      </w:r>
      <w:r>
        <w:rPr>
          <w:rFonts w:ascii="Arial" w:cs="Arial" w:eastAsia="Arial" w:hAnsi="Arial"/>
          <w:sz w:val="16"/>
          <w:szCs w:val="16"/>
          <w:color w:val="000000"/>
        </w:rPr>
        <w:t>On November 1, 2023, we adopted the Wynn Resorts, Limited Executive Retirement Plan, as amended from time to time (the</w:t>
      </w:r>
      <w:r>
        <w:rPr>
          <w:rFonts w:ascii="Arial" w:cs="Arial" w:eastAsia="Arial" w:hAnsi="Arial"/>
          <w:sz w:val="16"/>
          <w:szCs w:val="16"/>
          <w:color w:val="351B3D"/>
        </w:rPr>
        <w:t xml:space="preserve"> </w:t>
      </w:r>
      <w:r>
        <w:rPr>
          <w:rFonts w:ascii="Arial" w:cs="Arial" w:eastAsia="Arial" w:hAnsi="Arial"/>
          <w:sz w:val="16"/>
          <w:szCs w:val="16"/>
          <w:color w:val="000000"/>
        </w:rPr>
        <w:t>“Retirement Plan”), which provides specified payments and benefits to certain key executives upon retirement. For more information on the Retirement Plan, see the section below titled “Potential payments upon termination, retirement or change in control”.</w:t>
      </w:r>
    </w:p>
    <w:p>
      <w:pPr>
        <w:spacing w:after="0" w:line="24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45"/>
          <w:szCs w:val="45"/>
          <w:color w:val="140F21"/>
        </w:rPr>
        <w:t>Compensation Committee Report</w:t>
      </w:r>
    </w:p>
    <w:p>
      <w:pPr>
        <w:spacing w:after="0" w:line="344" w:lineRule="exact"/>
        <w:rPr>
          <w:sz w:val="20"/>
          <w:szCs w:val="20"/>
          <w:color w:val="auto"/>
        </w:rPr>
      </w:pPr>
    </w:p>
    <w:p>
      <w:pPr>
        <w:ind w:left="160"/>
        <w:spacing w:after="0" w:line="262" w:lineRule="auto"/>
        <w:rPr>
          <w:sz w:val="20"/>
          <w:szCs w:val="20"/>
          <w:color w:val="auto"/>
        </w:rPr>
      </w:pPr>
      <w:r>
        <w:rPr>
          <w:rFonts w:ascii="Arial" w:cs="Arial" w:eastAsia="Arial" w:hAnsi="Arial"/>
          <w:sz w:val="16"/>
          <w:szCs w:val="16"/>
          <w:color w:val="auto"/>
        </w:rPr>
        <w:t>We have reviewed and discussed the Compensation Discussion and Analysis required by Item 402(b) of Regulation S-K with the Company’s management. Based on such review and discussion, we have recommended to the Board that the Compensation Discussion and Analysis be included in this Proxy Statement.</w:t>
      </w:r>
    </w:p>
    <w:p>
      <w:pPr>
        <w:spacing w:after="0" w:line="17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Compensation Committee</w:t>
      </w:r>
    </w:p>
    <w:p>
      <w:pPr>
        <w:spacing w:after="0" w:line="217"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Betsy S. Atkins, Chair</w:t>
      </w:r>
    </w:p>
    <w:p>
      <w:pPr>
        <w:spacing w:after="0" w:line="19"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Richard J. Byrne</w:t>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Margaret J. Myers</w:t>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Darnell O. Strom</w:t>
      </w:r>
    </w:p>
    <w:p>
      <w:pPr>
        <w:spacing w:after="0" w:line="131" w:lineRule="exact"/>
        <w:rPr>
          <w:sz w:val="20"/>
          <w:szCs w:val="20"/>
          <w:color w:val="auto"/>
        </w:rPr>
      </w:pPr>
    </w:p>
    <w:p>
      <w:pPr>
        <w:ind w:left="160"/>
        <w:spacing w:after="0"/>
        <w:rPr>
          <w:sz w:val="20"/>
          <w:szCs w:val="20"/>
          <w:color w:val="auto"/>
        </w:rPr>
      </w:pPr>
      <w:r>
        <w:rPr>
          <w:rFonts w:ascii="Arial" w:cs="Arial" w:eastAsia="Arial" w:hAnsi="Arial"/>
          <w:sz w:val="12"/>
          <w:szCs w:val="12"/>
          <w:color w:val="351B3D"/>
        </w:rPr>
        <w:t>48</w:t>
      </w:r>
    </w:p>
    <w:p>
      <w:pPr>
        <w:sectPr>
          <w:pgSz w:w="11900" w:h="16838" w:orient="portrait"/>
          <w:cols w:equalWidth="0" w:num="1">
            <w:col w:w="11020"/>
          </w:cols>
          <w:pgMar w:left="320" w:top="478" w:right="5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2899"/>
        <w:spacing w:after="0"/>
        <w:rPr>
          <w:sz w:val="20"/>
          <w:szCs w:val="20"/>
          <w:color w:val="auto"/>
        </w:rPr>
      </w:pPr>
      <w:r>
        <w:rPr>
          <w:rFonts w:ascii="Arial" w:cs="Arial" w:eastAsia="Arial" w:hAnsi="Arial"/>
          <w:sz w:val="16"/>
          <w:szCs w:val="16"/>
          <w:color w:val="auto"/>
        </w:rPr>
        <w:t>[THIS PAGE INTENTIONALLY LEFT BLANK]</w:t>
      </w:r>
    </w:p>
    <w:p>
      <w:pPr>
        <w:sectPr>
          <w:pgSz w:w="11900" w:h="16838" w:orient="portrait"/>
          <w:cols w:equalWidth="0" w:num="1">
            <w:col w:w="10139"/>
          </w:cols>
          <w:pgMar w:left="320" w:top="478"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7094855" cy="9171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78"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45"/>
          <w:szCs w:val="45"/>
          <w:color w:val="140F21"/>
        </w:rPr>
        <w:t>2024 Summary Compensation Table</w:t>
      </w:r>
    </w:p>
    <w:p>
      <w:pPr>
        <w:spacing w:after="0" w:line="344" w:lineRule="exact"/>
        <w:rPr>
          <w:sz w:val="20"/>
          <w:szCs w:val="20"/>
          <w:color w:val="auto"/>
        </w:rPr>
      </w:pPr>
    </w:p>
    <w:p>
      <w:pPr>
        <w:ind w:left="160" w:right="120"/>
        <w:spacing w:after="0" w:line="279" w:lineRule="auto"/>
        <w:rPr>
          <w:sz w:val="20"/>
          <w:szCs w:val="20"/>
          <w:color w:val="auto"/>
        </w:rPr>
      </w:pPr>
      <w:r>
        <w:rPr>
          <w:rFonts w:ascii="Arial" w:cs="Arial" w:eastAsia="Arial" w:hAnsi="Arial"/>
          <w:sz w:val="16"/>
          <w:szCs w:val="16"/>
          <w:color w:val="auto"/>
        </w:rPr>
        <w:t>The table below summarizes the total compensation awarded to, earned by, or paid to, each of our NEOs for the fiscal years ended December 31, 2024,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204470</wp:posOffset>
            </wp:positionV>
            <wp:extent cx="6938010" cy="5214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38010" cy="5214620"/>
                    </a:xfrm>
                    <a:prstGeom prst="rect">
                      <a:avLst/>
                    </a:prstGeom>
                    <a:noFill/>
                  </pic:spPr>
                </pic:pic>
              </a:graphicData>
            </a:graphic>
          </wp:anchor>
        </w:drawing>
      </w:r>
    </w:p>
    <w:p>
      <w:pPr>
        <w:spacing w:after="0" w:line="302" w:lineRule="exact"/>
        <w:rPr>
          <w:sz w:val="20"/>
          <w:szCs w:val="20"/>
          <w:color w:val="auto"/>
        </w:rPr>
      </w:pPr>
    </w:p>
    <w:tbl>
      <w:tblPr>
        <w:tblLayout w:type="fixed"/>
        <w:tblInd w:w="160" w:type="dxa"/>
        <w:tblCellMar>
          <w:top w:w="0" w:type="dxa"/>
          <w:left w:w="0" w:type="dxa"/>
          <w:bottom w:w="0" w:type="dxa"/>
          <w:right w:w="0" w:type="dxa"/>
        </w:tblCellMar>
      </w:tblPr>
      <w:tr>
        <w:trPr>
          <w:trHeight w:val="307"/>
        </w:trPr>
        <w:tc>
          <w:tcPr>
            <w:tcW w:w="3720" w:type="dxa"/>
            <w:vAlign w:val="bottom"/>
            <w:shd w:val="clear" w:color="auto" w:fill="351B3D"/>
          </w:tcPr>
          <w:p>
            <w:pPr>
              <w:spacing w:after="0"/>
              <w:rPr>
                <w:sz w:val="24"/>
                <w:szCs w:val="24"/>
                <w:color w:val="auto"/>
              </w:rPr>
            </w:pPr>
          </w:p>
        </w:tc>
        <w:tc>
          <w:tcPr>
            <w:tcW w:w="40" w:type="dxa"/>
            <w:vAlign w:val="bottom"/>
            <w:shd w:val="clear" w:color="auto" w:fill="351B3D"/>
          </w:tcPr>
          <w:p>
            <w:pPr>
              <w:spacing w:after="0"/>
              <w:rPr>
                <w:sz w:val="24"/>
                <w:szCs w:val="24"/>
                <w:color w:val="auto"/>
              </w:rPr>
            </w:pPr>
          </w:p>
        </w:tc>
        <w:tc>
          <w:tcPr>
            <w:tcW w:w="500" w:type="dxa"/>
            <w:vAlign w:val="bottom"/>
            <w:shd w:val="clear" w:color="auto" w:fill="351B3D"/>
          </w:tcPr>
          <w:p>
            <w:pPr>
              <w:spacing w:after="0"/>
              <w:rPr>
                <w:sz w:val="24"/>
                <w:szCs w:val="24"/>
                <w:color w:val="auto"/>
              </w:rPr>
            </w:pPr>
          </w:p>
        </w:tc>
        <w:tc>
          <w:tcPr>
            <w:tcW w:w="1000" w:type="dxa"/>
            <w:vAlign w:val="bottom"/>
            <w:shd w:val="clear" w:color="auto" w:fill="351B3D"/>
          </w:tcPr>
          <w:p>
            <w:pPr>
              <w:spacing w:after="0"/>
              <w:rPr>
                <w:sz w:val="24"/>
                <w:szCs w:val="24"/>
                <w:color w:val="auto"/>
              </w:rPr>
            </w:pPr>
          </w:p>
        </w:tc>
        <w:tc>
          <w:tcPr>
            <w:tcW w:w="1060" w:type="dxa"/>
            <w:vAlign w:val="bottom"/>
            <w:shd w:val="clear" w:color="auto" w:fill="351B3D"/>
          </w:tcPr>
          <w:p>
            <w:pPr>
              <w:spacing w:after="0"/>
              <w:rPr>
                <w:sz w:val="24"/>
                <w:szCs w:val="24"/>
                <w:color w:val="auto"/>
              </w:rPr>
            </w:pPr>
          </w:p>
        </w:tc>
        <w:tc>
          <w:tcPr>
            <w:tcW w:w="840" w:type="dxa"/>
            <w:vAlign w:val="bottom"/>
            <w:shd w:val="clear" w:color="auto" w:fill="351B3D"/>
          </w:tcPr>
          <w:p>
            <w:pPr>
              <w:spacing w:after="0"/>
              <w:rPr>
                <w:sz w:val="24"/>
                <w:szCs w:val="24"/>
                <w:color w:val="auto"/>
              </w:rPr>
            </w:pPr>
          </w:p>
        </w:tc>
        <w:tc>
          <w:tcPr>
            <w:tcW w:w="1340" w:type="dxa"/>
            <w:vAlign w:val="bottom"/>
            <w:shd w:val="clear" w:color="auto" w:fill="351B3D"/>
          </w:tcPr>
          <w:p>
            <w:pPr>
              <w:jc w:val="center"/>
              <w:spacing w:after="0"/>
              <w:rPr>
                <w:sz w:val="20"/>
                <w:szCs w:val="20"/>
                <w:color w:val="auto"/>
              </w:rPr>
            </w:pPr>
            <w:r>
              <w:rPr>
                <w:rFonts w:ascii="Arial" w:cs="Arial" w:eastAsia="Arial" w:hAnsi="Arial"/>
                <w:sz w:val="16"/>
                <w:szCs w:val="16"/>
                <w:color w:val="FFFFFF"/>
              </w:rPr>
              <w:t>NON-EQUITY</w:t>
            </w:r>
          </w:p>
        </w:tc>
        <w:tc>
          <w:tcPr>
            <w:tcW w:w="1360" w:type="dxa"/>
            <w:vAlign w:val="bottom"/>
            <w:shd w:val="clear" w:color="auto" w:fill="351B3D"/>
          </w:tcPr>
          <w:p>
            <w:pPr>
              <w:spacing w:after="0"/>
              <w:rPr>
                <w:sz w:val="24"/>
                <w:szCs w:val="24"/>
                <w:color w:val="auto"/>
              </w:rPr>
            </w:pPr>
          </w:p>
        </w:tc>
        <w:tc>
          <w:tcPr>
            <w:tcW w:w="1060" w:type="dxa"/>
            <w:vAlign w:val="bottom"/>
            <w:shd w:val="clear" w:color="auto" w:fill="351B3D"/>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720" w:type="dxa"/>
            <w:vAlign w:val="bottom"/>
            <w:vMerge w:val="restart"/>
            <w:shd w:val="clear" w:color="auto" w:fill="351B3D"/>
          </w:tcPr>
          <w:p>
            <w:pPr>
              <w:ind w:left="80"/>
              <w:spacing w:after="0"/>
              <w:rPr>
                <w:sz w:val="20"/>
                <w:szCs w:val="20"/>
                <w:color w:val="auto"/>
              </w:rPr>
            </w:pPr>
            <w:r>
              <w:rPr>
                <w:rFonts w:ascii="Arial" w:cs="Arial" w:eastAsia="Arial" w:hAnsi="Arial"/>
                <w:sz w:val="16"/>
                <w:szCs w:val="16"/>
                <w:color w:val="FFFFFF"/>
              </w:rPr>
              <w:t> NAME AND</w:t>
            </w:r>
          </w:p>
        </w:tc>
        <w:tc>
          <w:tcPr>
            <w:tcW w:w="40" w:type="dxa"/>
            <w:vAlign w:val="bottom"/>
            <w:shd w:val="clear" w:color="auto" w:fill="351B3D"/>
          </w:tcPr>
          <w:p>
            <w:pPr>
              <w:spacing w:after="0"/>
              <w:rPr>
                <w:sz w:val="16"/>
                <w:szCs w:val="16"/>
                <w:color w:val="auto"/>
              </w:rPr>
            </w:pPr>
          </w:p>
        </w:tc>
        <w:tc>
          <w:tcPr>
            <w:tcW w:w="500" w:type="dxa"/>
            <w:vAlign w:val="bottom"/>
            <w:shd w:val="clear" w:color="auto" w:fill="351B3D"/>
          </w:tcPr>
          <w:p>
            <w:pPr>
              <w:spacing w:after="0"/>
              <w:rPr>
                <w:sz w:val="16"/>
                <w:szCs w:val="16"/>
                <w:color w:val="auto"/>
              </w:rPr>
            </w:pPr>
          </w:p>
        </w:tc>
        <w:tc>
          <w:tcPr>
            <w:tcW w:w="100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rPr>
              <w:t>SALARY ($)</w:t>
            </w:r>
          </w:p>
        </w:tc>
        <w:tc>
          <w:tcPr>
            <w:tcW w:w="1060" w:type="dxa"/>
            <w:vAlign w:val="bottom"/>
            <w:shd w:val="clear" w:color="auto" w:fill="351B3D"/>
          </w:tcPr>
          <w:p>
            <w:pPr>
              <w:jc w:val="center"/>
              <w:spacing w:after="0"/>
              <w:rPr>
                <w:sz w:val="20"/>
                <w:szCs w:val="20"/>
                <w:color w:val="auto"/>
              </w:rPr>
            </w:pPr>
            <w:r>
              <w:rPr>
                <w:rFonts w:ascii="Arial" w:cs="Arial" w:eastAsia="Arial" w:hAnsi="Arial"/>
                <w:sz w:val="16"/>
                <w:szCs w:val="16"/>
                <w:color w:val="FFFFFF"/>
                <w:w w:val="97"/>
              </w:rPr>
              <w:t>STOCK</w:t>
            </w:r>
          </w:p>
        </w:tc>
        <w:tc>
          <w:tcPr>
            <w:tcW w:w="840" w:type="dxa"/>
            <w:vAlign w:val="bottom"/>
            <w:shd w:val="clear" w:color="auto" w:fill="351B3D"/>
          </w:tcPr>
          <w:p>
            <w:pPr>
              <w:jc w:val="center"/>
              <w:spacing w:after="0"/>
              <w:rPr>
                <w:sz w:val="20"/>
                <w:szCs w:val="20"/>
                <w:color w:val="auto"/>
              </w:rPr>
            </w:pPr>
            <w:r>
              <w:rPr>
                <w:rFonts w:ascii="Arial" w:cs="Arial" w:eastAsia="Arial" w:hAnsi="Arial"/>
                <w:sz w:val="16"/>
                <w:szCs w:val="16"/>
                <w:color w:val="FFFFFF"/>
                <w:w w:val="97"/>
              </w:rPr>
              <w:t>OPTION</w:t>
            </w:r>
          </w:p>
        </w:tc>
        <w:tc>
          <w:tcPr>
            <w:tcW w:w="1340" w:type="dxa"/>
            <w:vAlign w:val="bottom"/>
            <w:shd w:val="clear" w:color="auto" w:fill="351B3D"/>
          </w:tcPr>
          <w:p>
            <w:pPr>
              <w:jc w:val="center"/>
              <w:spacing w:after="0"/>
              <w:rPr>
                <w:sz w:val="20"/>
                <w:szCs w:val="20"/>
                <w:color w:val="auto"/>
              </w:rPr>
            </w:pPr>
            <w:r>
              <w:rPr>
                <w:rFonts w:ascii="Arial" w:cs="Arial" w:eastAsia="Arial" w:hAnsi="Arial"/>
                <w:sz w:val="16"/>
                <w:szCs w:val="16"/>
                <w:color w:val="FFFFFF"/>
              </w:rPr>
              <w:t>INCENTIVE</w:t>
            </w:r>
          </w:p>
        </w:tc>
        <w:tc>
          <w:tcPr>
            <w:tcW w:w="1360" w:type="dxa"/>
            <w:vAlign w:val="bottom"/>
            <w:shd w:val="clear" w:color="auto" w:fill="351B3D"/>
          </w:tcPr>
          <w:p>
            <w:pPr>
              <w:jc w:val="center"/>
              <w:spacing w:after="0"/>
              <w:rPr>
                <w:sz w:val="20"/>
                <w:szCs w:val="20"/>
                <w:color w:val="auto"/>
              </w:rPr>
            </w:pPr>
            <w:r>
              <w:rPr>
                <w:rFonts w:ascii="Arial" w:cs="Arial" w:eastAsia="Arial" w:hAnsi="Arial"/>
                <w:sz w:val="16"/>
                <w:szCs w:val="16"/>
                <w:color w:val="FFFFFF"/>
              </w:rPr>
              <w:t>All OTHER</w:t>
            </w:r>
          </w:p>
        </w:tc>
        <w:tc>
          <w:tcPr>
            <w:tcW w:w="1060" w:type="dxa"/>
            <w:vAlign w:val="bottom"/>
            <w:shd w:val="clear" w:color="auto" w:fill="351B3D"/>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720" w:type="dxa"/>
            <w:vAlign w:val="bottom"/>
            <w:vMerge w:val="continue"/>
            <w:shd w:val="clear" w:color="auto" w:fill="351B3D"/>
          </w:tcPr>
          <w:p>
            <w:pPr>
              <w:spacing w:after="0"/>
              <w:rPr>
                <w:sz w:val="14"/>
                <w:szCs w:val="14"/>
                <w:color w:val="auto"/>
              </w:rPr>
            </w:pPr>
          </w:p>
        </w:tc>
        <w:tc>
          <w:tcPr>
            <w:tcW w:w="40" w:type="dxa"/>
            <w:vAlign w:val="bottom"/>
            <w:shd w:val="clear" w:color="auto" w:fill="351B3D"/>
          </w:tcPr>
          <w:p>
            <w:pPr>
              <w:spacing w:after="0"/>
              <w:rPr>
                <w:sz w:val="14"/>
                <w:szCs w:val="14"/>
                <w:color w:val="auto"/>
              </w:rPr>
            </w:pPr>
          </w:p>
        </w:tc>
        <w:tc>
          <w:tcPr>
            <w:tcW w:w="500" w:type="dxa"/>
            <w:vAlign w:val="bottom"/>
            <w:shd w:val="clear" w:color="auto" w:fill="351B3D"/>
          </w:tcPr>
          <w:p>
            <w:pPr>
              <w:jc w:val="center"/>
              <w:spacing w:after="0" w:line="161" w:lineRule="exact"/>
              <w:rPr>
                <w:sz w:val="20"/>
                <w:szCs w:val="20"/>
                <w:color w:val="auto"/>
              </w:rPr>
            </w:pPr>
            <w:r>
              <w:rPr>
                <w:rFonts w:ascii="Arial" w:cs="Arial" w:eastAsia="Arial" w:hAnsi="Arial"/>
                <w:sz w:val="16"/>
                <w:szCs w:val="16"/>
                <w:color w:val="FFFFFF"/>
              </w:rPr>
              <w:t>YEAR</w:t>
            </w:r>
          </w:p>
        </w:tc>
        <w:tc>
          <w:tcPr>
            <w:tcW w:w="1000" w:type="dxa"/>
            <w:vAlign w:val="bottom"/>
            <w:vMerge w:val="continue"/>
            <w:shd w:val="clear" w:color="auto" w:fill="351B3D"/>
          </w:tcPr>
          <w:p>
            <w:pPr>
              <w:spacing w:after="0"/>
              <w:rPr>
                <w:sz w:val="14"/>
                <w:szCs w:val="14"/>
                <w:color w:val="auto"/>
              </w:rPr>
            </w:pPr>
          </w:p>
        </w:tc>
        <w:tc>
          <w:tcPr>
            <w:tcW w:w="1060" w:type="dxa"/>
            <w:vAlign w:val="bottom"/>
            <w:shd w:val="clear" w:color="auto" w:fill="351B3D"/>
          </w:tcPr>
          <w:p>
            <w:pPr>
              <w:jc w:val="center"/>
              <w:spacing w:after="0" w:line="161" w:lineRule="exact"/>
              <w:rPr>
                <w:sz w:val="20"/>
                <w:szCs w:val="20"/>
                <w:color w:val="auto"/>
              </w:rPr>
            </w:pPr>
            <w:r>
              <w:rPr>
                <w:rFonts w:ascii="Arial" w:cs="Arial" w:eastAsia="Arial" w:hAnsi="Arial"/>
                <w:sz w:val="16"/>
                <w:szCs w:val="16"/>
                <w:color w:val="FFFFFF"/>
                <w:w w:val="99"/>
              </w:rPr>
              <w:t>AWARDS</w:t>
            </w:r>
          </w:p>
        </w:tc>
        <w:tc>
          <w:tcPr>
            <w:tcW w:w="840" w:type="dxa"/>
            <w:vAlign w:val="bottom"/>
            <w:shd w:val="clear" w:color="auto" w:fill="351B3D"/>
          </w:tcPr>
          <w:p>
            <w:pPr>
              <w:jc w:val="center"/>
              <w:spacing w:after="0" w:line="161" w:lineRule="exact"/>
              <w:rPr>
                <w:sz w:val="20"/>
                <w:szCs w:val="20"/>
                <w:color w:val="auto"/>
              </w:rPr>
            </w:pPr>
            <w:r>
              <w:rPr>
                <w:rFonts w:ascii="Arial" w:cs="Arial" w:eastAsia="Arial" w:hAnsi="Arial"/>
                <w:sz w:val="16"/>
                <w:szCs w:val="16"/>
                <w:color w:val="FFFFFF"/>
                <w:w w:val="96"/>
              </w:rPr>
              <w:t>AWARDS</w:t>
            </w:r>
          </w:p>
        </w:tc>
        <w:tc>
          <w:tcPr>
            <w:tcW w:w="1340" w:type="dxa"/>
            <w:vAlign w:val="bottom"/>
            <w:shd w:val="clear" w:color="auto" w:fill="351B3D"/>
          </w:tcPr>
          <w:p>
            <w:pPr>
              <w:jc w:val="center"/>
              <w:spacing w:after="0" w:line="161" w:lineRule="exact"/>
              <w:rPr>
                <w:sz w:val="20"/>
                <w:szCs w:val="20"/>
                <w:color w:val="auto"/>
              </w:rPr>
            </w:pPr>
            <w:r>
              <w:rPr>
                <w:rFonts w:ascii="Arial" w:cs="Arial" w:eastAsia="Arial" w:hAnsi="Arial"/>
                <w:sz w:val="16"/>
                <w:szCs w:val="16"/>
                <w:color w:val="FFFFFF"/>
              </w:rPr>
              <w:t>PLAN</w:t>
            </w:r>
          </w:p>
        </w:tc>
        <w:tc>
          <w:tcPr>
            <w:tcW w:w="1360" w:type="dxa"/>
            <w:vAlign w:val="bottom"/>
            <w:shd w:val="clear" w:color="auto" w:fill="351B3D"/>
          </w:tcPr>
          <w:p>
            <w:pPr>
              <w:jc w:val="center"/>
              <w:spacing w:after="0" w:line="161" w:lineRule="exact"/>
              <w:rPr>
                <w:sz w:val="20"/>
                <w:szCs w:val="20"/>
                <w:color w:val="auto"/>
              </w:rPr>
            </w:pPr>
            <w:r>
              <w:rPr>
                <w:rFonts w:ascii="Arial" w:cs="Arial" w:eastAsia="Arial" w:hAnsi="Arial"/>
                <w:sz w:val="16"/>
                <w:szCs w:val="16"/>
                <w:color w:val="FFFFFF"/>
                <w:w w:val="98"/>
              </w:rPr>
              <w:t>COMPENSATION</w:t>
            </w:r>
          </w:p>
        </w:tc>
        <w:tc>
          <w:tcPr>
            <w:tcW w:w="1060" w:type="dxa"/>
            <w:vAlign w:val="bottom"/>
            <w:shd w:val="clear" w:color="auto" w:fill="351B3D"/>
          </w:tcPr>
          <w:p>
            <w:pPr>
              <w:ind w:left="140"/>
              <w:spacing w:after="0" w:line="161" w:lineRule="exact"/>
              <w:rPr>
                <w:sz w:val="20"/>
                <w:szCs w:val="20"/>
                <w:color w:val="auto"/>
              </w:rPr>
            </w:pPr>
            <w:r>
              <w:rPr>
                <w:rFonts w:ascii="Arial" w:cs="Arial" w:eastAsia="Arial" w:hAnsi="Arial"/>
                <w:sz w:val="16"/>
                <w:szCs w:val="16"/>
                <w:color w:val="FFFFFF"/>
              </w:rPr>
              <w:t>TOTAL ($)</w:t>
            </w:r>
          </w:p>
        </w:tc>
        <w:tc>
          <w:tcPr>
            <w:tcW w:w="0" w:type="dxa"/>
            <w:vAlign w:val="bottom"/>
          </w:tcPr>
          <w:p>
            <w:pPr>
              <w:spacing w:after="0"/>
              <w:rPr>
                <w:sz w:val="1"/>
                <w:szCs w:val="1"/>
                <w:color w:val="auto"/>
              </w:rPr>
            </w:pPr>
          </w:p>
        </w:tc>
      </w:tr>
      <w:tr>
        <w:trPr>
          <w:trHeight w:val="187"/>
        </w:trPr>
        <w:tc>
          <w:tcPr>
            <w:tcW w:w="3720" w:type="dxa"/>
            <w:vAlign w:val="bottom"/>
            <w:shd w:val="clear" w:color="auto" w:fill="351B3D"/>
          </w:tcPr>
          <w:p>
            <w:pPr>
              <w:ind w:left="80"/>
              <w:spacing w:after="0"/>
              <w:rPr>
                <w:sz w:val="20"/>
                <w:szCs w:val="20"/>
                <w:color w:val="auto"/>
              </w:rPr>
            </w:pPr>
            <w:r>
              <w:rPr>
                <w:rFonts w:ascii="Arial" w:cs="Arial" w:eastAsia="Arial" w:hAnsi="Arial"/>
                <w:sz w:val="16"/>
                <w:szCs w:val="16"/>
                <w:color w:val="FFFFFF"/>
              </w:rPr>
              <w:t> PRINCIPAL POSITION</w:t>
            </w:r>
          </w:p>
        </w:tc>
        <w:tc>
          <w:tcPr>
            <w:tcW w:w="40" w:type="dxa"/>
            <w:vAlign w:val="bottom"/>
            <w:shd w:val="clear" w:color="auto" w:fill="351B3D"/>
          </w:tcPr>
          <w:p>
            <w:pPr>
              <w:spacing w:after="0"/>
              <w:rPr>
                <w:sz w:val="16"/>
                <w:szCs w:val="16"/>
                <w:color w:val="auto"/>
              </w:rPr>
            </w:pPr>
          </w:p>
        </w:tc>
        <w:tc>
          <w:tcPr>
            <w:tcW w:w="500" w:type="dxa"/>
            <w:vAlign w:val="bottom"/>
            <w:shd w:val="clear" w:color="auto" w:fill="351B3D"/>
          </w:tcPr>
          <w:p>
            <w:pPr>
              <w:spacing w:after="0"/>
              <w:rPr>
                <w:sz w:val="16"/>
                <w:szCs w:val="16"/>
                <w:color w:val="auto"/>
              </w:rPr>
            </w:pPr>
          </w:p>
        </w:tc>
        <w:tc>
          <w:tcPr>
            <w:tcW w:w="1000" w:type="dxa"/>
            <w:vAlign w:val="bottom"/>
            <w:shd w:val="clear" w:color="auto" w:fill="351B3D"/>
          </w:tcPr>
          <w:p>
            <w:pPr>
              <w:jc w:val="right"/>
              <w:ind w:right="340"/>
              <w:spacing w:after="0"/>
              <w:rPr>
                <w:sz w:val="20"/>
                <w:szCs w:val="20"/>
                <w:color w:val="auto"/>
              </w:rPr>
            </w:pPr>
            <w:r>
              <w:rPr>
                <w:rFonts w:ascii="Arial" w:cs="Arial" w:eastAsia="Arial" w:hAnsi="Arial"/>
                <w:sz w:val="16"/>
                <w:szCs w:val="16"/>
                <w:color w:val="FFFFFF"/>
              </w:rPr>
              <w:t>(1)</w:t>
            </w:r>
          </w:p>
        </w:tc>
        <w:tc>
          <w:tcPr>
            <w:tcW w:w="106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rPr>
              <w:t>($)(2)</w:t>
            </w:r>
          </w:p>
        </w:tc>
        <w:tc>
          <w:tcPr>
            <w:tcW w:w="84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rPr>
              <w:t>($)</w:t>
            </w:r>
          </w:p>
        </w:tc>
        <w:tc>
          <w:tcPr>
            <w:tcW w:w="134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rPr>
              <w:t>COMPENSATION</w:t>
            </w:r>
          </w:p>
        </w:tc>
        <w:tc>
          <w:tcPr>
            <w:tcW w:w="136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rPr>
              <w:t>($)(4)</w:t>
            </w:r>
          </w:p>
        </w:tc>
        <w:tc>
          <w:tcPr>
            <w:tcW w:w="1060" w:type="dxa"/>
            <w:vAlign w:val="bottom"/>
            <w:shd w:val="clear" w:color="auto" w:fill="351B3D"/>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20" w:type="dxa"/>
            <w:vAlign w:val="bottom"/>
            <w:shd w:val="clear" w:color="auto" w:fill="351B3D"/>
          </w:tcPr>
          <w:p>
            <w:pPr>
              <w:spacing w:after="0"/>
              <w:rPr>
                <w:sz w:val="2"/>
                <w:szCs w:val="2"/>
                <w:color w:val="auto"/>
              </w:rPr>
            </w:pPr>
          </w:p>
        </w:tc>
        <w:tc>
          <w:tcPr>
            <w:tcW w:w="40" w:type="dxa"/>
            <w:vAlign w:val="bottom"/>
            <w:shd w:val="clear" w:color="auto" w:fill="351B3D"/>
          </w:tcPr>
          <w:p>
            <w:pPr>
              <w:spacing w:after="0"/>
              <w:rPr>
                <w:sz w:val="2"/>
                <w:szCs w:val="2"/>
                <w:color w:val="auto"/>
              </w:rPr>
            </w:pPr>
          </w:p>
        </w:tc>
        <w:tc>
          <w:tcPr>
            <w:tcW w:w="500" w:type="dxa"/>
            <w:vAlign w:val="bottom"/>
            <w:shd w:val="clear" w:color="auto" w:fill="351B3D"/>
          </w:tcPr>
          <w:p>
            <w:pPr>
              <w:spacing w:after="0"/>
              <w:rPr>
                <w:sz w:val="2"/>
                <w:szCs w:val="2"/>
                <w:color w:val="auto"/>
              </w:rPr>
            </w:pPr>
          </w:p>
        </w:tc>
        <w:tc>
          <w:tcPr>
            <w:tcW w:w="1000" w:type="dxa"/>
            <w:vAlign w:val="bottom"/>
            <w:shd w:val="clear" w:color="auto" w:fill="351B3D"/>
          </w:tcPr>
          <w:p>
            <w:pPr>
              <w:spacing w:after="0"/>
              <w:rPr>
                <w:sz w:val="2"/>
                <w:szCs w:val="2"/>
                <w:color w:val="auto"/>
              </w:rPr>
            </w:pPr>
          </w:p>
        </w:tc>
        <w:tc>
          <w:tcPr>
            <w:tcW w:w="1060" w:type="dxa"/>
            <w:vAlign w:val="bottom"/>
            <w:vMerge w:val="continue"/>
            <w:shd w:val="clear" w:color="auto" w:fill="351B3D"/>
          </w:tcPr>
          <w:p>
            <w:pPr>
              <w:spacing w:after="0"/>
              <w:rPr>
                <w:sz w:val="2"/>
                <w:szCs w:val="2"/>
                <w:color w:val="auto"/>
              </w:rPr>
            </w:pPr>
          </w:p>
        </w:tc>
        <w:tc>
          <w:tcPr>
            <w:tcW w:w="840" w:type="dxa"/>
            <w:vAlign w:val="bottom"/>
            <w:vMerge w:val="continue"/>
            <w:shd w:val="clear" w:color="auto" w:fill="351B3D"/>
          </w:tcPr>
          <w:p>
            <w:pPr>
              <w:spacing w:after="0"/>
              <w:rPr>
                <w:sz w:val="2"/>
                <w:szCs w:val="2"/>
                <w:color w:val="auto"/>
              </w:rPr>
            </w:pPr>
          </w:p>
        </w:tc>
        <w:tc>
          <w:tcPr>
            <w:tcW w:w="1340" w:type="dxa"/>
            <w:vAlign w:val="bottom"/>
            <w:vMerge w:val="continue"/>
            <w:shd w:val="clear" w:color="auto" w:fill="351B3D"/>
          </w:tcPr>
          <w:p>
            <w:pPr>
              <w:spacing w:after="0"/>
              <w:rPr>
                <w:sz w:val="2"/>
                <w:szCs w:val="2"/>
                <w:color w:val="auto"/>
              </w:rPr>
            </w:pPr>
          </w:p>
        </w:tc>
        <w:tc>
          <w:tcPr>
            <w:tcW w:w="1360" w:type="dxa"/>
            <w:vAlign w:val="bottom"/>
            <w:vMerge w:val="continue"/>
            <w:shd w:val="clear" w:color="auto" w:fill="351B3D"/>
          </w:tcPr>
          <w:p>
            <w:pPr>
              <w:spacing w:after="0"/>
              <w:rPr>
                <w:sz w:val="2"/>
                <w:szCs w:val="2"/>
                <w:color w:val="auto"/>
              </w:rPr>
            </w:pPr>
          </w:p>
        </w:tc>
        <w:tc>
          <w:tcPr>
            <w:tcW w:w="1060" w:type="dxa"/>
            <w:vAlign w:val="bottom"/>
            <w:shd w:val="clear" w:color="auto" w:fill="351B3D"/>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720" w:type="dxa"/>
            <w:vAlign w:val="bottom"/>
            <w:shd w:val="clear" w:color="auto" w:fill="351B3D"/>
          </w:tcPr>
          <w:p>
            <w:pPr>
              <w:spacing w:after="0"/>
              <w:rPr>
                <w:sz w:val="18"/>
                <w:szCs w:val="18"/>
                <w:color w:val="auto"/>
              </w:rPr>
            </w:pPr>
          </w:p>
        </w:tc>
        <w:tc>
          <w:tcPr>
            <w:tcW w:w="40" w:type="dxa"/>
            <w:vAlign w:val="bottom"/>
            <w:shd w:val="clear" w:color="auto" w:fill="351B3D"/>
          </w:tcPr>
          <w:p>
            <w:pPr>
              <w:spacing w:after="0"/>
              <w:rPr>
                <w:sz w:val="18"/>
                <w:szCs w:val="18"/>
                <w:color w:val="auto"/>
              </w:rPr>
            </w:pPr>
          </w:p>
        </w:tc>
        <w:tc>
          <w:tcPr>
            <w:tcW w:w="500" w:type="dxa"/>
            <w:vAlign w:val="bottom"/>
            <w:shd w:val="clear" w:color="auto" w:fill="351B3D"/>
          </w:tcPr>
          <w:p>
            <w:pPr>
              <w:spacing w:after="0"/>
              <w:rPr>
                <w:sz w:val="18"/>
                <w:szCs w:val="18"/>
                <w:color w:val="auto"/>
              </w:rPr>
            </w:pPr>
          </w:p>
        </w:tc>
        <w:tc>
          <w:tcPr>
            <w:tcW w:w="1000" w:type="dxa"/>
            <w:vAlign w:val="bottom"/>
            <w:shd w:val="clear" w:color="auto" w:fill="351B3D"/>
          </w:tcPr>
          <w:p>
            <w:pPr>
              <w:spacing w:after="0"/>
              <w:rPr>
                <w:sz w:val="18"/>
                <w:szCs w:val="18"/>
                <w:color w:val="auto"/>
              </w:rPr>
            </w:pPr>
          </w:p>
        </w:tc>
        <w:tc>
          <w:tcPr>
            <w:tcW w:w="1060" w:type="dxa"/>
            <w:vAlign w:val="bottom"/>
            <w:shd w:val="clear" w:color="auto" w:fill="351B3D"/>
          </w:tcPr>
          <w:p>
            <w:pPr>
              <w:spacing w:after="0"/>
              <w:rPr>
                <w:sz w:val="18"/>
                <w:szCs w:val="18"/>
                <w:color w:val="auto"/>
              </w:rPr>
            </w:pPr>
          </w:p>
        </w:tc>
        <w:tc>
          <w:tcPr>
            <w:tcW w:w="840" w:type="dxa"/>
            <w:vAlign w:val="bottom"/>
            <w:shd w:val="clear" w:color="auto" w:fill="351B3D"/>
          </w:tcPr>
          <w:p>
            <w:pPr>
              <w:spacing w:after="0"/>
              <w:rPr>
                <w:sz w:val="18"/>
                <w:szCs w:val="18"/>
                <w:color w:val="auto"/>
              </w:rPr>
            </w:pPr>
          </w:p>
        </w:tc>
        <w:tc>
          <w:tcPr>
            <w:tcW w:w="1340" w:type="dxa"/>
            <w:vAlign w:val="bottom"/>
            <w:shd w:val="clear" w:color="auto" w:fill="351B3D"/>
          </w:tcPr>
          <w:p>
            <w:pPr>
              <w:jc w:val="center"/>
              <w:spacing w:after="0"/>
              <w:rPr>
                <w:sz w:val="20"/>
                <w:szCs w:val="20"/>
                <w:color w:val="auto"/>
              </w:rPr>
            </w:pPr>
            <w:r>
              <w:rPr>
                <w:rFonts w:ascii="Arial" w:cs="Arial" w:eastAsia="Arial" w:hAnsi="Arial"/>
                <w:sz w:val="16"/>
                <w:szCs w:val="16"/>
                <w:color w:val="FFFFFF"/>
                <w:w w:val="97"/>
              </w:rPr>
              <w:t>($)(3)</w:t>
            </w:r>
          </w:p>
        </w:tc>
        <w:tc>
          <w:tcPr>
            <w:tcW w:w="1360" w:type="dxa"/>
            <w:vAlign w:val="bottom"/>
            <w:shd w:val="clear" w:color="auto" w:fill="351B3D"/>
          </w:tcPr>
          <w:p>
            <w:pPr>
              <w:spacing w:after="0"/>
              <w:rPr>
                <w:sz w:val="18"/>
                <w:szCs w:val="18"/>
                <w:color w:val="auto"/>
              </w:rPr>
            </w:pPr>
          </w:p>
        </w:tc>
        <w:tc>
          <w:tcPr>
            <w:tcW w:w="1060" w:type="dxa"/>
            <w:vAlign w:val="bottom"/>
            <w:shd w:val="clear" w:color="auto" w:fill="351B3D"/>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3720" w:type="dxa"/>
            <w:vAlign w:val="bottom"/>
            <w:shd w:val="clear" w:color="auto" w:fill="351B3D"/>
          </w:tcPr>
          <w:p>
            <w:pPr>
              <w:spacing w:after="0"/>
              <w:rPr>
                <w:sz w:val="9"/>
                <w:szCs w:val="9"/>
                <w:color w:val="auto"/>
              </w:rPr>
            </w:pPr>
          </w:p>
        </w:tc>
        <w:tc>
          <w:tcPr>
            <w:tcW w:w="40" w:type="dxa"/>
            <w:vAlign w:val="bottom"/>
            <w:shd w:val="clear" w:color="auto" w:fill="351B3D"/>
          </w:tcPr>
          <w:p>
            <w:pPr>
              <w:spacing w:after="0"/>
              <w:rPr>
                <w:sz w:val="9"/>
                <w:szCs w:val="9"/>
                <w:color w:val="auto"/>
              </w:rPr>
            </w:pPr>
          </w:p>
        </w:tc>
        <w:tc>
          <w:tcPr>
            <w:tcW w:w="500" w:type="dxa"/>
            <w:vAlign w:val="bottom"/>
            <w:shd w:val="clear" w:color="auto" w:fill="351B3D"/>
          </w:tcPr>
          <w:p>
            <w:pPr>
              <w:spacing w:after="0"/>
              <w:rPr>
                <w:sz w:val="9"/>
                <w:szCs w:val="9"/>
                <w:color w:val="auto"/>
              </w:rPr>
            </w:pPr>
          </w:p>
        </w:tc>
        <w:tc>
          <w:tcPr>
            <w:tcW w:w="1000" w:type="dxa"/>
            <w:vAlign w:val="bottom"/>
            <w:shd w:val="clear" w:color="auto" w:fill="351B3D"/>
          </w:tcPr>
          <w:p>
            <w:pPr>
              <w:spacing w:after="0"/>
              <w:rPr>
                <w:sz w:val="9"/>
                <w:szCs w:val="9"/>
                <w:color w:val="auto"/>
              </w:rPr>
            </w:pPr>
          </w:p>
        </w:tc>
        <w:tc>
          <w:tcPr>
            <w:tcW w:w="1060" w:type="dxa"/>
            <w:vAlign w:val="bottom"/>
            <w:shd w:val="clear" w:color="auto" w:fill="351B3D"/>
          </w:tcPr>
          <w:p>
            <w:pPr>
              <w:spacing w:after="0"/>
              <w:rPr>
                <w:sz w:val="9"/>
                <w:szCs w:val="9"/>
                <w:color w:val="auto"/>
              </w:rPr>
            </w:pPr>
          </w:p>
        </w:tc>
        <w:tc>
          <w:tcPr>
            <w:tcW w:w="840" w:type="dxa"/>
            <w:vAlign w:val="bottom"/>
            <w:shd w:val="clear" w:color="auto" w:fill="351B3D"/>
          </w:tcPr>
          <w:p>
            <w:pPr>
              <w:spacing w:after="0"/>
              <w:rPr>
                <w:sz w:val="9"/>
                <w:szCs w:val="9"/>
                <w:color w:val="auto"/>
              </w:rPr>
            </w:pPr>
          </w:p>
        </w:tc>
        <w:tc>
          <w:tcPr>
            <w:tcW w:w="1340" w:type="dxa"/>
            <w:vAlign w:val="bottom"/>
            <w:shd w:val="clear" w:color="auto" w:fill="351B3D"/>
          </w:tcPr>
          <w:p>
            <w:pPr>
              <w:spacing w:after="0"/>
              <w:rPr>
                <w:sz w:val="9"/>
                <w:szCs w:val="9"/>
                <w:color w:val="auto"/>
              </w:rPr>
            </w:pPr>
          </w:p>
        </w:tc>
        <w:tc>
          <w:tcPr>
            <w:tcW w:w="1360" w:type="dxa"/>
            <w:vAlign w:val="bottom"/>
            <w:shd w:val="clear" w:color="auto" w:fill="351B3D"/>
          </w:tcPr>
          <w:p>
            <w:pPr>
              <w:spacing w:after="0"/>
              <w:rPr>
                <w:sz w:val="9"/>
                <w:szCs w:val="9"/>
                <w:color w:val="auto"/>
              </w:rPr>
            </w:pPr>
          </w:p>
        </w:tc>
        <w:tc>
          <w:tcPr>
            <w:tcW w:w="1060" w:type="dxa"/>
            <w:vAlign w:val="bottom"/>
            <w:shd w:val="clear" w:color="auto" w:fill="351B3D"/>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3720" w:type="dxa"/>
            <w:vAlign w:val="bottom"/>
            <w:shd w:val="clear" w:color="auto" w:fill="D6D1D8"/>
          </w:tcPr>
          <w:p>
            <w:pPr>
              <w:spacing w:after="0"/>
              <w:rPr>
                <w:sz w:val="24"/>
                <w:szCs w:val="24"/>
                <w:color w:val="auto"/>
              </w:rPr>
            </w:pPr>
          </w:p>
        </w:tc>
        <w:tc>
          <w:tcPr>
            <w:tcW w:w="540" w:type="dxa"/>
            <w:vAlign w:val="bottom"/>
            <w:gridSpan w:val="2"/>
            <w:shd w:val="clear" w:color="auto" w:fill="D6D1D8"/>
          </w:tcPr>
          <w:p>
            <w:pPr>
              <w:jc w:val="center"/>
              <w:spacing w:after="0"/>
              <w:rPr>
                <w:sz w:val="20"/>
                <w:szCs w:val="20"/>
                <w:color w:val="auto"/>
              </w:rPr>
            </w:pPr>
            <w:r>
              <w:rPr>
                <w:rFonts w:ascii="Arial" w:cs="Arial" w:eastAsia="Arial" w:hAnsi="Arial"/>
                <w:sz w:val="16"/>
                <w:szCs w:val="16"/>
                <w:color w:val="auto"/>
              </w:rPr>
              <w:t>2024</w:t>
            </w:r>
          </w:p>
        </w:tc>
        <w:tc>
          <w:tcPr>
            <w:tcW w:w="1000" w:type="dxa"/>
            <w:vAlign w:val="bottom"/>
            <w:shd w:val="clear" w:color="auto" w:fill="D6D1D8"/>
          </w:tcPr>
          <w:p>
            <w:pPr>
              <w:jc w:val="center"/>
              <w:spacing w:after="0"/>
              <w:rPr>
                <w:sz w:val="20"/>
                <w:szCs w:val="20"/>
                <w:color w:val="auto"/>
              </w:rPr>
            </w:pPr>
            <w:r>
              <w:rPr>
                <w:rFonts w:ascii="Arial" w:cs="Arial" w:eastAsia="Arial" w:hAnsi="Arial"/>
                <w:sz w:val="16"/>
                <w:szCs w:val="16"/>
                <w:color w:val="auto"/>
                <w:w w:val="99"/>
              </w:rPr>
              <w:t>$2,000,000</w:t>
            </w:r>
          </w:p>
        </w:tc>
        <w:tc>
          <w:tcPr>
            <w:tcW w:w="1060" w:type="dxa"/>
            <w:vAlign w:val="bottom"/>
            <w:shd w:val="clear" w:color="auto" w:fill="D6D1D8"/>
          </w:tcPr>
          <w:p>
            <w:pPr>
              <w:jc w:val="center"/>
              <w:spacing w:after="0"/>
              <w:rPr>
                <w:sz w:val="20"/>
                <w:szCs w:val="20"/>
                <w:color w:val="auto"/>
              </w:rPr>
            </w:pPr>
            <w:r>
              <w:rPr>
                <w:rFonts w:ascii="Arial" w:cs="Arial" w:eastAsia="Arial" w:hAnsi="Arial"/>
                <w:sz w:val="16"/>
                <w:szCs w:val="16"/>
                <w:color w:val="auto"/>
                <w:w w:val="98"/>
              </w:rPr>
              <w:t>$11,213,595</w:t>
            </w:r>
          </w:p>
        </w:tc>
        <w:tc>
          <w:tcPr>
            <w:tcW w:w="840" w:type="dxa"/>
            <w:vAlign w:val="bottom"/>
            <w:shd w:val="clear" w:color="auto" w:fill="D6D1D8"/>
          </w:tcPr>
          <w:p>
            <w:pPr>
              <w:jc w:val="center"/>
              <w:spacing w:after="0"/>
              <w:rPr>
                <w:sz w:val="20"/>
                <w:szCs w:val="20"/>
                <w:color w:val="auto"/>
              </w:rPr>
            </w:pPr>
            <w:r>
              <w:rPr>
                <w:rFonts w:ascii="Arial" w:cs="Arial" w:eastAsia="Arial" w:hAnsi="Arial"/>
                <w:sz w:val="16"/>
                <w:szCs w:val="16"/>
                <w:color w:val="auto"/>
              </w:rPr>
              <w:t>-</w:t>
            </w:r>
          </w:p>
        </w:tc>
        <w:tc>
          <w:tcPr>
            <w:tcW w:w="1340" w:type="dxa"/>
            <w:vAlign w:val="bottom"/>
            <w:shd w:val="clear" w:color="auto" w:fill="D6D1D8"/>
          </w:tcPr>
          <w:p>
            <w:pPr>
              <w:jc w:val="center"/>
              <w:ind w:left="20"/>
              <w:spacing w:after="0"/>
              <w:rPr>
                <w:sz w:val="20"/>
                <w:szCs w:val="20"/>
                <w:color w:val="auto"/>
              </w:rPr>
            </w:pPr>
            <w:r>
              <w:rPr>
                <w:rFonts w:ascii="Arial" w:cs="Arial" w:eastAsia="Arial" w:hAnsi="Arial"/>
                <w:sz w:val="16"/>
                <w:szCs w:val="16"/>
                <w:color w:val="auto"/>
                <w:w w:val="99"/>
              </w:rPr>
              <w:t>$2,687,500</w:t>
            </w:r>
          </w:p>
        </w:tc>
        <w:tc>
          <w:tcPr>
            <w:tcW w:w="1360" w:type="dxa"/>
            <w:vAlign w:val="bottom"/>
            <w:shd w:val="clear" w:color="auto" w:fill="D6D1D8"/>
          </w:tcPr>
          <w:p>
            <w:pPr>
              <w:jc w:val="center"/>
              <w:spacing w:after="0"/>
              <w:rPr>
                <w:sz w:val="20"/>
                <w:szCs w:val="20"/>
                <w:color w:val="auto"/>
              </w:rPr>
            </w:pPr>
            <w:r>
              <w:rPr>
                <w:rFonts w:ascii="Arial" w:cs="Arial" w:eastAsia="Arial" w:hAnsi="Arial"/>
                <w:sz w:val="16"/>
                <w:szCs w:val="16"/>
                <w:color w:val="auto"/>
              </w:rPr>
              <w:t>$30,221</w:t>
            </w:r>
          </w:p>
        </w:tc>
        <w:tc>
          <w:tcPr>
            <w:tcW w:w="1060" w:type="dxa"/>
            <w:vAlign w:val="bottom"/>
            <w:shd w:val="clear" w:color="auto" w:fill="D6D1D8"/>
          </w:tcPr>
          <w:p>
            <w:pPr>
              <w:jc w:val="center"/>
              <w:spacing w:after="0"/>
              <w:rPr>
                <w:sz w:val="20"/>
                <w:szCs w:val="20"/>
                <w:color w:val="auto"/>
              </w:rPr>
            </w:pPr>
            <w:r>
              <w:rPr>
                <w:rFonts w:ascii="Arial" w:cs="Arial" w:eastAsia="Arial" w:hAnsi="Arial"/>
                <w:sz w:val="16"/>
                <w:szCs w:val="16"/>
                <w:color w:val="auto"/>
                <w:w w:val="98"/>
              </w:rPr>
              <w:t>$15,931,316</w:t>
            </w:r>
          </w:p>
        </w:tc>
        <w:tc>
          <w:tcPr>
            <w:tcW w:w="0" w:type="dxa"/>
            <w:vAlign w:val="bottom"/>
          </w:tcPr>
          <w:p>
            <w:pPr>
              <w:spacing w:after="0"/>
              <w:rPr>
                <w:sz w:val="1"/>
                <w:szCs w:val="1"/>
                <w:color w:val="auto"/>
              </w:rPr>
            </w:pPr>
          </w:p>
        </w:tc>
      </w:tr>
      <w:tr>
        <w:trPr>
          <w:trHeight w:val="457"/>
        </w:trPr>
        <w:tc>
          <w:tcPr>
            <w:tcW w:w="3720" w:type="dxa"/>
            <w:vAlign w:val="bottom"/>
            <w:shd w:val="clear" w:color="auto" w:fill="D6D1D8"/>
          </w:tcPr>
          <w:p>
            <w:pPr>
              <w:ind w:left="100"/>
              <w:spacing w:after="0"/>
              <w:rPr>
                <w:sz w:val="20"/>
                <w:szCs w:val="20"/>
                <w:color w:val="auto"/>
              </w:rPr>
            </w:pPr>
            <w:r>
              <w:rPr>
                <w:rFonts w:ascii="Arial" w:cs="Arial" w:eastAsia="Arial" w:hAnsi="Arial"/>
                <w:sz w:val="16"/>
                <w:szCs w:val="16"/>
                <w:color w:val="auto"/>
              </w:rPr>
              <w:t>CRAIG S. BILLINGS</w:t>
            </w:r>
          </w:p>
        </w:tc>
        <w:tc>
          <w:tcPr>
            <w:tcW w:w="40" w:type="dxa"/>
            <w:vAlign w:val="bottom"/>
            <w:shd w:val="clear" w:color="auto" w:fill="D6D1D8"/>
          </w:tcPr>
          <w:p>
            <w:pPr>
              <w:spacing w:after="0"/>
              <w:rPr>
                <w:sz w:val="24"/>
                <w:szCs w:val="24"/>
                <w:color w:val="auto"/>
              </w:rPr>
            </w:pPr>
          </w:p>
        </w:tc>
        <w:tc>
          <w:tcPr>
            <w:tcW w:w="500" w:type="dxa"/>
            <w:vAlign w:val="bottom"/>
            <w:vMerge w:val="restart"/>
            <w:shd w:val="clear" w:color="auto" w:fill="D6D1D8"/>
          </w:tcPr>
          <w:p>
            <w:pPr>
              <w:jc w:val="center"/>
              <w:spacing w:after="0"/>
              <w:rPr>
                <w:sz w:val="20"/>
                <w:szCs w:val="20"/>
                <w:color w:val="auto"/>
              </w:rPr>
            </w:pPr>
            <w:r>
              <w:rPr>
                <w:rFonts w:ascii="Arial" w:cs="Arial" w:eastAsia="Arial" w:hAnsi="Arial"/>
                <w:sz w:val="16"/>
                <w:szCs w:val="16"/>
                <w:color w:val="auto"/>
              </w:rPr>
              <w:t>2023</w:t>
            </w:r>
          </w:p>
        </w:tc>
        <w:tc>
          <w:tcPr>
            <w:tcW w:w="1000" w:type="dxa"/>
            <w:vAlign w:val="bottom"/>
            <w:vMerge w:val="restart"/>
            <w:shd w:val="clear" w:color="auto" w:fill="D6D1D8"/>
          </w:tcPr>
          <w:p>
            <w:pPr>
              <w:jc w:val="center"/>
              <w:spacing w:after="0"/>
              <w:rPr>
                <w:sz w:val="20"/>
                <w:szCs w:val="20"/>
                <w:color w:val="auto"/>
              </w:rPr>
            </w:pPr>
            <w:r>
              <w:rPr>
                <w:rFonts w:ascii="Arial" w:cs="Arial" w:eastAsia="Arial" w:hAnsi="Arial"/>
                <w:sz w:val="16"/>
                <w:szCs w:val="16"/>
                <w:color w:val="auto"/>
                <w:w w:val="99"/>
              </w:rPr>
              <w:t>$1,900,962</w:t>
            </w:r>
          </w:p>
        </w:tc>
        <w:tc>
          <w:tcPr>
            <w:tcW w:w="1060" w:type="dxa"/>
            <w:vAlign w:val="bottom"/>
            <w:vMerge w:val="restart"/>
            <w:shd w:val="clear" w:color="auto" w:fill="D6D1D8"/>
          </w:tcPr>
          <w:p>
            <w:pPr>
              <w:jc w:val="center"/>
              <w:spacing w:after="0"/>
              <w:rPr>
                <w:sz w:val="20"/>
                <w:szCs w:val="20"/>
                <w:color w:val="auto"/>
              </w:rPr>
            </w:pPr>
            <w:r>
              <w:rPr>
                <w:rFonts w:ascii="Arial" w:cs="Arial" w:eastAsia="Arial" w:hAnsi="Arial"/>
                <w:sz w:val="16"/>
                <w:szCs w:val="16"/>
                <w:color w:val="auto"/>
                <w:w w:val="98"/>
              </w:rPr>
              <w:t>$11,483,057</w:t>
            </w:r>
          </w:p>
        </w:tc>
        <w:tc>
          <w:tcPr>
            <w:tcW w:w="840" w:type="dxa"/>
            <w:vAlign w:val="bottom"/>
            <w:vMerge w:val="restart"/>
            <w:shd w:val="clear" w:color="auto" w:fill="D6D1D8"/>
          </w:tcPr>
          <w:p>
            <w:pPr>
              <w:jc w:val="center"/>
              <w:spacing w:after="0"/>
              <w:rPr>
                <w:sz w:val="20"/>
                <w:szCs w:val="20"/>
                <w:color w:val="auto"/>
              </w:rPr>
            </w:pPr>
            <w:r>
              <w:rPr>
                <w:rFonts w:ascii="Arial" w:cs="Arial" w:eastAsia="Arial" w:hAnsi="Arial"/>
                <w:sz w:val="16"/>
                <w:szCs w:val="16"/>
                <w:color w:val="auto"/>
              </w:rPr>
              <w:t>-</w:t>
            </w:r>
          </w:p>
        </w:tc>
        <w:tc>
          <w:tcPr>
            <w:tcW w:w="1340" w:type="dxa"/>
            <w:vAlign w:val="bottom"/>
            <w:vMerge w:val="restart"/>
            <w:shd w:val="clear" w:color="auto" w:fill="D6D1D8"/>
          </w:tcPr>
          <w:p>
            <w:pPr>
              <w:jc w:val="center"/>
              <w:ind w:left="20"/>
              <w:spacing w:after="0"/>
              <w:rPr>
                <w:sz w:val="20"/>
                <w:szCs w:val="20"/>
                <w:color w:val="auto"/>
              </w:rPr>
            </w:pPr>
            <w:r>
              <w:rPr>
                <w:rFonts w:ascii="Arial" w:cs="Arial" w:eastAsia="Arial" w:hAnsi="Arial"/>
                <w:sz w:val="16"/>
                <w:szCs w:val="16"/>
                <w:color w:val="auto"/>
                <w:w w:val="99"/>
              </w:rPr>
              <w:t>$2,750,000</w:t>
            </w:r>
          </w:p>
        </w:tc>
        <w:tc>
          <w:tcPr>
            <w:tcW w:w="1360" w:type="dxa"/>
            <w:vAlign w:val="bottom"/>
            <w:vMerge w:val="restart"/>
            <w:shd w:val="clear" w:color="auto" w:fill="D6D1D8"/>
          </w:tcPr>
          <w:p>
            <w:pPr>
              <w:jc w:val="center"/>
              <w:spacing w:after="0"/>
              <w:rPr>
                <w:sz w:val="20"/>
                <w:szCs w:val="20"/>
                <w:color w:val="auto"/>
              </w:rPr>
            </w:pPr>
            <w:r>
              <w:rPr>
                <w:rFonts w:ascii="Arial" w:cs="Arial" w:eastAsia="Arial" w:hAnsi="Arial"/>
                <w:sz w:val="16"/>
                <w:szCs w:val="16"/>
                <w:color w:val="auto"/>
              </w:rPr>
              <w:t>$18,615</w:t>
            </w:r>
          </w:p>
        </w:tc>
        <w:tc>
          <w:tcPr>
            <w:tcW w:w="1060" w:type="dxa"/>
            <w:vAlign w:val="bottom"/>
            <w:vMerge w:val="restart"/>
            <w:shd w:val="clear" w:color="auto" w:fill="D6D1D8"/>
          </w:tcPr>
          <w:p>
            <w:pPr>
              <w:jc w:val="center"/>
              <w:spacing w:after="0"/>
              <w:rPr>
                <w:sz w:val="20"/>
                <w:szCs w:val="20"/>
                <w:color w:val="auto"/>
              </w:rPr>
            </w:pPr>
            <w:r>
              <w:rPr>
                <w:rFonts w:ascii="Arial" w:cs="Arial" w:eastAsia="Arial" w:hAnsi="Arial"/>
                <w:sz w:val="16"/>
                <w:szCs w:val="16"/>
                <w:color w:val="auto"/>
                <w:w w:val="98"/>
              </w:rPr>
              <w:t>$16,152,634</w:t>
            </w:r>
          </w:p>
        </w:tc>
        <w:tc>
          <w:tcPr>
            <w:tcW w:w="0" w:type="dxa"/>
            <w:vAlign w:val="bottom"/>
          </w:tcPr>
          <w:p>
            <w:pPr>
              <w:spacing w:after="0"/>
              <w:rPr>
                <w:sz w:val="1"/>
                <w:szCs w:val="1"/>
                <w:color w:val="auto"/>
              </w:rPr>
            </w:pPr>
          </w:p>
        </w:tc>
      </w:tr>
      <w:tr>
        <w:trPr>
          <w:trHeight w:val="118"/>
        </w:trPr>
        <w:tc>
          <w:tcPr>
            <w:tcW w:w="3720" w:type="dxa"/>
            <w:vAlign w:val="bottom"/>
            <w:vMerge w:val="restart"/>
            <w:shd w:val="clear" w:color="auto" w:fill="D6D1D8"/>
          </w:tcPr>
          <w:p>
            <w:pPr>
              <w:ind w:left="100"/>
              <w:spacing w:after="0"/>
              <w:rPr>
                <w:sz w:val="20"/>
                <w:szCs w:val="20"/>
                <w:color w:val="auto"/>
              </w:rPr>
            </w:pPr>
            <w:r>
              <w:rPr>
                <w:rFonts w:ascii="Arial" w:cs="Arial" w:eastAsia="Arial" w:hAnsi="Arial"/>
                <w:sz w:val="16"/>
                <w:szCs w:val="16"/>
                <w:color w:val="auto"/>
              </w:rPr>
              <w:t>Chief Executive Officer</w:t>
            </w:r>
          </w:p>
        </w:tc>
        <w:tc>
          <w:tcPr>
            <w:tcW w:w="40" w:type="dxa"/>
            <w:vAlign w:val="bottom"/>
            <w:shd w:val="clear" w:color="auto" w:fill="D6D1D8"/>
          </w:tcPr>
          <w:p>
            <w:pPr>
              <w:spacing w:after="0"/>
              <w:rPr>
                <w:sz w:val="10"/>
                <w:szCs w:val="10"/>
                <w:color w:val="auto"/>
              </w:rPr>
            </w:pPr>
          </w:p>
        </w:tc>
        <w:tc>
          <w:tcPr>
            <w:tcW w:w="500" w:type="dxa"/>
            <w:vAlign w:val="bottom"/>
            <w:vMerge w:val="continue"/>
            <w:shd w:val="clear" w:color="auto" w:fill="D6D1D8"/>
          </w:tcPr>
          <w:p>
            <w:pPr>
              <w:spacing w:after="0"/>
              <w:rPr>
                <w:sz w:val="10"/>
                <w:szCs w:val="10"/>
                <w:color w:val="auto"/>
              </w:rPr>
            </w:pPr>
          </w:p>
        </w:tc>
        <w:tc>
          <w:tcPr>
            <w:tcW w:w="1000" w:type="dxa"/>
            <w:vAlign w:val="bottom"/>
            <w:vMerge w:val="continue"/>
            <w:shd w:val="clear" w:color="auto" w:fill="D6D1D8"/>
          </w:tcPr>
          <w:p>
            <w:pPr>
              <w:spacing w:after="0"/>
              <w:rPr>
                <w:sz w:val="10"/>
                <w:szCs w:val="10"/>
                <w:color w:val="auto"/>
              </w:rPr>
            </w:pPr>
          </w:p>
        </w:tc>
        <w:tc>
          <w:tcPr>
            <w:tcW w:w="1060" w:type="dxa"/>
            <w:vAlign w:val="bottom"/>
            <w:vMerge w:val="continue"/>
            <w:shd w:val="clear" w:color="auto" w:fill="D6D1D8"/>
          </w:tcPr>
          <w:p>
            <w:pPr>
              <w:spacing w:after="0"/>
              <w:rPr>
                <w:sz w:val="10"/>
                <w:szCs w:val="10"/>
                <w:color w:val="auto"/>
              </w:rPr>
            </w:pPr>
          </w:p>
        </w:tc>
        <w:tc>
          <w:tcPr>
            <w:tcW w:w="840" w:type="dxa"/>
            <w:vAlign w:val="bottom"/>
            <w:vMerge w:val="continue"/>
            <w:shd w:val="clear" w:color="auto" w:fill="D6D1D8"/>
          </w:tcPr>
          <w:p>
            <w:pPr>
              <w:spacing w:after="0"/>
              <w:rPr>
                <w:sz w:val="10"/>
                <w:szCs w:val="10"/>
                <w:color w:val="auto"/>
              </w:rPr>
            </w:pPr>
          </w:p>
        </w:tc>
        <w:tc>
          <w:tcPr>
            <w:tcW w:w="1340" w:type="dxa"/>
            <w:vAlign w:val="bottom"/>
            <w:vMerge w:val="continue"/>
            <w:shd w:val="clear" w:color="auto" w:fill="D6D1D8"/>
          </w:tcPr>
          <w:p>
            <w:pPr>
              <w:spacing w:after="0"/>
              <w:rPr>
                <w:sz w:val="10"/>
                <w:szCs w:val="10"/>
                <w:color w:val="auto"/>
              </w:rPr>
            </w:pPr>
          </w:p>
        </w:tc>
        <w:tc>
          <w:tcPr>
            <w:tcW w:w="1360" w:type="dxa"/>
            <w:vAlign w:val="bottom"/>
            <w:vMerge w:val="continue"/>
            <w:shd w:val="clear" w:color="auto" w:fill="D6D1D8"/>
          </w:tcPr>
          <w:p>
            <w:pPr>
              <w:spacing w:after="0"/>
              <w:rPr>
                <w:sz w:val="10"/>
                <w:szCs w:val="10"/>
                <w:color w:val="auto"/>
              </w:rPr>
            </w:pPr>
          </w:p>
        </w:tc>
        <w:tc>
          <w:tcPr>
            <w:tcW w:w="1060" w:type="dxa"/>
            <w:vAlign w:val="bottom"/>
            <w:vMerge w:val="continue"/>
            <w:shd w:val="clear" w:color="auto" w:fill="D6D1D8"/>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720" w:type="dxa"/>
            <w:vAlign w:val="bottom"/>
            <w:vMerge w:val="continue"/>
            <w:shd w:val="clear" w:color="auto" w:fill="D6D1D8"/>
          </w:tcPr>
          <w:p>
            <w:pPr>
              <w:spacing w:after="0"/>
              <w:rPr>
                <w:sz w:val="8"/>
                <w:szCs w:val="8"/>
                <w:color w:val="auto"/>
              </w:rPr>
            </w:pPr>
          </w:p>
        </w:tc>
        <w:tc>
          <w:tcPr>
            <w:tcW w:w="40" w:type="dxa"/>
            <w:vAlign w:val="bottom"/>
            <w:shd w:val="clear" w:color="auto" w:fill="D6D1D8"/>
          </w:tcPr>
          <w:p>
            <w:pPr>
              <w:spacing w:after="0"/>
              <w:rPr>
                <w:sz w:val="8"/>
                <w:szCs w:val="8"/>
                <w:color w:val="auto"/>
              </w:rPr>
            </w:pPr>
          </w:p>
        </w:tc>
        <w:tc>
          <w:tcPr>
            <w:tcW w:w="500" w:type="dxa"/>
            <w:vAlign w:val="bottom"/>
            <w:shd w:val="clear" w:color="auto" w:fill="D6D1D8"/>
          </w:tcPr>
          <w:p>
            <w:pPr>
              <w:spacing w:after="0"/>
              <w:rPr>
                <w:sz w:val="8"/>
                <w:szCs w:val="8"/>
                <w:color w:val="auto"/>
              </w:rPr>
            </w:pPr>
          </w:p>
        </w:tc>
        <w:tc>
          <w:tcPr>
            <w:tcW w:w="1000" w:type="dxa"/>
            <w:vAlign w:val="bottom"/>
            <w:shd w:val="clear" w:color="auto" w:fill="D6D1D8"/>
          </w:tcPr>
          <w:p>
            <w:pPr>
              <w:spacing w:after="0"/>
              <w:rPr>
                <w:sz w:val="8"/>
                <w:szCs w:val="8"/>
                <w:color w:val="auto"/>
              </w:rPr>
            </w:pPr>
          </w:p>
        </w:tc>
        <w:tc>
          <w:tcPr>
            <w:tcW w:w="1060" w:type="dxa"/>
            <w:vAlign w:val="bottom"/>
            <w:shd w:val="clear" w:color="auto" w:fill="D6D1D8"/>
          </w:tcPr>
          <w:p>
            <w:pPr>
              <w:spacing w:after="0"/>
              <w:rPr>
                <w:sz w:val="8"/>
                <w:szCs w:val="8"/>
                <w:color w:val="auto"/>
              </w:rPr>
            </w:pPr>
          </w:p>
        </w:tc>
        <w:tc>
          <w:tcPr>
            <w:tcW w:w="840" w:type="dxa"/>
            <w:vAlign w:val="bottom"/>
            <w:shd w:val="clear" w:color="auto" w:fill="D6D1D8"/>
          </w:tcPr>
          <w:p>
            <w:pPr>
              <w:spacing w:after="0"/>
              <w:rPr>
                <w:sz w:val="8"/>
                <w:szCs w:val="8"/>
                <w:color w:val="auto"/>
              </w:rPr>
            </w:pPr>
          </w:p>
        </w:tc>
        <w:tc>
          <w:tcPr>
            <w:tcW w:w="1340" w:type="dxa"/>
            <w:vAlign w:val="bottom"/>
            <w:shd w:val="clear" w:color="auto" w:fill="D6D1D8"/>
          </w:tcPr>
          <w:p>
            <w:pPr>
              <w:spacing w:after="0"/>
              <w:rPr>
                <w:sz w:val="8"/>
                <w:szCs w:val="8"/>
                <w:color w:val="auto"/>
              </w:rPr>
            </w:pPr>
          </w:p>
        </w:tc>
        <w:tc>
          <w:tcPr>
            <w:tcW w:w="1360" w:type="dxa"/>
            <w:vAlign w:val="bottom"/>
            <w:shd w:val="clear" w:color="auto" w:fill="D6D1D8"/>
          </w:tcPr>
          <w:p>
            <w:pPr>
              <w:spacing w:after="0"/>
              <w:rPr>
                <w:sz w:val="8"/>
                <w:szCs w:val="8"/>
                <w:color w:val="auto"/>
              </w:rPr>
            </w:pPr>
          </w:p>
        </w:tc>
        <w:tc>
          <w:tcPr>
            <w:tcW w:w="1060" w:type="dxa"/>
            <w:vAlign w:val="bottom"/>
            <w:shd w:val="clear" w:color="auto" w:fill="D6D1D8"/>
          </w:tcPr>
          <w:p>
            <w:pPr>
              <w:spacing w:after="0"/>
              <w:rPr>
                <w:sz w:val="8"/>
                <w:szCs w:val="8"/>
                <w:color w:val="auto"/>
              </w:rPr>
            </w:pPr>
          </w:p>
        </w:tc>
        <w:tc>
          <w:tcPr>
            <w:tcW w:w="0" w:type="dxa"/>
            <w:vAlign w:val="bottom"/>
          </w:tcPr>
          <w:p>
            <w:pPr>
              <w:spacing w:after="0"/>
              <w:rPr>
                <w:sz w:val="1"/>
                <w:szCs w:val="1"/>
                <w:color w:val="auto"/>
              </w:rPr>
            </w:pPr>
          </w:p>
        </w:tc>
      </w:tr>
      <w:tr>
        <w:trPr>
          <w:trHeight w:val="495"/>
        </w:trPr>
        <w:tc>
          <w:tcPr>
            <w:tcW w:w="3720" w:type="dxa"/>
            <w:vAlign w:val="bottom"/>
            <w:shd w:val="clear" w:color="auto" w:fill="D6D1D8"/>
          </w:tcPr>
          <w:p>
            <w:pPr>
              <w:spacing w:after="0"/>
              <w:rPr>
                <w:sz w:val="24"/>
                <w:szCs w:val="24"/>
                <w:color w:val="auto"/>
              </w:rPr>
            </w:pPr>
          </w:p>
        </w:tc>
        <w:tc>
          <w:tcPr>
            <w:tcW w:w="40" w:type="dxa"/>
            <w:vAlign w:val="bottom"/>
            <w:shd w:val="clear" w:color="auto" w:fill="D6D1D8"/>
          </w:tcPr>
          <w:p>
            <w:pPr>
              <w:spacing w:after="0"/>
              <w:rPr>
                <w:sz w:val="24"/>
                <w:szCs w:val="24"/>
                <w:color w:val="auto"/>
              </w:rPr>
            </w:pPr>
          </w:p>
        </w:tc>
        <w:tc>
          <w:tcPr>
            <w:tcW w:w="500" w:type="dxa"/>
            <w:vAlign w:val="bottom"/>
            <w:shd w:val="clear" w:color="auto" w:fill="D6D1D8"/>
          </w:tcPr>
          <w:p>
            <w:pPr>
              <w:jc w:val="center"/>
              <w:spacing w:after="0"/>
              <w:rPr>
                <w:sz w:val="20"/>
                <w:szCs w:val="20"/>
                <w:color w:val="auto"/>
              </w:rPr>
            </w:pPr>
            <w:r>
              <w:rPr>
                <w:rFonts w:ascii="Arial" w:cs="Arial" w:eastAsia="Arial" w:hAnsi="Arial"/>
                <w:sz w:val="16"/>
                <w:szCs w:val="16"/>
                <w:color w:val="auto"/>
              </w:rPr>
              <w:t>2022</w:t>
            </w:r>
          </w:p>
        </w:tc>
        <w:tc>
          <w:tcPr>
            <w:tcW w:w="1000" w:type="dxa"/>
            <w:vAlign w:val="bottom"/>
            <w:shd w:val="clear" w:color="auto" w:fill="D6D1D8"/>
          </w:tcPr>
          <w:p>
            <w:pPr>
              <w:jc w:val="center"/>
              <w:spacing w:after="0"/>
              <w:rPr>
                <w:sz w:val="20"/>
                <w:szCs w:val="20"/>
                <w:color w:val="auto"/>
              </w:rPr>
            </w:pPr>
            <w:r>
              <w:rPr>
                <w:rFonts w:ascii="Arial" w:cs="Arial" w:eastAsia="Arial" w:hAnsi="Arial"/>
                <w:sz w:val="16"/>
                <w:szCs w:val="16"/>
                <w:color w:val="auto"/>
                <w:w w:val="99"/>
              </w:rPr>
              <w:t>$1,752,115</w:t>
            </w:r>
          </w:p>
        </w:tc>
        <w:tc>
          <w:tcPr>
            <w:tcW w:w="1060" w:type="dxa"/>
            <w:vAlign w:val="bottom"/>
            <w:shd w:val="clear" w:color="auto" w:fill="D6D1D8"/>
          </w:tcPr>
          <w:p>
            <w:pPr>
              <w:jc w:val="center"/>
              <w:spacing w:after="0"/>
              <w:rPr>
                <w:sz w:val="20"/>
                <w:szCs w:val="20"/>
                <w:color w:val="auto"/>
              </w:rPr>
            </w:pPr>
            <w:r>
              <w:rPr>
                <w:rFonts w:ascii="Arial" w:cs="Arial" w:eastAsia="Arial" w:hAnsi="Arial"/>
                <w:sz w:val="16"/>
                <w:szCs w:val="16"/>
                <w:color w:val="auto"/>
                <w:w w:val="99"/>
              </w:rPr>
              <w:t>$8,575,772</w:t>
            </w:r>
          </w:p>
        </w:tc>
        <w:tc>
          <w:tcPr>
            <w:tcW w:w="840" w:type="dxa"/>
            <w:vAlign w:val="bottom"/>
            <w:shd w:val="clear" w:color="auto" w:fill="D6D1D8"/>
          </w:tcPr>
          <w:p>
            <w:pPr>
              <w:jc w:val="center"/>
              <w:spacing w:after="0"/>
              <w:rPr>
                <w:sz w:val="20"/>
                <w:szCs w:val="20"/>
                <w:color w:val="auto"/>
              </w:rPr>
            </w:pPr>
            <w:r>
              <w:rPr>
                <w:rFonts w:ascii="Arial" w:cs="Arial" w:eastAsia="Arial" w:hAnsi="Arial"/>
                <w:sz w:val="16"/>
                <w:szCs w:val="16"/>
                <w:color w:val="auto"/>
              </w:rPr>
              <w:t>$49,977</w:t>
            </w:r>
          </w:p>
        </w:tc>
        <w:tc>
          <w:tcPr>
            <w:tcW w:w="1340" w:type="dxa"/>
            <w:vAlign w:val="bottom"/>
            <w:shd w:val="clear" w:color="auto" w:fill="D6D1D8"/>
          </w:tcPr>
          <w:p>
            <w:pPr>
              <w:jc w:val="center"/>
              <w:ind w:left="20"/>
              <w:spacing w:after="0"/>
              <w:rPr>
                <w:sz w:val="20"/>
                <w:szCs w:val="20"/>
                <w:color w:val="auto"/>
              </w:rPr>
            </w:pPr>
            <w:r>
              <w:rPr>
                <w:rFonts w:ascii="Arial" w:cs="Arial" w:eastAsia="Arial" w:hAnsi="Arial"/>
                <w:sz w:val="16"/>
                <w:szCs w:val="16"/>
                <w:color w:val="auto"/>
                <w:w w:val="99"/>
              </w:rPr>
              <w:t>$1,825,715</w:t>
            </w:r>
          </w:p>
        </w:tc>
        <w:tc>
          <w:tcPr>
            <w:tcW w:w="1360" w:type="dxa"/>
            <w:vAlign w:val="bottom"/>
            <w:shd w:val="clear" w:color="auto" w:fill="D6D1D8"/>
          </w:tcPr>
          <w:p>
            <w:pPr>
              <w:jc w:val="center"/>
              <w:spacing w:after="0"/>
              <w:rPr>
                <w:sz w:val="20"/>
                <w:szCs w:val="20"/>
                <w:color w:val="auto"/>
              </w:rPr>
            </w:pPr>
            <w:r>
              <w:rPr>
                <w:rFonts w:ascii="Arial" w:cs="Arial" w:eastAsia="Arial" w:hAnsi="Arial"/>
                <w:sz w:val="16"/>
                <w:szCs w:val="16"/>
                <w:color w:val="auto"/>
              </w:rPr>
              <w:t>$25,508</w:t>
            </w:r>
          </w:p>
        </w:tc>
        <w:tc>
          <w:tcPr>
            <w:tcW w:w="1060" w:type="dxa"/>
            <w:vAlign w:val="bottom"/>
            <w:shd w:val="clear" w:color="auto" w:fill="D6D1D8"/>
          </w:tcPr>
          <w:p>
            <w:pPr>
              <w:jc w:val="center"/>
              <w:spacing w:after="0"/>
              <w:rPr>
                <w:sz w:val="20"/>
                <w:szCs w:val="20"/>
                <w:color w:val="auto"/>
              </w:rPr>
            </w:pPr>
            <w:r>
              <w:rPr>
                <w:rFonts w:ascii="Arial" w:cs="Arial" w:eastAsia="Arial" w:hAnsi="Arial"/>
                <w:sz w:val="16"/>
                <w:szCs w:val="16"/>
                <w:color w:val="auto"/>
                <w:w w:val="98"/>
              </w:rPr>
              <w:t>$12,229,087</w:t>
            </w:r>
          </w:p>
        </w:tc>
        <w:tc>
          <w:tcPr>
            <w:tcW w:w="0" w:type="dxa"/>
            <w:vAlign w:val="bottom"/>
          </w:tcPr>
          <w:p>
            <w:pPr>
              <w:spacing w:after="0"/>
              <w:rPr>
                <w:sz w:val="1"/>
                <w:szCs w:val="1"/>
                <w:color w:val="auto"/>
              </w:rPr>
            </w:pPr>
          </w:p>
        </w:tc>
      </w:tr>
      <w:tr>
        <w:trPr>
          <w:trHeight w:val="177"/>
        </w:trPr>
        <w:tc>
          <w:tcPr>
            <w:tcW w:w="3720" w:type="dxa"/>
            <w:vAlign w:val="bottom"/>
            <w:shd w:val="clear" w:color="auto" w:fill="D6D1D8"/>
          </w:tcPr>
          <w:p>
            <w:pPr>
              <w:spacing w:after="0"/>
              <w:rPr>
                <w:sz w:val="15"/>
                <w:szCs w:val="15"/>
                <w:color w:val="auto"/>
              </w:rPr>
            </w:pPr>
          </w:p>
        </w:tc>
        <w:tc>
          <w:tcPr>
            <w:tcW w:w="40" w:type="dxa"/>
            <w:vAlign w:val="bottom"/>
            <w:shd w:val="clear" w:color="auto" w:fill="D6D1D8"/>
          </w:tcPr>
          <w:p>
            <w:pPr>
              <w:spacing w:after="0"/>
              <w:rPr>
                <w:sz w:val="15"/>
                <w:szCs w:val="15"/>
                <w:color w:val="auto"/>
              </w:rPr>
            </w:pPr>
          </w:p>
        </w:tc>
        <w:tc>
          <w:tcPr>
            <w:tcW w:w="500" w:type="dxa"/>
            <w:vAlign w:val="bottom"/>
            <w:shd w:val="clear" w:color="auto" w:fill="D6D1D8"/>
          </w:tcPr>
          <w:p>
            <w:pPr>
              <w:spacing w:after="0"/>
              <w:rPr>
                <w:sz w:val="15"/>
                <w:szCs w:val="15"/>
                <w:color w:val="auto"/>
              </w:rPr>
            </w:pPr>
          </w:p>
        </w:tc>
        <w:tc>
          <w:tcPr>
            <w:tcW w:w="1000" w:type="dxa"/>
            <w:vAlign w:val="bottom"/>
            <w:shd w:val="clear" w:color="auto" w:fill="D6D1D8"/>
          </w:tcPr>
          <w:p>
            <w:pPr>
              <w:spacing w:after="0"/>
              <w:rPr>
                <w:sz w:val="15"/>
                <w:szCs w:val="15"/>
                <w:color w:val="auto"/>
              </w:rPr>
            </w:pPr>
          </w:p>
        </w:tc>
        <w:tc>
          <w:tcPr>
            <w:tcW w:w="1060" w:type="dxa"/>
            <w:vAlign w:val="bottom"/>
            <w:shd w:val="clear" w:color="auto" w:fill="D6D1D8"/>
          </w:tcPr>
          <w:p>
            <w:pPr>
              <w:spacing w:after="0"/>
              <w:rPr>
                <w:sz w:val="15"/>
                <w:szCs w:val="15"/>
                <w:color w:val="auto"/>
              </w:rPr>
            </w:pPr>
          </w:p>
        </w:tc>
        <w:tc>
          <w:tcPr>
            <w:tcW w:w="840" w:type="dxa"/>
            <w:vAlign w:val="bottom"/>
            <w:shd w:val="clear" w:color="auto" w:fill="D6D1D8"/>
          </w:tcPr>
          <w:p>
            <w:pPr>
              <w:spacing w:after="0"/>
              <w:rPr>
                <w:sz w:val="15"/>
                <w:szCs w:val="15"/>
                <w:color w:val="auto"/>
              </w:rPr>
            </w:pPr>
          </w:p>
        </w:tc>
        <w:tc>
          <w:tcPr>
            <w:tcW w:w="1340" w:type="dxa"/>
            <w:vAlign w:val="bottom"/>
            <w:shd w:val="clear" w:color="auto" w:fill="D6D1D8"/>
          </w:tcPr>
          <w:p>
            <w:pPr>
              <w:spacing w:after="0"/>
              <w:rPr>
                <w:sz w:val="15"/>
                <w:szCs w:val="15"/>
                <w:color w:val="auto"/>
              </w:rPr>
            </w:pPr>
          </w:p>
        </w:tc>
        <w:tc>
          <w:tcPr>
            <w:tcW w:w="1360" w:type="dxa"/>
            <w:vAlign w:val="bottom"/>
            <w:shd w:val="clear" w:color="auto" w:fill="D6D1D8"/>
          </w:tcPr>
          <w:p>
            <w:pPr>
              <w:spacing w:after="0"/>
              <w:rPr>
                <w:sz w:val="15"/>
                <w:szCs w:val="15"/>
                <w:color w:val="auto"/>
              </w:rPr>
            </w:pPr>
          </w:p>
        </w:tc>
        <w:tc>
          <w:tcPr>
            <w:tcW w:w="1060" w:type="dxa"/>
            <w:vAlign w:val="bottom"/>
            <w:shd w:val="clear" w:color="auto" w:fill="D6D1D8"/>
          </w:tcPr>
          <w:p>
            <w:pPr>
              <w:spacing w:after="0"/>
              <w:rPr>
                <w:sz w:val="15"/>
                <w:szCs w:val="15"/>
                <w:color w:val="auto"/>
              </w:rPr>
            </w:pPr>
          </w:p>
        </w:tc>
        <w:tc>
          <w:tcPr>
            <w:tcW w:w="0" w:type="dxa"/>
            <w:vAlign w:val="bottom"/>
          </w:tcPr>
          <w:p>
            <w:pPr>
              <w:spacing w:after="0"/>
              <w:rPr>
                <w:sz w:val="1"/>
                <w:szCs w:val="1"/>
                <w:color w:val="auto"/>
              </w:rPr>
            </w:pPr>
          </w:p>
        </w:tc>
      </w:tr>
      <w:tr>
        <w:trPr>
          <w:trHeight w:val="411"/>
        </w:trPr>
        <w:tc>
          <w:tcPr>
            <w:tcW w:w="3720" w:type="dxa"/>
            <w:vAlign w:val="bottom"/>
          </w:tcPr>
          <w:p>
            <w:pPr>
              <w:spacing w:after="0"/>
              <w:rPr>
                <w:sz w:val="24"/>
                <w:szCs w:val="24"/>
                <w:color w:val="auto"/>
              </w:rPr>
            </w:pPr>
          </w:p>
        </w:tc>
        <w:tc>
          <w:tcPr>
            <w:tcW w:w="540" w:type="dxa"/>
            <w:vAlign w:val="bottom"/>
            <w:gridSpan w:val="2"/>
          </w:tcPr>
          <w:p>
            <w:pPr>
              <w:jc w:val="center"/>
              <w:spacing w:after="0"/>
              <w:rPr>
                <w:sz w:val="20"/>
                <w:szCs w:val="20"/>
                <w:color w:val="auto"/>
              </w:rPr>
            </w:pPr>
            <w:r>
              <w:rPr>
                <w:rFonts w:ascii="Arial" w:cs="Arial" w:eastAsia="Arial" w:hAnsi="Arial"/>
                <w:sz w:val="16"/>
                <w:szCs w:val="16"/>
                <w:color w:val="auto"/>
              </w:rPr>
              <w:t>2024</w:t>
            </w:r>
          </w:p>
        </w:tc>
        <w:tc>
          <w:tcPr>
            <w:tcW w:w="1000" w:type="dxa"/>
            <w:vAlign w:val="bottom"/>
          </w:tcPr>
          <w:p>
            <w:pPr>
              <w:jc w:val="center"/>
              <w:spacing w:after="0"/>
              <w:rPr>
                <w:sz w:val="20"/>
                <w:szCs w:val="20"/>
                <w:color w:val="auto"/>
              </w:rPr>
            </w:pPr>
            <w:r>
              <w:rPr>
                <w:rFonts w:ascii="Arial" w:cs="Arial" w:eastAsia="Arial" w:hAnsi="Arial"/>
                <w:sz w:val="16"/>
                <w:szCs w:val="16"/>
                <w:color w:val="auto"/>
              </w:rPr>
              <w:t>$950,000</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$2,749,989</w:t>
            </w:r>
          </w:p>
        </w:tc>
        <w:tc>
          <w:tcPr>
            <w:tcW w:w="840" w:type="dxa"/>
            <w:vAlign w:val="bottom"/>
          </w:tcPr>
          <w:p>
            <w:pPr>
              <w:jc w:val="center"/>
              <w:spacing w:after="0"/>
              <w:rPr>
                <w:sz w:val="20"/>
                <w:szCs w:val="20"/>
                <w:color w:val="auto"/>
              </w:rPr>
            </w:pPr>
            <w:r>
              <w:rPr>
                <w:rFonts w:ascii="Arial" w:cs="Arial" w:eastAsia="Arial" w:hAnsi="Arial"/>
                <w:sz w:val="16"/>
                <w:szCs w:val="16"/>
                <w:color w:val="auto"/>
              </w:rPr>
              <w:t>-</w:t>
            </w:r>
          </w:p>
        </w:tc>
        <w:tc>
          <w:tcPr>
            <w:tcW w:w="1340" w:type="dxa"/>
            <w:vAlign w:val="bottom"/>
          </w:tcPr>
          <w:p>
            <w:pPr>
              <w:jc w:val="center"/>
              <w:ind w:left="20"/>
              <w:spacing w:after="0"/>
              <w:rPr>
                <w:sz w:val="20"/>
                <w:szCs w:val="20"/>
                <w:color w:val="auto"/>
              </w:rPr>
            </w:pPr>
            <w:r>
              <w:rPr>
                <w:rFonts w:ascii="Arial" w:cs="Arial" w:eastAsia="Arial" w:hAnsi="Arial"/>
                <w:sz w:val="16"/>
                <w:szCs w:val="16"/>
                <w:color w:val="auto"/>
                <w:w w:val="99"/>
              </w:rPr>
              <w:t>$1,021,250</w:t>
            </w:r>
          </w:p>
        </w:tc>
        <w:tc>
          <w:tcPr>
            <w:tcW w:w="1360" w:type="dxa"/>
            <w:vAlign w:val="bottom"/>
          </w:tcPr>
          <w:p>
            <w:pPr>
              <w:jc w:val="center"/>
              <w:spacing w:after="0"/>
              <w:rPr>
                <w:sz w:val="20"/>
                <w:szCs w:val="20"/>
                <w:color w:val="auto"/>
              </w:rPr>
            </w:pPr>
            <w:r>
              <w:rPr>
                <w:rFonts w:ascii="Arial" w:cs="Arial" w:eastAsia="Arial" w:hAnsi="Arial"/>
                <w:sz w:val="16"/>
                <w:szCs w:val="16"/>
                <w:color w:val="auto"/>
              </w:rPr>
              <w:t>$20,936</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$4,742,175</w:t>
            </w:r>
          </w:p>
        </w:tc>
        <w:tc>
          <w:tcPr>
            <w:tcW w:w="0" w:type="dxa"/>
            <w:vAlign w:val="bottom"/>
          </w:tcPr>
          <w:p>
            <w:pPr>
              <w:spacing w:after="0"/>
              <w:rPr>
                <w:sz w:val="1"/>
                <w:szCs w:val="1"/>
                <w:color w:val="auto"/>
              </w:rPr>
            </w:pPr>
          </w:p>
        </w:tc>
      </w:tr>
      <w:tr>
        <w:trPr>
          <w:trHeight w:val="457"/>
        </w:trPr>
        <w:tc>
          <w:tcPr>
            <w:tcW w:w="3720" w:type="dxa"/>
            <w:vAlign w:val="bottom"/>
          </w:tcPr>
          <w:p>
            <w:pPr>
              <w:ind w:left="100"/>
              <w:spacing w:after="0"/>
              <w:rPr>
                <w:sz w:val="20"/>
                <w:szCs w:val="20"/>
                <w:color w:val="auto"/>
              </w:rPr>
            </w:pPr>
            <w:r>
              <w:rPr>
                <w:rFonts w:ascii="Arial" w:cs="Arial" w:eastAsia="Arial" w:hAnsi="Arial"/>
                <w:sz w:val="16"/>
                <w:szCs w:val="16"/>
                <w:color w:val="auto"/>
              </w:rPr>
              <w:t>JULIE M. CAMERON-DOE</w:t>
            </w:r>
          </w:p>
        </w:tc>
        <w:tc>
          <w:tcPr>
            <w:tcW w:w="540" w:type="dxa"/>
            <w:vAlign w:val="bottom"/>
            <w:gridSpan w:val="2"/>
            <w:vMerge w:val="restart"/>
          </w:tcPr>
          <w:p>
            <w:pPr>
              <w:jc w:val="center"/>
              <w:spacing w:after="0"/>
              <w:rPr>
                <w:sz w:val="20"/>
                <w:szCs w:val="20"/>
                <w:color w:val="auto"/>
              </w:rPr>
            </w:pPr>
            <w:r>
              <w:rPr>
                <w:rFonts w:ascii="Arial" w:cs="Arial" w:eastAsia="Arial" w:hAnsi="Arial"/>
                <w:sz w:val="16"/>
                <w:szCs w:val="16"/>
                <w:color w:val="auto"/>
              </w:rPr>
              <w:t>2023</w:t>
            </w:r>
          </w:p>
        </w:tc>
        <w:tc>
          <w:tcPr>
            <w:tcW w:w="1000" w:type="dxa"/>
            <w:vAlign w:val="bottom"/>
            <w:vMerge w:val="restart"/>
          </w:tcPr>
          <w:p>
            <w:pPr>
              <w:jc w:val="center"/>
              <w:spacing w:after="0"/>
              <w:rPr>
                <w:sz w:val="20"/>
                <w:szCs w:val="20"/>
                <w:color w:val="auto"/>
              </w:rPr>
            </w:pPr>
            <w:r>
              <w:rPr>
                <w:rFonts w:ascii="Arial" w:cs="Arial" w:eastAsia="Arial" w:hAnsi="Arial"/>
                <w:sz w:val="16"/>
                <w:szCs w:val="16"/>
                <w:color w:val="auto"/>
              </w:rPr>
              <w:t>$922,500</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9"/>
              </w:rPr>
              <w:t>$2,712,319</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340" w:type="dxa"/>
            <w:vAlign w:val="bottom"/>
            <w:vMerge w:val="restart"/>
          </w:tcPr>
          <w:p>
            <w:pPr>
              <w:jc w:val="center"/>
              <w:ind w:left="20"/>
              <w:spacing w:after="0"/>
              <w:rPr>
                <w:sz w:val="20"/>
                <w:szCs w:val="20"/>
                <w:color w:val="auto"/>
              </w:rPr>
            </w:pPr>
            <w:r>
              <w:rPr>
                <w:rFonts w:ascii="Arial" w:cs="Arial" w:eastAsia="Arial" w:hAnsi="Arial"/>
                <w:sz w:val="16"/>
                <w:szCs w:val="16"/>
                <w:color w:val="auto"/>
                <w:w w:val="99"/>
              </w:rPr>
              <w:t>$1,045,000</w:t>
            </w:r>
          </w:p>
        </w:tc>
        <w:tc>
          <w:tcPr>
            <w:tcW w:w="1360" w:type="dxa"/>
            <w:vAlign w:val="bottom"/>
            <w:vMerge w:val="restart"/>
          </w:tcPr>
          <w:p>
            <w:pPr>
              <w:jc w:val="center"/>
              <w:spacing w:after="0"/>
              <w:rPr>
                <w:sz w:val="20"/>
                <w:szCs w:val="20"/>
                <w:color w:val="auto"/>
              </w:rPr>
            </w:pPr>
            <w:r>
              <w:rPr>
                <w:rFonts w:ascii="Arial" w:cs="Arial" w:eastAsia="Arial" w:hAnsi="Arial"/>
                <w:sz w:val="16"/>
                <w:szCs w:val="16"/>
                <w:color w:val="auto"/>
              </w:rPr>
              <w:t>$13,633</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9"/>
              </w:rPr>
              <w:t>$4,693,452</w:t>
            </w:r>
          </w:p>
        </w:tc>
        <w:tc>
          <w:tcPr>
            <w:tcW w:w="0" w:type="dxa"/>
            <w:vAlign w:val="bottom"/>
          </w:tcPr>
          <w:p>
            <w:pPr>
              <w:spacing w:after="0"/>
              <w:rPr>
                <w:sz w:val="1"/>
                <w:szCs w:val="1"/>
                <w:color w:val="auto"/>
              </w:rPr>
            </w:pPr>
          </w:p>
        </w:tc>
      </w:tr>
      <w:tr>
        <w:trPr>
          <w:trHeight w:val="118"/>
        </w:trPr>
        <w:tc>
          <w:tcPr>
            <w:tcW w:w="3720" w:type="dxa"/>
            <w:vAlign w:val="bottom"/>
            <w:vMerge w:val="restart"/>
          </w:tcPr>
          <w:p>
            <w:pPr>
              <w:ind w:left="100"/>
              <w:spacing w:after="0"/>
              <w:rPr>
                <w:sz w:val="20"/>
                <w:szCs w:val="20"/>
                <w:color w:val="auto"/>
              </w:rPr>
            </w:pPr>
            <w:r>
              <w:rPr>
                <w:rFonts w:ascii="Arial" w:cs="Arial" w:eastAsia="Arial" w:hAnsi="Arial"/>
                <w:sz w:val="16"/>
                <w:szCs w:val="16"/>
                <w:color w:val="auto"/>
              </w:rPr>
              <w:t>Chief Financial Officer</w:t>
            </w:r>
          </w:p>
        </w:tc>
        <w:tc>
          <w:tcPr>
            <w:tcW w:w="54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7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5"/>
        </w:trPr>
        <w:tc>
          <w:tcPr>
            <w:tcW w:w="3720" w:type="dxa"/>
            <w:vAlign w:val="bottom"/>
          </w:tcPr>
          <w:p>
            <w:pPr>
              <w:spacing w:after="0"/>
              <w:rPr>
                <w:sz w:val="24"/>
                <w:szCs w:val="24"/>
                <w:color w:val="auto"/>
              </w:rPr>
            </w:pPr>
          </w:p>
        </w:tc>
        <w:tc>
          <w:tcPr>
            <w:tcW w:w="540" w:type="dxa"/>
            <w:vAlign w:val="bottom"/>
            <w:gridSpan w:val="2"/>
          </w:tcPr>
          <w:p>
            <w:pPr>
              <w:jc w:val="center"/>
              <w:spacing w:after="0"/>
              <w:rPr>
                <w:sz w:val="20"/>
                <w:szCs w:val="20"/>
                <w:color w:val="auto"/>
              </w:rPr>
            </w:pPr>
            <w:r>
              <w:rPr>
                <w:rFonts w:ascii="Arial" w:cs="Arial" w:eastAsia="Arial" w:hAnsi="Arial"/>
                <w:sz w:val="16"/>
                <w:szCs w:val="16"/>
                <w:color w:val="auto"/>
              </w:rPr>
              <w:t>2022</w:t>
            </w:r>
          </w:p>
        </w:tc>
        <w:tc>
          <w:tcPr>
            <w:tcW w:w="1000" w:type="dxa"/>
            <w:vAlign w:val="bottom"/>
          </w:tcPr>
          <w:p>
            <w:pPr>
              <w:jc w:val="center"/>
              <w:spacing w:after="0"/>
              <w:rPr>
                <w:sz w:val="20"/>
                <w:szCs w:val="20"/>
                <w:color w:val="auto"/>
              </w:rPr>
            </w:pPr>
            <w:r>
              <w:rPr>
                <w:rFonts w:ascii="Arial" w:cs="Arial" w:eastAsia="Arial" w:hAnsi="Arial"/>
                <w:sz w:val="16"/>
                <w:szCs w:val="16"/>
                <w:color w:val="auto"/>
              </w:rPr>
              <w:t>$628,846</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$4,549,146</w:t>
            </w:r>
          </w:p>
        </w:tc>
        <w:tc>
          <w:tcPr>
            <w:tcW w:w="840" w:type="dxa"/>
            <w:vAlign w:val="bottom"/>
          </w:tcPr>
          <w:p>
            <w:pPr>
              <w:jc w:val="center"/>
              <w:spacing w:after="0"/>
              <w:rPr>
                <w:sz w:val="20"/>
                <w:szCs w:val="20"/>
                <w:color w:val="auto"/>
              </w:rPr>
            </w:pPr>
            <w:r>
              <w:rPr>
                <w:rFonts w:ascii="Arial" w:cs="Arial" w:eastAsia="Arial" w:hAnsi="Arial"/>
                <w:sz w:val="16"/>
                <w:szCs w:val="16"/>
                <w:color w:val="auto"/>
                <w:w w:val="97"/>
              </w:rPr>
              <w:t>$16</w:t>
            </w:r>
          </w:p>
        </w:tc>
        <w:tc>
          <w:tcPr>
            <w:tcW w:w="1340" w:type="dxa"/>
            <w:vAlign w:val="bottom"/>
          </w:tcPr>
          <w:p>
            <w:pPr>
              <w:jc w:val="center"/>
              <w:ind w:left="20"/>
              <w:spacing w:after="0"/>
              <w:rPr>
                <w:sz w:val="20"/>
                <w:szCs w:val="20"/>
                <w:color w:val="auto"/>
              </w:rPr>
            </w:pPr>
            <w:r>
              <w:rPr>
                <w:rFonts w:ascii="Arial" w:cs="Arial" w:eastAsia="Arial" w:hAnsi="Arial"/>
                <w:sz w:val="16"/>
                <w:szCs w:val="16"/>
                <w:color w:val="auto"/>
              </w:rPr>
              <w:t>$912,857</w:t>
            </w:r>
          </w:p>
        </w:tc>
        <w:tc>
          <w:tcPr>
            <w:tcW w:w="1360" w:type="dxa"/>
            <w:vAlign w:val="bottom"/>
          </w:tcPr>
          <w:p>
            <w:pPr>
              <w:jc w:val="center"/>
              <w:spacing w:after="0"/>
              <w:rPr>
                <w:sz w:val="20"/>
                <w:szCs w:val="20"/>
                <w:color w:val="auto"/>
              </w:rPr>
            </w:pPr>
            <w:r>
              <w:rPr>
                <w:rFonts w:ascii="Arial" w:cs="Arial" w:eastAsia="Arial" w:hAnsi="Arial"/>
                <w:sz w:val="16"/>
                <w:szCs w:val="16"/>
                <w:color w:val="auto"/>
                <w:w w:val="98"/>
              </w:rPr>
              <w:t>$1,377</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$6,092,242</w:t>
            </w:r>
          </w:p>
        </w:tc>
        <w:tc>
          <w:tcPr>
            <w:tcW w:w="0" w:type="dxa"/>
            <w:vAlign w:val="bottom"/>
          </w:tcPr>
          <w:p>
            <w:pPr>
              <w:spacing w:after="0"/>
              <w:rPr>
                <w:sz w:val="1"/>
                <w:szCs w:val="1"/>
                <w:color w:val="auto"/>
              </w:rPr>
            </w:pPr>
          </w:p>
        </w:tc>
      </w:tr>
      <w:tr>
        <w:trPr>
          <w:trHeight w:val="177"/>
        </w:trPr>
        <w:tc>
          <w:tcPr>
            <w:tcW w:w="3720" w:type="dxa"/>
            <w:vAlign w:val="bottom"/>
          </w:tcPr>
          <w:p>
            <w:pPr>
              <w:spacing w:after="0"/>
              <w:rPr>
                <w:sz w:val="15"/>
                <w:szCs w:val="15"/>
                <w:color w:val="auto"/>
              </w:rPr>
            </w:pPr>
          </w:p>
        </w:tc>
        <w:tc>
          <w:tcPr>
            <w:tcW w:w="540" w:type="dxa"/>
            <w:vAlign w:val="bottom"/>
            <w:gridSpan w:val="2"/>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1"/>
        </w:trPr>
        <w:tc>
          <w:tcPr>
            <w:tcW w:w="3720" w:type="dxa"/>
            <w:vAlign w:val="bottom"/>
            <w:shd w:val="clear" w:color="auto" w:fill="D6D1D8"/>
          </w:tcPr>
          <w:p>
            <w:pPr>
              <w:spacing w:after="0"/>
              <w:rPr>
                <w:sz w:val="24"/>
                <w:szCs w:val="24"/>
                <w:color w:val="auto"/>
              </w:rPr>
            </w:pPr>
          </w:p>
        </w:tc>
        <w:tc>
          <w:tcPr>
            <w:tcW w:w="540" w:type="dxa"/>
            <w:vAlign w:val="bottom"/>
            <w:gridSpan w:val="2"/>
            <w:shd w:val="clear" w:color="auto" w:fill="D6D1D8"/>
          </w:tcPr>
          <w:p>
            <w:pPr>
              <w:jc w:val="center"/>
              <w:spacing w:after="0"/>
              <w:rPr>
                <w:sz w:val="20"/>
                <w:szCs w:val="20"/>
                <w:color w:val="auto"/>
              </w:rPr>
            </w:pPr>
            <w:r>
              <w:rPr>
                <w:rFonts w:ascii="Arial" w:cs="Arial" w:eastAsia="Arial" w:hAnsi="Arial"/>
                <w:sz w:val="16"/>
                <w:szCs w:val="16"/>
                <w:color w:val="auto"/>
              </w:rPr>
              <w:t>2024</w:t>
            </w:r>
          </w:p>
        </w:tc>
        <w:tc>
          <w:tcPr>
            <w:tcW w:w="1000" w:type="dxa"/>
            <w:vAlign w:val="bottom"/>
            <w:shd w:val="clear" w:color="auto" w:fill="D6D1D8"/>
          </w:tcPr>
          <w:p>
            <w:pPr>
              <w:jc w:val="center"/>
              <w:spacing w:after="0"/>
              <w:rPr>
                <w:sz w:val="20"/>
                <w:szCs w:val="20"/>
                <w:color w:val="auto"/>
              </w:rPr>
            </w:pPr>
            <w:r>
              <w:rPr>
                <w:rFonts w:ascii="Arial" w:cs="Arial" w:eastAsia="Arial" w:hAnsi="Arial"/>
                <w:sz w:val="16"/>
                <w:szCs w:val="16"/>
                <w:color w:val="auto"/>
              </w:rPr>
              <w:t>$543,654</w:t>
            </w:r>
          </w:p>
        </w:tc>
        <w:tc>
          <w:tcPr>
            <w:tcW w:w="1060" w:type="dxa"/>
            <w:vAlign w:val="bottom"/>
            <w:shd w:val="clear" w:color="auto" w:fill="D6D1D8"/>
          </w:tcPr>
          <w:p>
            <w:pPr>
              <w:jc w:val="center"/>
              <w:spacing w:after="0"/>
              <w:rPr>
                <w:sz w:val="20"/>
                <w:szCs w:val="20"/>
                <w:color w:val="auto"/>
              </w:rPr>
            </w:pPr>
            <w:r>
              <w:rPr>
                <w:rFonts w:ascii="Arial" w:cs="Arial" w:eastAsia="Arial" w:hAnsi="Arial"/>
                <w:sz w:val="16"/>
                <w:szCs w:val="16"/>
                <w:color w:val="auto"/>
                <w:w w:val="99"/>
              </w:rPr>
              <w:t>$1,978,796</w:t>
            </w:r>
          </w:p>
        </w:tc>
        <w:tc>
          <w:tcPr>
            <w:tcW w:w="840" w:type="dxa"/>
            <w:vAlign w:val="bottom"/>
            <w:shd w:val="clear" w:color="auto" w:fill="D6D1D8"/>
          </w:tcPr>
          <w:p>
            <w:pPr>
              <w:jc w:val="center"/>
              <w:spacing w:after="0"/>
              <w:rPr>
                <w:sz w:val="20"/>
                <w:szCs w:val="20"/>
                <w:color w:val="auto"/>
              </w:rPr>
            </w:pPr>
            <w:r>
              <w:rPr>
                <w:rFonts w:ascii="Arial" w:cs="Arial" w:eastAsia="Arial" w:hAnsi="Arial"/>
                <w:sz w:val="16"/>
                <w:szCs w:val="16"/>
                <w:color w:val="auto"/>
              </w:rPr>
              <w:t>-</w:t>
            </w:r>
          </w:p>
        </w:tc>
        <w:tc>
          <w:tcPr>
            <w:tcW w:w="1340" w:type="dxa"/>
            <w:vAlign w:val="bottom"/>
            <w:shd w:val="clear" w:color="auto" w:fill="D6D1D8"/>
          </w:tcPr>
          <w:p>
            <w:pPr>
              <w:jc w:val="center"/>
              <w:ind w:left="20"/>
              <w:spacing w:after="0"/>
              <w:rPr>
                <w:sz w:val="20"/>
                <w:szCs w:val="20"/>
                <w:color w:val="auto"/>
              </w:rPr>
            </w:pPr>
            <w:r>
              <w:rPr>
                <w:rFonts w:ascii="Arial" w:cs="Arial" w:eastAsia="Arial" w:hAnsi="Arial"/>
                <w:sz w:val="16"/>
                <w:szCs w:val="16"/>
                <w:color w:val="auto"/>
              </w:rPr>
              <w:t>$619,446</w:t>
            </w:r>
          </w:p>
        </w:tc>
        <w:tc>
          <w:tcPr>
            <w:tcW w:w="1360" w:type="dxa"/>
            <w:vAlign w:val="bottom"/>
            <w:shd w:val="clear" w:color="auto" w:fill="D6D1D8"/>
          </w:tcPr>
          <w:p>
            <w:pPr>
              <w:jc w:val="center"/>
              <w:spacing w:after="0"/>
              <w:rPr>
                <w:sz w:val="20"/>
                <w:szCs w:val="20"/>
                <w:color w:val="auto"/>
              </w:rPr>
            </w:pPr>
            <w:r>
              <w:rPr>
                <w:rFonts w:ascii="Arial" w:cs="Arial" w:eastAsia="Arial" w:hAnsi="Arial"/>
                <w:sz w:val="16"/>
                <w:szCs w:val="16"/>
                <w:color w:val="auto"/>
                <w:w w:val="98"/>
              </w:rPr>
              <w:t>$153,115</w:t>
            </w:r>
          </w:p>
        </w:tc>
        <w:tc>
          <w:tcPr>
            <w:tcW w:w="1060" w:type="dxa"/>
            <w:vAlign w:val="bottom"/>
            <w:shd w:val="clear" w:color="auto" w:fill="D6D1D8"/>
          </w:tcPr>
          <w:p>
            <w:pPr>
              <w:jc w:val="center"/>
              <w:spacing w:after="0"/>
              <w:rPr>
                <w:sz w:val="20"/>
                <w:szCs w:val="20"/>
                <w:color w:val="auto"/>
              </w:rPr>
            </w:pPr>
            <w:r>
              <w:rPr>
                <w:rFonts w:ascii="Arial" w:cs="Arial" w:eastAsia="Arial" w:hAnsi="Arial"/>
                <w:sz w:val="16"/>
                <w:szCs w:val="16"/>
                <w:color w:val="auto"/>
                <w:w w:val="99"/>
              </w:rPr>
              <w:t>$3,295,011</w:t>
            </w:r>
          </w:p>
        </w:tc>
        <w:tc>
          <w:tcPr>
            <w:tcW w:w="0" w:type="dxa"/>
            <w:vAlign w:val="bottom"/>
          </w:tcPr>
          <w:p>
            <w:pPr>
              <w:spacing w:after="0"/>
              <w:rPr>
                <w:sz w:val="1"/>
                <w:szCs w:val="1"/>
                <w:color w:val="auto"/>
              </w:rPr>
            </w:pPr>
          </w:p>
        </w:tc>
      </w:tr>
      <w:tr>
        <w:trPr>
          <w:trHeight w:val="364"/>
        </w:trPr>
        <w:tc>
          <w:tcPr>
            <w:tcW w:w="3720" w:type="dxa"/>
            <w:vAlign w:val="bottom"/>
            <w:shd w:val="clear" w:color="auto" w:fill="D6D1D8"/>
          </w:tcPr>
          <w:p>
            <w:pPr>
              <w:ind w:left="100"/>
              <w:spacing w:after="0"/>
              <w:rPr>
                <w:sz w:val="20"/>
                <w:szCs w:val="20"/>
                <w:color w:val="auto"/>
              </w:rPr>
            </w:pPr>
            <w:r>
              <w:rPr>
                <w:rFonts w:ascii="Arial" w:cs="Arial" w:eastAsia="Arial" w:hAnsi="Arial"/>
                <w:sz w:val="16"/>
                <w:szCs w:val="16"/>
                <w:color w:val="auto"/>
              </w:rPr>
              <w:t>JACQUI KRUM(5)</w:t>
            </w:r>
          </w:p>
        </w:tc>
        <w:tc>
          <w:tcPr>
            <w:tcW w:w="40" w:type="dxa"/>
            <w:vAlign w:val="bottom"/>
            <w:shd w:val="clear" w:color="auto" w:fill="D6D1D8"/>
          </w:tcPr>
          <w:p>
            <w:pPr>
              <w:spacing w:after="0"/>
              <w:rPr>
                <w:sz w:val="24"/>
                <w:szCs w:val="24"/>
                <w:color w:val="auto"/>
              </w:rPr>
            </w:pPr>
          </w:p>
        </w:tc>
        <w:tc>
          <w:tcPr>
            <w:tcW w:w="500" w:type="dxa"/>
            <w:vAlign w:val="bottom"/>
            <w:shd w:val="clear" w:color="auto" w:fill="D6D1D8"/>
          </w:tcPr>
          <w:p>
            <w:pPr>
              <w:spacing w:after="0"/>
              <w:rPr>
                <w:sz w:val="24"/>
                <w:szCs w:val="24"/>
                <w:color w:val="auto"/>
              </w:rPr>
            </w:pPr>
          </w:p>
        </w:tc>
        <w:tc>
          <w:tcPr>
            <w:tcW w:w="1000" w:type="dxa"/>
            <w:vAlign w:val="bottom"/>
            <w:shd w:val="clear" w:color="auto" w:fill="D6D1D8"/>
          </w:tcPr>
          <w:p>
            <w:pPr>
              <w:spacing w:after="0"/>
              <w:rPr>
                <w:sz w:val="24"/>
                <w:szCs w:val="24"/>
                <w:color w:val="auto"/>
              </w:rPr>
            </w:pPr>
          </w:p>
        </w:tc>
        <w:tc>
          <w:tcPr>
            <w:tcW w:w="1060" w:type="dxa"/>
            <w:vAlign w:val="bottom"/>
            <w:shd w:val="clear" w:color="auto" w:fill="D6D1D8"/>
          </w:tcPr>
          <w:p>
            <w:pPr>
              <w:spacing w:after="0"/>
              <w:rPr>
                <w:sz w:val="24"/>
                <w:szCs w:val="24"/>
                <w:color w:val="auto"/>
              </w:rPr>
            </w:pPr>
          </w:p>
        </w:tc>
        <w:tc>
          <w:tcPr>
            <w:tcW w:w="840" w:type="dxa"/>
            <w:vAlign w:val="bottom"/>
            <w:shd w:val="clear" w:color="auto" w:fill="D6D1D8"/>
          </w:tcPr>
          <w:p>
            <w:pPr>
              <w:spacing w:after="0"/>
              <w:rPr>
                <w:sz w:val="24"/>
                <w:szCs w:val="24"/>
                <w:color w:val="auto"/>
              </w:rPr>
            </w:pPr>
          </w:p>
        </w:tc>
        <w:tc>
          <w:tcPr>
            <w:tcW w:w="1340" w:type="dxa"/>
            <w:vAlign w:val="bottom"/>
            <w:shd w:val="clear" w:color="auto" w:fill="D6D1D8"/>
          </w:tcPr>
          <w:p>
            <w:pPr>
              <w:spacing w:after="0"/>
              <w:rPr>
                <w:sz w:val="24"/>
                <w:szCs w:val="24"/>
                <w:color w:val="auto"/>
              </w:rPr>
            </w:pPr>
          </w:p>
        </w:tc>
        <w:tc>
          <w:tcPr>
            <w:tcW w:w="1360" w:type="dxa"/>
            <w:vAlign w:val="bottom"/>
            <w:shd w:val="clear" w:color="auto" w:fill="D6D1D8"/>
          </w:tcPr>
          <w:p>
            <w:pPr>
              <w:spacing w:after="0"/>
              <w:rPr>
                <w:sz w:val="24"/>
                <w:szCs w:val="24"/>
                <w:color w:val="auto"/>
              </w:rPr>
            </w:pPr>
          </w:p>
        </w:tc>
        <w:tc>
          <w:tcPr>
            <w:tcW w:w="1060" w:type="dxa"/>
            <w:vAlign w:val="bottom"/>
            <w:shd w:val="clear" w:color="auto" w:fill="D6D1D8"/>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720" w:type="dxa"/>
            <w:vAlign w:val="bottom"/>
            <w:shd w:val="clear" w:color="auto" w:fill="D6D1D8"/>
          </w:tcPr>
          <w:p>
            <w:pPr>
              <w:ind w:left="100"/>
              <w:spacing w:after="0"/>
              <w:rPr>
                <w:sz w:val="20"/>
                <w:szCs w:val="20"/>
                <w:color w:val="auto"/>
              </w:rPr>
            </w:pPr>
            <w:r>
              <w:rPr>
                <w:rFonts w:ascii="Arial" w:cs="Arial" w:eastAsia="Arial" w:hAnsi="Arial"/>
                <w:sz w:val="16"/>
                <w:szCs w:val="16"/>
                <w:color w:val="auto"/>
              </w:rPr>
              <w:t>Executive Vice President,</w:t>
            </w:r>
          </w:p>
        </w:tc>
        <w:tc>
          <w:tcPr>
            <w:tcW w:w="40" w:type="dxa"/>
            <w:vAlign w:val="bottom"/>
            <w:shd w:val="clear" w:color="auto" w:fill="D6D1D8"/>
          </w:tcPr>
          <w:p>
            <w:pPr>
              <w:spacing w:after="0"/>
              <w:rPr>
                <w:sz w:val="16"/>
                <w:szCs w:val="16"/>
                <w:color w:val="auto"/>
              </w:rPr>
            </w:pPr>
          </w:p>
        </w:tc>
        <w:tc>
          <w:tcPr>
            <w:tcW w:w="500" w:type="dxa"/>
            <w:vAlign w:val="bottom"/>
            <w:shd w:val="clear" w:color="auto" w:fill="D6D1D8"/>
          </w:tcPr>
          <w:p>
            <w:pPr>
              <w:jc w:val="center"/>
              <w:spacing w:after="0"/>
              <w:rPr>
                <w:sz w:val="20"/>
                <w:szCs w:val="20"/>
                <w:color w:val="auto"/>
              </w:rPr>
            </w:pPr>
            <w:r>
              <w:rPr>
                <w:rFonts w:ascii="Arial" w:cs="Arial" w:eastAsia="Arial" w:hAnsi="Arial"/>
                <w:sz w:val="16"/>
                <w:szCs w:val="16"/>
                <w:color w:val="auto"/>
              </w:rPr>
              <w:t>2023</w:t>
            </w:r>
          </w:p>
        </w:tc>
        <w:tc>
          <w:tcPr>
            <w:tcW w:w="1000" w:type="dxa"/>
            <w:vAlign w:val="bottom"/>
            <w:shd w:val="clear" w:color="auto" w:fill="D6D1D8"/>
          </w:tcPr>
          <w:p>
            <w:pPr>
              <w:jc w:val="center"/>
              <w:spacing w:after="0"/>
              <w:rPr>
                <w:sz w:val="20"/>
                <w:szCs w:val="20"/>
                <w:color w:val="auto"/>
              </w:rPr>
            </w:pPr>
            <w:r>
              <w:rPr>
                <w:rFonts w:ascii="Arial" w:cs="Arial" w:eastAsia="Arial" w:hAnsi="Arial"/>
                <w:sz w:val="16"/>
                <w:szCs w:val="16"/>
                <w:color w:val="auto"/>
                <w:w w:val="74"/>
              </w:rPr>
              <w:t>-</w:t>
            </w:r>
          </w:p>
        </w:tc>
        <w:tc>
          <w:tcPr>
            <w:tcW w:w="1060" w:type="dxa"/>
            <w:vAlign w:val="bottom"/>
            <w:shd w:val="clear" w:color="auto" w:fill="D6D1D8"/>
          </w:tcPr>
          <w:p>
            <w:pPr>
              <w:jc w:val="center"/>
              <w:spacing w:after="0"/>
              <w:rPr>
                <w:sz w:val="20"/>
                <w:szCs w:val="20"/>
                <w:color w:val="auto"/>
              </w:rPr>
            </w:pPr>
            <w:r>
              <w:rPr>
                <w:rFonts w:ascii="Arial" w:cs="Arial" w:eastAsia="Arial" w:hAnsi="Arial"/>
                <w:sz w:val="16"/>
                <w:szCs w:val="16"/>
                <w:color w:val="auto"/>
                <w:w w:val="74"/>
              </w:rPr>
              <w:t>-</w:t>
            </w:r>
          </w:p>
        </w:tc>
        <w:tc>
          <w:tcPr>
            <w:tcW w:w="840" w:type="dxa"/>
            <w:vAlign w:val="bottom"/>
            <w:shd w:val="clear" w:color="auto" w:fill="D6D1D8"/>
          </w:tcPr>
          <w:p>
            <w:pPr>
              <w:jc w:val="center"/>
              <w:spacing w:after="0"/>
              <w:rPr>
                <w:sz w:val="20"/>
                <w:szCs w:val="20"/>
                <w:color w:val="auto"/>
              </w:rPr>
            </w:pPr>
            <w:r>
              <w:rPr>
                <w:rFonts w:ascii="Arial" w:cs="Arial" w:eastAsia="Arial" w:hAnsi="Arial"/>
                <w:sz w:val="16"/>
                <w:szCs w:val="16"/>
                <w:color w:val="auto"/>
              </w:rPr>
              <w:t>-</w:t>
            </w:r>
          </w:p>
        </w:tc>
        <w:tc>
          <w:tcPr>
            <w:tcW w:w="1340" w:type="dxa"/>
            <w:vAlign w:val="bottom"/>
            <w:shd w:val="clear" w:color="auto" w:fill="D6D1D8"/>
          </w:tcPr>
          <w:p>
            <w:pPr>
              <w:jc w:val="center"/>
              <w:ind w:left="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D6D1D8"/>
          </w:tcPr>
          <w:p>
            <w:pPr>
              <w:jc w:val="center"/>
              <w:spacing w:after="0"/>
              <w:rPr>
                <w:sz w:val="20"/>
                <w:szCs w:val="20"/>
                <w:color w:val="auto"/>
              </w:rPr>
            </w:pPr>
            <w:r>
              <w:rPr>
                <w:rFonts w:ascii="Arial" w:cs="Arial" w:eastAsia="Arial" w:hAnsi="Arial"/>
                <w:sz w:val="16"/>
                <w:szCs w:val="16"/>
                <w:color w:val="auto"/>
                <w:w w:val="74"/>
              </w:rPr>
              <w:t>-</w:t>
            </w:r>
          </w:p>
        </w:tc>
        <w:tc>
          <w:tcPr>
            <w:tcW w:w="1060" w:type="dxa"/>
            <w:vAlign w:val="bottom"/>
            <w:shd w:val="clear" w:color="auto" w:fill="D6D1D8"/>
          </w:tcPr>
          <w:p>
            <w:pPr>
              <w:jc w:val="center"/>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1"/>
        </w:trPr>
        <w:tc>
          <w:tcPr>
            <w:tcW w:w="3720" w:type="dxa"/>
            <w:vAlign w:val="bottom"/>
            <w:shd w:val="clear" w:color="auto" w:fill="D6D1D8"/>
          </w:tcPr>
          <w:p>
            <w:pPr>
              <w:ind w:left="100"/>
              <w:spacing w:after="0"/>
              <w:rPr>
                <w:sz w:val="20"/>
                <w:szCs w:val="20"/>
                <w:color w:val="auto"/>
              </w:rPr>
            </w:pPr>
            <w:r>
              <w:rPr>
                <w:rFonts w:ascii="Arial" w:cs="Arial" w:eastAsia="Arial" w:hAnsi="Arial"/>
                <w:sz w:val="16"/>
                <w:szCs w:val="16"/>
                <w:color w:val="auto"/>
              </w:rPr>
              <w:t>General Counsel and Secretary</w:t>
            </w:r>
          </w:p>
        </w:tc>
        <w:tc>
          <w:tcPr>
            <w:tcW w:w="40" w:type="dxa"/>
            <w:vAlign w:val="bottom"/>
            <w:shd w:val="clear" w:color="auto" w:fill="D6D1D8"/>
          </w:tcPr>
          <w:p>
            <w:pPr>
              <w:spacing w:after="0"/>
              <w:rPr>
                <w:sz w:val="17"/>
                <w:szCs w:val="17"/>
                <w:color w:val="auto"/>
              </w:rPr>
            </w:pPr>
          </w:p>
        </w:tc>
        <w:tc>
          <w:tcPr>
            <w:tcW w:w="500" w:type="dxa"/>
            <w:vAlign w:val="bottom"/>
            <w:shd w:val="clear" w:color="auto" w:fill="D6D1D8"/>
          </w:tcPr>
          <w:p>
            <w:pPr>
              <w:spacing w:after="0"/>
              <w:rPr>
                <w:sz w:val="17"/>
                <w:szCs w:val="17"/>
                <w:color w:val="auto"/>
              </w:rPr>
            </w:pPr>
          </w:p>
        </w:tc>
        <w:tc>
          <w:tcPr>
            <w:tcW w:w="1000" w:type="dxa"/>
            <w:vAlign w:val="bottom"/>
            <w:shd w:val="clear" w:color="auto" w:fill="D6D1D8"/>
          </w:tcPr>
          <w:p>
            <w:pPr>
              <w:spacing w:after="0"/>
              <w:rPr>
                <w:sz w:val="17"/>
                <w:szCs w:val="17"/>
                <w:color w:val="auto"/>
              </w:rPr>
            </w:pPr>
          </w:p>
        </w:tc>
        <w:tc>
          <w:tcPr>
            <w:tcW w:w="1060" w:type="dxa"/>
            <w:vAlign w:val="bottom"/>
            <w:shd w:val="clear" w:color="auto" w:fill="D6D1D8"/>
          </w:tcPr>
          <w:p>
            <w:pPr>
              <w:spacing w:after="0"/>
              <w:rPr>
                <w:sz w:val="17"/>
                <w:szCs w:val="17"/>
                <w:color w:val="auto"/>
              </w:rPr>
            </w:pPr>
          </w:p>
        </w:tc>
        <w:tc>
          <w:tcPr>
            <w:tcW w:w="840" w:type="dxa"/>
            <w:vAlign w:val="bottom"/>
            <w:shd w:val="clear" w:color="auto" w:fill="D6D1D8"/>
          </w:tcPr>
          <w:p>
            <w:pPr>
              <w:spacing w:after="0"/>
              <w:rPr>
                <w:sz w:val="17"/>
                <w:szCs w:val="17"/>
                <w:color w:val="auto"/>
              </w:rPr>
            </w:pPr>
          </w:p>
        </w:tc>
        <w:tc>
          <w:tcPr>
            <w:tcW w:w="1340" w:type="dxa"/>
            <w:vAlign w:val="bottom"/>
            <w:shd w:val="clear" w:color="auto" w:fill="D6D1D8"/>
          </w:tcPr>
          <w:p>
            <w:pPr>
              <w:spacing w:after="0"/>
              <w:rPr>
                <w:sz w:val="17"/>
                <w:szCs w:val="17"/>
                <w:color w:val="auto"/>
              </w:rPr>
            </w:pPr>
          </w:p>
        </w:tc>
        <w:tc>
          <w:tcPr>
            <w:tcW w:w="1360" w:type="dxa"/>
            <w:vAlign w:val="bottom"/>
            <w:shd w:val="clear" w:color="auto" w:fill="D6D1D8"/>
          </w:tcPr>
          <w:p>
            <w:pPr>
              <w:spacing w:after="0"/>
              <w:rPr>
                <w:sz w:val="17"/>
                <w:szCs w:val="17"/>
                <w:color w:val="auto"/>
              </w:rPr>
            </w:pPr>
          </w:p>
        </w:tc>
        <w:tc>
          <w:tcPr>
            <w:tcW w:w="1060" w:type="dxa"/>
            <w:vAlign w:val="bottom"/>
            <w:shd w:val="clear" w:color="auto" w:fill="D6D1D8"/>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3720" w:type="dxa"/>
            <w:vAlign w:val="bottom"/>
            <w:shd w:val="clear" w:color="auto" w:fill="D6D1D8"/>
          </w:tcPr>
          <w:p>
            <w:pPr>
              <w:spacing w:after="0"/>
              <w:rPr>
                <w:sz w:val="24"/>
                <w:szCs w:val="24"/>
                <w:color w:val="auto"/>
              </w:rPr>
            </w:pPr>
          </w:p>
        </w:tc>
        <w:tc>
          <w:tcPr>
            <w:tcW w:w="40" w:type="dxa"/>
            <w:vAlign w:val="bottom"/>
            <w:shd w:val="clear" w:color="auto" w:fill="D6D1D8"/>
          </w:tcPr>
          <w:p>
            <w:pPr>
              <w:spacing w:after="0"/>
              <w:rPr>
                <w:sz w:val="24"/>
                <w:szCs w:val="24"/>
                <w:color w:val="auto"/>
              </w:rPr>
            </w:pPr>
          </w:p>
        </w:tc>
        <w:tc>
          <w:tcPr>
            <w:tcW w:w="500" w:type="dxa"/>
            <w:vAlign w:val="bottom"/>
            <w:shd w:val="clear" w:color="auto" w:fill="D6D1D8"/>
          </w:tcPr>
          <w:p>
            <w:pPr>
              <w:jc w:val="center"/>
              <w:spacing w:after="0"/>
              <w:rPr>
                <w:sz w:val="20"/>
                <w:szCs w:val="20"/>
                <w:color w:val="auto"/>
              </w:rPr>
            </w:pPr>
            <w:r>
              <w:rPr>
                <w:rFonts w:ascii="Arial" w:cs="Arial" w:eastAsia="Arial" w:hAnsi="Arial"/>
                <w:sz w:val="16"/>
                <w:szCs w:val="16"/>
                <w:color w:val="auto"/>
              </w:rPr>
              <w:t>2022</w:t>
            </w:r>
          </w:p>
        </w:tc>
        <w:tc>
          <w:tcPr>
            <w:tcW w:w="1000" w:type="dxa"/>
            <w:vAlign w:val="bottom"/>
            <w:shd w:val="clear" w:color="auto" w:fill="D6D1D8"/>
          </w:tcPr>
          <w:p>
            <w:pPr>
              <w:jc w:val="center"/>
              <w:spacing w:after="0"/>
              <w:rPr>
                <w:sz w:val="20"/>
                <w:szCs w:val="20"/>
                <w:color w:val="auto"/>
              </w:rPr>
            </w:pPr>
            <w:r>
              <w:rPr>
                <w:rFonts w:ascii="Arial" w:cs="Arial" w:eastAsia="Arial" w:hAnsi="Arial"/>
                <w:sz w:val="16"/>
                <w:szCs w:val="16"/>
                <w:color w:val="auto"/>
                <w:w w:val="74"/>
              </w:rPr>
              <w:t>-</w:t>
            </w:r>
          </w:p>
        </w:tc>
        <w:tc>
          <w:tcPr>
            <w:tcW w:w="1060" w:type="dxa"/>
            <w:vAlign w:val="bottom"/>
            <w:shd w:val="clear" w:color="auto" w:fill="D6D1D8"/>
          </w:tcPr>
          <w:p>
            <w:pPr>
              <w:jc w:val="center"/>
              <w:spacing w:after="0"/>
              <w:rPr>
                <w:sz w:val="20"/>
                <w:szCs w:val="20"/>
                <w:color w:val="auto"/>
              </w:rPr>
            </w:pPr>
            <w:r>
              <w:rPr>
                <w:rFonts w:ascii="Arial" w:cs="Arial" w:eastAsia="Arial" w:hAnsi="Arial"/>
                <w:sz w:val="16"/>
                <w:szCs w:val="16"/>
                <w:color w:val="auto"/>
                <w:w w:val="74"/>
              </w:rPr>
              <w:t>-</w:t>
            </w:r>
          </w:p>
        </w:tc>
        <w:tc>
          <w:tcPr>
            <w:tcW w:w="840" w:type="dxa"/>
            <w:vAlign w:val="bottom"/>
            <w:shd w:val="clear" w:color="auto" w:fill="D6D1D8"/>
          </w:tcPr>
          <w:p>
            <w:pPr>
              <w:jc w:val="center"/>
              <w:spacing w:after="0"/>
              <w:rPr>
                <w:sz w:val="20"/>
                <w:szCs w:val="20"/>
                <w:color w:val="auto"/>
              </w:rPr>
            </w:pPr>
            <w:r>
              <w:rPr>
                <w:rFonts w:ascii="Arial" w:cs="Arial" w:eastAsia="Arial" w:hAnsi="Arial"/>
                <w:sz w:val="16"/>
                <w:szCs w:val="16"/>
                <w:color w:val="auto"/>
              </w:rPr>
              <w:t>-</w:t>
            </w:r>
          </w:p>
        </w:tc>
        <w:tc>
          <w:tcPr>
            <w:tcW w:w="1340" w:type="dxa"/>
            <w:vAlign w:val="bottom"/>
            <w:shd w:val="clear" w:color="auto" w:fill="D6D1D8"/>
          </w:tcPr>
          <w:p>
            <w:pPr>
              <w:jc w:val="center"/>
              <w:ind w:left="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D6D1D8"/>
          </w:tcPr>
          <w:p>
            <w:pPr>
              <w:jc w:val="center"/>
              <w:spacing w:after="0"/>
              <w:rPr>
                <w:sz w:val="20"/>
                <w:szCs w:val="20"/>
                <w:color w:val="auto"/>
              </w:rPr>
            </w:pPr>
            <w:r>
              <w:rPr>
                <w:rFonts w:ascii="Arial" w:cs="Arial" w:eastAsia="Arial" w:hAnsi="Arial"/>
                <w:sz w:val="16"/>
                <w:szCs w:val="16"/>
                <w:color w:val="auto"/>
                <w:w w:val="74"/>
              </w:rPr>
              <w:t>-</w:t>
            </w:r>
          </w:p>
        </w:tc>
        <w:tc>
          <w:tcPr>
            <w:tcW w:w="1060" w:type="dxa"/>
            <w:vAlign w:val="bottom"/>
            <w:shd w:val="clear" w:color="auto" w:fill="D6D1D8"/>
          </w:tcPr>
          <w:p>
            <w:pPr>
              <w:jc w:val="center"/>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77"/>
        </w:trPr>
        <w:tc>
          <w:tcPr>
            <w:tcW w:w="3720" w:type="dxa"/>
            <w:vAlign w:val="bottom"/>
            <w:shd w:val="clear" w:color="auto" w:fill="D6D1D8"/>
          </w:tcPr>
          <w:p>
            <w:pPr>
              <w:spacing w:after="0"/>
              <w:rPr>
                <w:sz w:val="15"/>
                <w:szCs w:val="15"/>
                <w:color w:val="auto"/>
              </w:rPr>
            </w:pPr>
          </w:p>
        </w:tc>
        <w:tc>
          <w:tcPr>
            <w:tcW w:w="40" w:type="dxa"/>
            <w:vAlign w:val="bottom"/>
            <w:shd w:val="clear" w:color="auto" w:fill="D6D1D8"/>
          </w:tcPr>
          <w:p>
            <w:pPr>
              <w:spacing w:after="0"/>
              <w:rPr>
                <w:sz w:val="15"/>
                <w:szCs w:val="15"/>
                <w:color w:val="auto"/>
              </w:rPr>
            </w:pPr>
          </w:p>
        </w:tc>
        <w:tc>
          <w:tcPr>
            <w:tcW w:w="500" w:type="dxa"/>
            <w:vAlign w:val="bottom"/>
            <w:shd w:val="clear" w:color="auto" w:fill="D6D1D8"/>
          </w:tcPr>
          <w:p>
            <w:pPr>
              <w:spacing w:after="0"/>
              <w:rPr>
                <w:sz w:val="15"/>
                <w:szCs w:val="15"/>
                <w:color w:val="auto"/>
              </w:rPr>
            </w:pPr>
          </w:p>
        </w:tc>
        <w:tc>
          <w:tcPr>
            <w:tcW w:w="1000" w:type="dxa"/>
            <w:vAlign w:val="bottom"/>
            <w:shd w:val="clear" w:color="auto" w:fill="D6D1D8"/>
          </w:tcPr>
          <w:p>
            <w:pPr>
              <w:spacing w:after="0"/>
              <w:rPr>
                <w:sz w:val="15"/>
                <w:szCs w:val="15"/>
                <w:color w:val="auto"/>
              </w:rPr>
            </w:pPr>
          </w:p>
        </w:tc>
        <w:tc>
          <w:tcPr>
            <w:tcW w:w="1060" w:type="dxa"/>
            <w:vAlign w:val="bottom"/>
            <w:shd w:val="clear" w:color="auto" w:fill="D6D1D8"/>
          </w:tcPr>
          <w:p>
            <w:pPr>
              <w:spacing w:after="0"/>
              <w:rPr>
                <w:sz w:val="15"/>
                <w:szCs w:val="15"/>
                <w:color w:val="auto"/>
              </w:rPr>
            </w:pPr>
          </w:p>
        </w:tc>
        <w:tc>
          <w:tcPr>
            <w:tcW w:w="840" w:type="dxa"/>
            <w:vAlign w:val="bottom"/>
            <w:shd w:val="clear" w:color="auto" w:fill="D6D1D8"/>
          </w:tcPr>
          <w:p>
            <w:pPr>
              <w:spacing w:after="0"/>
              <w:rPr>
                <w:sz w:val="15"/>
                <w:szCs w:val="15"/>
                <w:color w:val="auto"/>
              </w:rPr>
            </w:pPr>
          </w:p>
        </w:tc>
        <w:tc>
          <w:tcPr>
            <w:tcW w:w="1340" w:type="dxa"/>
            <w:vAlign w:val="bottom"/>
            <w:shd w:val="clear" w:color="auto" w:fill="D6D1D8"/>
          </w:tcPr>
          <w:p>
            <w:pPr>
              <w:spacing w:after="0"/>
              <w:rPr>
                <w:sz w:val="15"/>
                <w:szCs w:val="15"/>
                <w:color w:val="auto"/>
              </w:rPr>
            </w:pPr>
          </w:p>
        </w:tc>
        <w:tc>
          <w:tcPr>
            <w:tcW w:w="1360" w:type="dxa"/>
            <w:vAlign w:val="bottom"/>
            <w:shd w:val="clear" w:color="auto" w:fill="D6D1D8"/>
          </w:tcPr>
          <w:p>
            <w:pPr>
              <w:spacing w:after="0"/>
              <w:rPr>
                <w:sz w:val="15"/>
                <w:szCs w:val="15"/>
                <w:color w:val="auto"/>
              </w:rPr>
            </w:pPr>
          </w:p>
        </w:tc>
        <w:tc>
          <w:tcPr>
            <w:tcW w:w="1060" w:type="dxa"/>
            <w:vAlign w:val="bottom"/>
            <w:shd w:val="clear" w:color="auto" w:fill="D6D1D8"/>
          </w:tcPr>
          <w:p>
            <w:pPr>
              <w:spacing w:after="0"/>
              <w:rPr>
                <w:sz w:val="15"/>
                <w:szCs w:val="15"/>
                <w:color w:val="auto"/>
              </w:rPr>
            </w:pPr>
          </w:p>
        </w:tc>
        <w:tc>
          <w:tcPr>
            <w:tcW w:w="0" w:type="dxa"/>
            <w:vAlign w:val="bottom"/>
          </w:tcPr>
          <w:p>
            <w:pPr>
              <w:spacing w:after="0"/>
              <w:rPr>
                <w:sz w:val="1"/>
                <w:szCs w:val="1"/>
                <w:color w:val="auto"/>
              </w:rPr>
            </w:pPr>
          </w:p>
        </w:tc>
      </w:tr>
      <w:tr>
        <w:trPr>
          <w:trHeight w:val="411"/>
        </w:trPr>
        <w:tc>
          <w:tcPr>
            <w:tcW w:w="3720" w:type="dxa"/>
            <w:vAlign w:val="bottom"/>
          </w:tcPr>
          <w:p>
            <w:pPr>
              <w:spacing w:after="0"/>
              <w:rPr>
                <w:sz w:val="24"/>
                <w:szCs w:val="24"/>
                <w:color w:val="auto"/>
              </w:rPr>
            </w:pPr>
          </w:p>
        </w:tc>
        <w:tc>
          <w:tcPr>
            <w:tcW w:w="540" w:type="dxa"/>
            <w:vAlign w:val="bottom"/>
            <w:gridSpan w:val="2"/>
          </w:tcPr>
          <w:p>
            <w:pPr>
              <w:jc w:val="center"/>
              <w:spacing w:after="0"/>
              <w:rPr>
                <w:sz w:val="20"/>
                <w:szCs w:val="20"/>
                <w:color w:val="auto"/>
              </w:rPr>
            </w:pPr>
            <w:r>
              <w:rPr>
                <w:rFonts w:ascii="Arial" w:cs="Arial" w:eastAsia="Arial" w:hAnsi="Arial"/>
                <w:sz w:val="16"/>
                <w:szCs w:val="16"/>
                <w:color w:val="auto"/>
              </w:rPr>
              <w:t>2024</w:t>
            </w:r>
          </w:p>
        </w:tc>
        <w:tc>
          <w:tcPr>
            <w:tcW w:w="1000" w:type="dxa"/>
            <w:vAlign w:val="bottom"/>
          </w:tcPr>
          <w:p>
            <w:pPr>
              <w:jc w:val="center"/>
              <w:spacing w:after="0"/>
              <w:rPr>
                <w:sz w:val="20"/>
                <w:szCs w:val="20"/>
                <w:color w:val="auto"/>
              </w:rPr>
            </w:pPr>
            <w:r>
              <w:rPr>
                <w:rFonts w:ascii="Arial" w:cs="Arial" w:eastAsia="Arial" w:hAnsi="Arial"/>
                <w:sz w:val="16"/>
                <w:szCs w:val="16"/>
                <w:color w:val="auto"/>
              </w:rPr>
              <w:t>$900,000</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$2,542,624</w:t>
            </w:r>
          </w:p>
        </w:tc>
        <w:tc>
          <w:tcPr>
            <w:tcW w:w="840" w:type="dxa"/>
            <w:vAlign w:val="bottom"/>
          </w:tcPr>
          <w:p>
            <w:pPr>
              <w:jc w:val="center"/>
              <w:spacing w:after="0"/>
              <w:rPr>
                <w:sz w:val="20"/>
                <w:szCs w:val="20"/>
                <w:color w:val="auto"/>
              </w:rPr>
            </w:pPr>
            <w:r>
              <w:rPr>
                <w:rFonts w:ascii="Arial" w:cs="Arial" w:eastAsia="Arial" w:hAnsi="Arial"/>
                <w:sz w:val="16"/>
                <w:szCs w:val="16"/>
                <w:color w:val="auto"/>
              </w:rPr>
              <w:t>-</w:t>
            </w:r>
          </w:p>
        </w:tc>
        <w:tc>
          <w:tcPr>
            <w:tcW w:w="1340" w:type="dxa"/>
            <w:vAlign w:val="bottom"/>
          </w:tcPr>
          <w:p>
            <w:pPr>
              <w:jc w:val="center"/>
              <w:ind w:left="20"/>
              <w:spacing w:after="0"/>
              <w:rPr>
                <w:sz w:val="20"/>
                <w:szCs w:val="20"/>
                <w:color w:val="auto"/>
              </w:rPr>
            </w:pPr>
            <w:r>
              <w:rPr>
                <w:rFonts w:ascii="Arial" w:cs="Arial" w:eastAsia="Arial" w:hAnsi="Arial"/>
                <w:sz w:val="16"/>
                <w:szCs w:val="16"/>
                <w:color w:val="auto"/>
              </w:rPr>
              <w:t>$967,500</w:t>
            </w:r>
          </w:p>
        </w:tc>
        <w:tc>
          <w:tcPr>
            <w:tcW w:w="1360" w:type="dxa"/>
            <w:vAlign w:val="bottom"/>
          </w:tcPr>
          <w:p>
            <w:pPr>
              <w:jc w:val="center"/>
              <w:spacing w:after="0"/>
              <w:rPr>
                <w:sz w:val="20"/>
                <w:szCs w:val="20"/>
                <w:color w:val="auto"/>
              </w:rPr>
            </w:pPr>
            <w:r>
              <w:rPr>
                <w:rFonts w:ascii="Arial" w:cs="Arial" w:eastAsia="Arial" w:hAnsi="Arial"/>
                <w:sz w:val="16"/>
                <w:szCs w:val="16"/>
                <w:color w:val="auto"/>
              </w:rPr>
              <w:t>$27,169</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$4,437,293</w:t>
            </w:r>
          </w:p>
        </w:tc>
        <w:tc>
          <w:tcPr>
            <w:tcW w:w="0" w:type="dxa"/>
            <w:vAlign w:val="bottom"/>
          </w:tcPr>
          <w:p>
            <w:pPr>
              <w:spacing w:after="0"/>
              <w:rPr>
                <w:sz w:val="1"/>
                <w:szCs w:val="1"/>
                <w:color w:val="auto"/>
              </w:rPr>
            </w:pPr>
          </w:p>
        </w:tc>
      </w:tr>
      <w:tr>
        <w:trPr>
          <w:trHeight w:val="364"/>
        </w:trPr>
        <w:tc>
          <w:tcPr>
            <w:tcW w:w="3720" w:type="dxa"/>
            <w:vAlign w:val="bottom"/>
          </w:tcPr>
          <w:p>
            <w:pPr>
              <w:ind w:left="100"/>
              <w:spacing w:after="0"/>
              <w:rPr>
                <w:sz w:val="20"/>
                <w:szCs w:val="20"/>
                <w:color w:val="auto"/>
              </w:rPr>
            </w:pPr>
            <w:r>
              <w:rPr>
                <w:rFonts w:ascii="Arial" w:cs="Arial" w:eastAsia="Arial" w:hAnsi="Arial"/>
                <w:sz w:val="16"/>
                <w:szCs w:val="16"/>
                <w:color w:val="auto"/>
              </w:rPr>
              <w:t>ELLEN F. WHITTEMORE</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720" w:type="dxa"/>
            <w:vAlign w:val="bottom"/>
          </w:tcPr>
          <w:p>
            <w:pPr>
              <w:ind w:left="100"/>
              <w:spacing w:after="0"/>
              <w:rPr>
                <w:sz w:val="20"/>
                <w:szCs w:val="20"/>
                <w:color w:val="auto"/>
              </w:rPr>
            </w:pPr>
            <w:r>
              <w:rPr>
                <w:rFonts w:ascii="Arial" w:cs="Arial" w:eastAsia="Arial" w:hAnsi="Arial"/>
                <w:sz w:val="16"/>
                <w:szCs w:val="16"/>
                <w:color w:val="auto"/>
              </w:rPr>
              <w:t>Former Executive Vice President,</w:t>
            </w:r>
          </w:p>
        </w:tc>
        <w:tc>
          <w:tcPr>
            <w:tcW w:w="540" w:type="dxa"/>
            <w:vAlign w:val="bottom"/>
            <w:gridSpan w:val="2"/>
          </w:tcPr>
          <w:p>
            <w:pPr>
              <w:jc w:val="center"/>
              <w:spacing w:after="0"/>
              <w:rPr>
                <w:sz w:val="20"/>
                <w:szCs w:val="20"/>
                <w:color w:val="auto"/>
              </w:rPr>
            </w:pPr>
            <w:r>
              <w:rPr>
                <w:rFonts w:ascii="Arial" w:cs="Arial" w:eastAsia="Arial" w:hAnsi="Arial"/>
                <w:sz w:val="16"/>
                <w:szCs w:val="16"/>
                <w:color w:val="auto"/>
              </w:rPr>
              <w:t>2023</w:t>
            </w:r>
          </w:p>
        </w:tc>
        <w:tc>
          <w:tcPr>
            <w:tcW w:w="1000" w:type="dxa"/>
            <w:vAlign w:val="bottom"/>
          </w:tcPr>
          <w:p>
            <w:pPr>
              <w:jc w:val="center"/>
              <w:spacing w:after="0"/>
              <w:rPr>
                <w:sz w:val="20"/>
                <w:szCs w:val="20"/>
                <w:color w:val="auto"/>
              </w:rPr>
            </w:pPr>
            <w:r>
              <w:rPr>
                <w:rFonts w:ascii="Arial" w:cs="Arial" w:eastAsia="Arial" w:hAnsi="Arial"/>
                <w:sz w:val="16"/>
                <w:szCs w:val="16"/>
                <w:color w:val="auto"/>
              </w:rPr>
              <w:t>$894,231</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$2,645,761</w:t>
            </w:r>
          </w:p>
        </w:tc>
        <w:tc>
          <w:tcPr>
            <w:tcW w:w="840" w:type="dxa"/>
            <w:vAlign w:val="bottom"/>
          </w:tcPr>
          <w:p>
            <w:pPr>
              <w:jc w:val="center"/>
              <w:spacing w:after="0"/>
              <w:rPr>
                <w:sz w:val="20"/>
                <w:szCs w:val="20"/>
                <w:color w:val="auto"/>
              </w:rPr>
            </w:pPr>
            <w:r>
              <w:rPr>
                <w:rFonts w:ascii="Arial" w:cs="Arial" w:eastAsia="Arial" w:hAnsi="Arial"/>
                <w:sz w:val="16"/>
                <w:szCs w:val="16"/>
                <w:color w:val="auto"/>
              </w:rPr>
              <w:t>-</w:t>
            </w:r>
          </w:p>
        </w:tc>
        <w:tc>
          <w:tcPr>
            <w:tcW w:w="1340" w:type="dxa"/>
            <w:vAlign w:val="bottom"/>
          </w:tcPr>
          <w:p>
            <w:pPr>
              <w:jc w:val="center"/>
              <w:ind w:left="20"/>
              <w:spacing w:after="0"/>
              <w:rPr>
                <w:sz w:val="20"/>
                <w:szCs w:val="20"/>
                <w:color w:val="auto"/>
              </w:rPr>
            </w:pPr>
            <w:r>
              <w:rPr>
                <w:rFonts w:ascii="Arial" w:cs="Arial" w:eastAsia="Arial" w:hAnsi="Arial"/>
                <w:sz w:val="16"/>
                <w:szCs w:val="16"/>
                <w:color w:val="auto"/>
              </w:rPr>
              <w:t>$990,000</w:t>
            </w:r>
          </w:p>
        </w:tc>
        <w:tc>
          <w:tcPr>
            <w:tcW w:w="1360" w:type="dxa"/>
            <w:vAlign w:val="bottom"/>
          </w:tcPr>
          <w:p>
            <w:pPr>
              <w:jc w:val="center"/>
              <w:spacing w:after="0"/>
              <w:rPr>
                <w:sz w:val="20"/>
                <w:szCs w:val="20"/>
                <w:color w:val="auto"/>
              </w:rPr>
            </w:pPr>
            <w:r>
              <w:rPr>
                <w:rFonts w:ascii="Arial" w:cs="Arial" w:eastAsia="Arial" w:hAnsi="Arial"/>
                <w:sz w:val="16"/>
                <w:szCs w:val="16"/>
                <w:color w:val="auto"/>
              </w:rPr>
              <w:t>$18,721</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$4,548,713</w:t>
            </w:r>
          </w:p>
        </w:tc>
        <w:tc>
          <w:tcPr>
            <w:tcW w:w="0" w:type="dxa"/>
            <w:vAlign w:val="bottom"/>
          </w:tcPr>
          <w:p>
            <w:pPr>
              <w:spacing w:after="0"/>
              <w:rPr>
                <w:sz w:val="1"/>
                <w:szCs w:val="1"/>
                <w:color w:val="auto"/>
              </w:rPr>
            </w:pPr>
          </w:p>
        </w:tc>
      </w:tr>
      <w:tr>
        <w:trPr>
          <w:trHeight w:val="211"/>
        </w:trPr>
        <w:tc>
          <w:tcPr>
            <w:tcW w:w="3720" w:type="dxa"/>
            <w:vAlign w:val="bottom"/>
          </w:tcPr>
          <w:p>
            <w:pPr>
              <w:ind w:left="100"/>
              <w:spacing w:after="0"/>
              <w:rPr>
                <w:sz w:val="20"/>
                <w:szCs w:val="20"/>
                <w:color w:val="auto"/>
              </w:rPr>
            </w:pPr>
            <w:r>
              <w:rPr>
                <w:rFonts w:ascii="Arial" w:cs="Arial" w:eastAsia="Arial" w:hAnsi="Arial"/>
                <w:sz w:val="16"/>
                <w:szCs w:val="16"/>
                <w:color w:val="auto"/>
              </w:rPr>
              <w:t>General Counsel and Secretary</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3720" w:type="dxa"/>
            <w:vAlign w:val="bottom"/>
          </w:tcPr>
          <w:p>
            <w:pPr>
              <w:spacing w:after="0"/>
              <w:rPr>
                <w:sz w:val="24"/>
                <w:szCs w:val="24"/>
                <w:color w:val="auto"/>
              </w:rPr>
            </w:pPr>
          </w:p>
        </w:tc>
        <w:tc>
          <w:tcPr>
            <w:tcW w:w="540" w:type="dxa"/>
            <w:vAlign w:val="bottom"/>
            <w:gridSpan w:val="2"/>
          </w:tcPr>
          <w:p>
            <w:pPr>
              <w:jc w:val="center"/>
              <w:spacing w:after="0"/>
              <w:rPr>
                <w:sz w:val="20"/>
                <w:szCs w:val="20"/>
                <w:color w:val="auto"/>
              </w:rPr>
            </w:pPr>
            <w:r>
              <w:rPr>
                <w:rFonts w:ascii="Arial" w:cs="Arial" w:eastAsia="Arial" w:hAnsi="Arial"/>
                <w:sz w:val="16"/>
                <w:szCs w:val="16"/>
                <w:color w:val="auto"/>
              </w:rPr>
              <w:t>2022</w:t>
            </w:r>
          </w:p>
        </w:tc>
        <w:tc>
          <w:tcPr>
            <w:tcW w:w="1000" w:type="dxa"/>
            <w:vAlign w:val="bottom"/>
          </w:tcPr>
          <w:p>
            <w:pPr>
              <w:jc w:val="center"/>
              <w:spacing w:after="0"/>
              <w:rPr>
                <w:sz w:val="20"/>
                <w:szCs w:val="20"/>
                <w:color w:val="auto"/>
              </w:rPr>
            </w:pPr>
            <w:r>
              <w:rPr>
                <w:rFonts w:ascii="Arial" w:cs="Arial" w:eastAsia="Arial" w:hAnsi="Arial"/>
                <w:sz w:val="16"/>
                <w:szCs w:val="16"/>
                <w:color w:val="auto"/>
              </w:rPr>
              <w:t>$896,538</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$2,487,888</w:t>
            </w:r>
          </w:p>
        </w:tc>
        <w:tc>
          <w:tcPr>
            <w:tcW w:w="840" w:type="dxa"/>
            <w:vAlign w:val="bottom"/>
          </w:tcPr>
          <w:p>
            <w:pPr>
              <w:jc w:val="center"/>
              <w:spacing w:after="0"/>
              <w:rPr>
                <w:sz w:val="20"/>
                <w:szCs w:val="20"/>
                <w:color w:val="auto"/>
              </w:rPr>
            </w:pPr>
            <w:r>
              <w:rPr>
                <w:rFonts w:ascii="Arial" w:cs="Arial" w:eastAsia="Arial" w:hAnsi="Arial"/>
                <w:sz w:val="16"/>
                <w:szCs w:val="16"/>
                <w:color w:val="auto"/>
                <w:w w:val="98"/>
              </w:rPr>
              <w:t>$115,723</w:t>
            </w:r>
          </w:p>
        </w:tc>
        <w:tc>
          <w:tcPr>
            <w:tcW w:w="1340" w:type="dxa"/>
            <w:vAlign w:val="bottom"/>
          </w:tcPr>
          <w:p>
            <w:pPr>
              <w:jc w:val="center"/>
              <w:ind w:left="20"/>
              <w:spacing w:after="0"/>
              <w:rPr>
                <w:sz w:val="20"/>
                <w:szCs w:val="20"/>
                <w:color w:val="auto"/>
              </w:rPr>
            </w:pPr>
            <w:r>
              <w:rPr>
                <w:rFonts w:ascii="Arial" w:cs="Arial" w:eastAsia="Arial" w:hAnsi="Arial"/>
                <w:sz w:val="16"/>
                <w:szCs w:val="16"/>
                <w:color w:val="auto"/>
              </w:rPr>
              <w:t>$912,857</w:t>
            </w:r>
          </w:p>
        </w:tc>
        <w:tc>
          <w:tcPr>
            <w:tcW w:w="1360" w:type="dxa"/>
            <w:vAlign w:val="bottom"/>
          </w:tcPr>
          <w:p>
            <w:pPr>
              <w:jc w:val="center"/>
              <w:spacing w:after="0"/>
              <w:rPr>
                <w:sz w:val="20"/>
                <w:szCs w:val="20"/>
                <w:color w:val="auto"/>
              </w:rPr>
            </w:pPr>
            <w:r>
              <w:rPr>
                <w:rFonts w:ascii="Arial" w:cs="Arial" w:eastAsia="Arial" w:hAnsi="Arial"/>
                <w:sz w:val="16"/>
                <w:szCs w:val="16"/>
                <w:color w:val="auto"/>
              </w:rPr>
              <w:t>$25,586</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$4,438,592</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160" w:right="80" w:firstLine="7"/>
        <w:spacing w:after="0" w:line="279" w:lineRule="auto"/>
        <w:tabs>
          <w:tab w:leader="none" w:pos="347"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amounts set forth in this column reflect the base salary earned by each NEO during the fiscal year. For Ms. Krum, this amount includes the base salary earned by her during fiscal year 2024 prior to her promotion to the Company’s Executive Vice President, General Counsel and Secretary, effective as of December 1, 2024.</w:t>
      </w:r>
    </w:p>
    <w:p>
      <w:pPr>
        <w:sectPr>
          <w:pgSz w:w="11900" w:h="16838" w:orient="portrait"/>
          <w:cols w:equalWidth="0" w:num="1">
            <w:col w:w="11080"/>
          </w:cols>
          <w:pgMar w:left="320" w:top="478" w:right="499" w:bottom="1440" w:gutter="0" w:footer="0" w:header="0"/>
        </w:sectPr>
      </w:pPr>
    </w:p>
    <w:p>
      <w:pPr>
        <w:spacing w:after="0" w:line="94" w:lineRule="exact"/>
        <w:rPr>
          <w:sz w:val="20"/>
          <w:szCs w:val="20"/>
          <w:color w:val="auto"/>
        </w:rPr>
      </w:pPr>
    </w:p>
    <w:p>
      <w:pPr>
        <w:ind w:left="10940"/>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080"/>
          </w:cols>
          <w:pgMar w:left="320" w:top="478" w:right="49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0" w:firstLine="7"/>
        <w:spacing w:after="0"/>
        <w:tabs>
          <w:tab w:leader="none" w:pos="347"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amounts set forth in this column reflect the aggregate grant date fair value of stock awards granted to our NEOs in the applicable fiscal year, as computed in accordance with FASB ASC Topic 718. For 2024, these amounts include (i) the 50% portion of the applicable NEO’s performance-based annual incentive award in respect of 2024 which was granted in the form of time-based restricted stock (see “2024 Annual incentive payout“ for further discussion); and (ii) the annual long-term equity awards granted to the applicable NEO in respect of 2024 (see “Long-Term Incentives“ for further discussion). The portion of the NEOs’ annual incentive award in respect of 2024 that was paid in the form of time-based restricted stock was earned by our NEOs in fiscal year 2024 and paid out in January 2025. With respect to the annual long-term equity awards granted to our NEOs in 2024, for any stock awards that vest based on specified performance criteria, the amounts reflected in this column represent target performance of 100%, which is the Company’s determination of the probable outcome of the applicable performance conditions (which is the highest level of achievement of such awards), as computed in accordance with FASB ASC Topic 718. However, for the PSU awards that were granted to Mr. Billings and Ms. Cameron-Doe in 2024 and which vest based on achievement of certain Absolute TSR performance criteria, the grant date fair value of such awards was computed in accordance with FASB ASC Topic 718 using a Monte Carlo simulation. Assuming the highest level of performance is achieved, the grant date fair values of such Absolute TSR awards would be equal to $3.8 million and $0.8 million for Mr. Billings and Ms. Cameron-Doe, respectively. See our Annual Report on Form 10-K for the year ended December 31, 2024, Item 8, Note 13 -“Stock-Based Compensation” to our Consolidated Financial Statements for assumptions used in computing fair value.</w:t>
      </w:r>
    </w:p>
    <w:p>
      <w:pPr>
        <w:spacing w:after="0" w:line="198" w:lineRule="exact"/>
        <w:rPr>
          <w:rFonts w:ascii="Arial" w:cs="Arial" w:eastAsia="Arial" w:hAnsi="Arial"/>
          <w:sz w:val="12"/>
          <w:szCs w:val="12"/>
          <w:color w:val="auto"/>
        </w:rPr>
      </w:pPr>
    </w:p>
    <w:p>
      <w:pPr>
        <w:ind w:left="160" w:right="40" w:firstLine="7"/>
        <w:spacing w:after="0" w:line="244" w:lineRule="auto"/>
        <w:tabs>
          <w:tab w:leader="none" w:pos="347" w:val="left"/>
        </w:tabs>
        <w:numPr>
          <w:ilvl w:val="0"/>
          <w:numId w:val="38"/>
        </w:numPr>
        <w:rPr>
          <w:rFonts w:ascii="Arial" w:cs="Arial" w:eastAsia="Arial" w:hAnsi="Arial"/>
          <w:sz w:val="12"/>
          <w:szCs w:val="12"/>
          <w:color w:val="auto"/>
        </w:rPr>
      </w:pPr>
      <w:r>
        <w:rPr>
          <w:rFonts w:ascii="Arial" w:cs="Arial" w:eastAsia="Arial" w:hAnsi="Arial"/>
          <w:sz w:val="12"/>
          <w:szCs w:val="12"/>
          <w:color w:val="auto"/>
        </w:rPr>
        <w:t>Amounts in this column represent performance-based annual incentive awards earned by our NEOs in the applicable fiscal year and paid in the subsequent fiscal year. As described in the section above titled “2024 Annual incentive payout“, in January 2025, the Compensation Committee exercised its discretion to pay the applicable NEO the actual earned annual incentive award 50% in shares of restricted stock and 50% in cash. For the avoidance of doubt, the amounts in this column represent the 50% cash portion of the applicable NEO’s actual earned annual incentive award. In addition, the amount in this column for Ms. Krum in respect of fiscal year 2024 includes the cash bonus she received during fiscal year 2024 in respect of her prior service as the Company’s General Counsel for Encore Boston Harbor (which totaled $176,008).</w:t>
      </w:r>
    </w:p>
    <w:p>
      <w:pPr>
        <w:spacing w:after="0" w:line="74" w:lineRule="exact"/>
        <w:rPr>
          <w:rFonts w:ascii="Arial" w:cs="Arial" w:eastAsia="Arial" w:hAnsi="Arial"/>
          <w:sz w:val="12"/>
          <w:szCs w:val="12"/>
          <w:color w:val="auto"/>
        </w:rPr>
      </w:pPr>
    </w:p>
    <w:p>
      <w:pPr>
        <w:ind w:left="360" w:hanging="193"/>
        <w:spacing w:after="0"/>
        <w:tabs>
          <w:tab w:leader="none" w:pos="3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following amounts for 2024 are included in “All Other Compensation” for Mr. Billings:</w:t>
      </w:r>
    </w:p>
    <w:p>
      <w:pPr>
        <w:spacing w:after="0" w:line="3" w:lineRule="exact"/>
        <w:rPr>
          <w:sz w:val="20"/>
          <w:szCs w:val="20"/>
          <w:color w:val="auto"/>
        </w:rPr>
      </w:pPr>
    </w:p>
    <w:p>
      <w:pPr>
        <w:ind w:left="300" w:hanging="133"/>
        <w:spacing w:after="0"/>
        <w:tabs>
          <w:tab w:leader="none" w:pos="300" w:val="left"/>
        </w:tabs>
        <w:numPr>
          <w:ilvl w:val="0"/>
          <w:numId w:val="39"/>
        </w:numPr>
        <w:rPr>
          <w:rFonts w:ascii="Arial" w:cs="Arial" w:eastAsia="Arial" w:hAnsi="Arial"/>
          <w:sz w:val="12"/>
          <w:szCs w:val="12"/>
          <w:color w:val="auto"/>
        </w:rPr>
      </w:pPr>
      <w:r>
        <w:rPr>
          <w:rFonts w:ascii="Arial" w:cs="Arial" w:eastAsia="Arial" w:hAnsi="Arial"/>
          <w:sz w:val="12"/>
          <w:szCs w:val="12"/>
          <w:color w:val="auto"/>
        </w:rPr>
        <w:t> (i) insurance premiums and benefits including executive life and medical insurance of $13,520;</w:t>
      </w:r>
    </w:p>
    <w:p>
      <w:pPr>
        <w:ind w:left="300" w:hanging="133"/>
        <w:spacing w:after="0" w:line="232" w:lineRule="auto"/>
        <w:tabs>
          <w:tab w:leader="none" w:pos="300" w:val="left"/>
        </w:tabs>
        <w:numPr>
          <w:ilvl w:val="0"/>
          <w:numId w:val="39"/>
        </w:numPr>
        <w:rPr>
          <w:rFonts w:ascii="Arial" w:cs="Arial" w:eastAsia="Arial" w:hAnsi="Arial"/>
          <w:sz w:val="12"/>
          <w:szCs w:val="12"/>
          <w:color w:val="auto"/>
        </w:rPr>
      </w:pPr>
      <w:r>
        <w:rPr>
          <w:rFonts w:ascii="Arial" w:cs="Arial" w:eastAsia="Arial" w:hAnsi="Arial"/>
          <w:sz w:val="12"/>
          <w:szCs w:val="12"/>
          <w:color w:val="auto"/>
        </w:rPr>
        <w:t> (ii) reimbursement of taxes related to work performed in Massachusetts of $6,351; and</w:t>
      </w:r>
    </w:p>
    <w:p>
      <w:pPr>
        <w:ind w:left="160" w:right="3380" w:firstLine="7"/>
        <w:spacing w:after="0" w:line="253" w:lineRule="auto"/>
        <w:tabs>
          <w:tab w:leader="none" w:pos="285" w:val="left"/>
        </w:tabs>
        <w:numPr>
          <w:ilvl w:val="0"/>
          <w:numId w:val="39"/>
        </w:numPr>
        <w:rPr>
          <w:rFonts w:ascii="Arial" w:cs="Arial" w:eastAsia="Arial" w:hAnsi="Arial"/>
          <w:sz w:val="11"/>
          <w:szCs w:val="11"/>
          <w:color w:val="auto"/>
        </w:rPr>
      </w:pPr>
      <w:r>
        <w:rPr>
          <w:rFonts w:ascii="Arial" w:cs="Arial" w:eastAsia="Arial" w:hAnsi="Arial"/>
          <w:sz w:val="11"/>
          <w:szCs w:val="11"/>
          <w:color w:val="auto"/>
        </w:rPr>
        <w:t> (iii) matching contributions made under the Company’s 401(k) Plan, which is generally available to our eligible employees, of $10,350. The following amounts for 2024 are included in “All Other Compensation” for Ms. Cameron-Doe:</w:t>
      </w:r>
    </w:p>
    <w:p>
      <w:pPr>
        <w:ind w:left="300" w:hanging="133"/>
        <w:spacing w:after="0" w:line="232" w:lineRule="auto"/>
        <w:tabs>
          <w:tab w:leader="none" w:pos="300" w:val="left"/>
        </w:tabs>
        <w:numPr>
          <w:ilvl w:val="0"/>
          <w:numId w:val="39"/>
        </w:numPr>
        <w:rPr>
          <w:rFonts w:ascii="Arial" w:cs="Arial" w:eastAsia="Arial" w:hAnsi="Arial"/>
          <w:sz w:val="12"/>
          <w:szCs w:val="12"/>
          <w:color w:val="auto"/>
        </w:rPr>
      </w:pPr>
      <w:r>
        <w:rPr>
          <w:rFonts w:ascii="Arial" w:cs="Arial" w:eastAsia="Arial" w:hAnsi="Arial"/>
          <w:sz w:val="12"/>
          <w:szCs w:val="12"/>
          <w:color w:val="auto"/>
        </w:rPr>
        <w:t> (i) insurance premiums and benefits including executive life and medical insurance of $8,644;</w:t>
      </w:r>
    </w:p>
    <w:p>
      <w:pPr>
        <w:ind w:left="300" w:hanging="133"/>
        <w:spacing w:after="0" w:line="232" w:lineRule="auto"/>
        <w:tabs>
          <w:tab w:leader="none" w:pos="300" w:val="left"/>
        </w:tabs>
        <w:numPr>
          <w:ilvl w:val="0"/>
          <w:numId w:val="39"/>
        </w:numPr>
        <w:rPr>
          <w:rFonts w:ascii="Arial" w:cs="Arial" w:eastAsia="Arial" w:hAnsi="Arial"/>
          <w:sz w:val="12"/>
          <w:szCs w:val="12"/>
          <w:color w:val="auto"/>
        </w:rPr>
      </w:pPr>
      <w:r>
        <w:rPr>
          <w:rFonts w:ascii="Arial" w:cs="Arial" w:eastAsia="Arial" w:hAnsi="Arial"/>
          <w:sz w:val="12"/>
          <w:szCs w:val="12"/>
          <w:color w:val="auto"/>
        </w:rPr>
        <w:t> (ii) reimbursement of taxes related to work performed in Massachusetts of $1,942; and</w:t>
      </w:r>
    </w:p>
    <w:p>
      <w:pPr>
        <w:ind w:left="160" w:right="3380" w:firstLine="7"/>
        <w:spacing w:after="0" w:line="253" w:lineRule="auto"/>
        <w:tabs>
          <w:tab w:leader="none" w:pos="285" w:val="left"/>
        </w:tabs>
        <w:numPr>
          <w:ilvl w:val="0"/>
          <w:numId w:val="39"/>
        </w:numPr>
        <w:rPr>
          <w:rFonts w:ascii="Arial" w:cs="Arial" w:eastAsia="Arial" w:hAnsi="Arial"/>
          <w:sz w:val="11"/>
          <w:szCs w:val="11"/>
          <w:color w:val="auto"/>
        </w:rPr>
      </w:pPr>
      <w:r>
        <w:rPr>
          <w:rFonts w:ascii="Arial" w:cs="Arial" w:eastAsia="Arial" w:hAnsi="Arial"/>
          <w:sz w:val="11"/>
          <w:szCs w:val="11"/>
          <w:color w:val="auto"/>
        </w:rPr>
        <w:t> (iii) matching contributions made under the Company’s 401(k) Plan, which is generally available to our eligible employees, of $10,350. The following amounts for 2024 are included in “All Other Compensation” for Ms. Krum:</w:t>
      </w:r>
    </w:p>
    <w:p>
      <w:pPr>
        <w:ind w:left="300" w:hanging="133"/>
        <w:spacing w:after="0" w:line="232" w:lineRule="auto"/>
        <w:tabs>
          <w:tab w:leader="none" w:pos="300" w:val="left"/>
        </w:tabs>
        <w:numPr>
          <w:ilvl w:val="0"/>
          <w:numId w:val="39"/>
        </w:numPr>
        <w:rPr>
          <w:rFonts w:ascii="Arial" w:cs="Arial" w:eastAsia="Arial" w:hAnsi="Arial"/>
          <w:sz w:val="12"/>
          <w:szCs w:val="12"/>
          <w:color w:val="auto"/>
        </w:rPr>
      </w:pPr>
      <w:r>
        <w:rPr>
          <w:rFonts w:ascii="Arial" w:cs="Arial" w:eastAsia="Arial" w:hAnsi="Arial"/>
          <w:sz w:val="12"/>
          <w:szCs w:val="12"/>
          <w:color w:val="auto"/>
        </w:rPr>
        <w:t> (i) insurance premiums and benefits including executive life and medical insurance of $1,222;</w:t>
      </w:r>
    </w:p>
    <w:p>
      <w:pPr>
        <w:ind w:left="300" w:hanging="133"/>
        <w:spacing w:after="0" w:line="232" w:lineRule="auto"/>
        <w:tabs>
          <w:tab w:leader="none" w:pos="300" w:val="left"/>
        </w:tabs>
        <w:numPr>
          <w:ilvl w:val="0"/>
          <w:numId w:val="39"/>
        </w:numPr>
        <w:rPr>
          <w:rFonts w:ascii="Arial" w:cs="Arial" w:eastAsia="Arial" w:hAnsi="Arial"/>
          <w:sz w:val="12"/>
          <w:szCs w:val="12"/>
          <w:color w:val="auto"/>
        </w:rPr>
      </w:pPr>
      <w:r>
        <w:rPr>
          <w:rFonts w:ascii="Arial" w:cs="Arial" w:eastAsia="Arial" w:hAnsi="Arial"/>
          <w:sz w:val="12"/>
          <w:szCs w:val="12"/>
          <w:color w:val="auto"/>
        </w:rPr>
        <w:t> (ii) reimbursement related to Ms. Krum’s relocation from Massachusetts to Las Vegas of $141,543; and</w:t>
      </w:r>
    </w:p>
    <w:p>
      <w:pPr>
        <w:ind w:left="160" w:right="3380" w:firstLine="7"/>
        <w:spacing w:after="0" w:line="253" w:lineRule="auto"/>
        <w:tabs>
          <w:tab w:leader="none" w:pos="285" w:val="left"/>
        </w:tabs>
        <w:numPr>
          <w:ilvl w:val="0"/>
          <w:numId w:val="39"/>
        </w:numPr>
        <w:rPr>
          <w:rFonts w:ascii="Arial" w:cs="Arial" w:eastAsia="Arial" w:hAnsi="Arial"/>
          <w:sz w:val="11"/>
          <w:szCs w:val="11"/>
          <w:color w:val="auto"/>
        </w:rPr>
      </w:pPr>
      <w:r>
        <w:rPr>
          <w:rFonts w:ascii="Arial" w:cs="Arial" w:eastAsia="Arial" w:hAnsi="Arial"/>
          <w:sz w:val="11"/>
          <w:szCs w:val="11"/>
          <w:color w:val="auto"/>
        </w:rPr>
        <w:t> (iii) matching contributions made under the Company’s 401(k) Plan, which is generally available to our eligible employees, of $10,350. The following amounts for 2024 are included in “All Other Compensation” for Ms. Whittemore:</w:t>
      </w:r>
    </w:p>
    <w:p>
      <w:pPr>
        <w:ind w:left="300" w:hanging="133"/>
        <w:spacing w:after="0" w:line="232" w:lineRule="auto"/>
        <w:tabs>
          <w:tab w:leader="none" w:pos="300" w:val="left"/>
        </w:tabs>
        <w:numPr>
          <w:ilvl w:val="0"/>
          <w:numId w:val="39"/>
        </w:numPr>
        <w:rPr>
          <w:rFonts w:ascii="Arial" w:cs="Arial" w:eastAsia="Arial" w:hAnsi="Arial"/>
          <w:sz w:val="12"/>
          <w:szCs w:val="12"/>
          <w:color w:val="auto"/>
        </w:rPr>
      </w:pPr>
      <w:r>
        <w:rPr>
          <w:rFonts w:ascii="Arial" w:cs="Arial" w:eastAsia="Arial" w:hAnsi="Arial"/>
          <w:sz w:val="12"/>
          <w:szCs w:val="12"/>
          <w:color w:val="auto"/>
        </w:rPr>
        <w:t> (i) insurance premiums and benefits including executive life and medical insurance of $16,154;</w:t>
      </w:r>
    </w:p>
    <w:p>
      <w:pPr>
        <w:ind w:left="300" w:hanging="133"/>
        <w:spacing w:after="0" w:line="232" w:lineRule="auto"/>
        <w:tabs>
          <w:tab w:leader="none" w:pos="300" w:val="left"/>
        </w:tabs>
        <w:numPr>
          <w:ilvl w:val="0"/>
          <w:numId w:val="39"/>
        </w:numPr>
        <w:rPr>
          <w:rFonts w:ascii="Arial" w:cs="Arial" w:eastAsia="Arial" w:hAnsi="Arial"/>
          <w:sz w:val="12"/>
          <w:szCs w:val="12"/>
          <w:color w:val="auto"/>
        </w:rPr>
      </w:pPr>
      <w:r>
        <w:rPr>
          <w:rFonts w:ascii="Arial" w:cs="Arial" w:eastAsia="Arial" w:hAnsi="Arial"/>
          <w:sz w:val="12"/>
          <w:szCs w:val="12"/>
          <w:color w:val="auto"/>
        </w:rPr>
        <w:t> (ii) reimbursement of taxes related to work performed in Massachusetts of $665; and</w:t>
      </w:r>
    </w:p>
    <w:p>
      <w:pPr>
        <w:ind w:left="300" w:hanging="133"/>
        <w:spacing w:after="0"/>
        <w:tabs>
          <w:tab w:leader="none" w:pos="300" w:val="left"/>
        </w:tabs>
        <w:numPr>
          <w:ilvl w:val="0"/>
          <w:numId w:val="39"/>
        </w:numPr>
        <w:rPr>
          <w:rFonts w:ascii="Arial" w:cs="Arial" w:eastAsia="Arial" w:hAnsi="Arial"/>
          <w:sz w:val="12"/>
          <w:szCs w:val="12"/>
          <w:color w:val="auto"/>
        </w:rPr>
      </w:pPr>
      <w:r>
        <w:rPr>
          <w:rFonts w:ascii="Arial" w:cs="Arial" w:eastAsia="Arial" w:hAnsi="Arial"/>
          <w:sz w:val="12"/>
          <w:szCs w:val="12"/>
          <w:color w:val="auto"/>
        </w:rPr>
        <w:t> (iii) matching contributions made under the Company’s 401(k) Plan, which is generally available to our eligible employees, of $10,350.</w:t>
      </w:r>
    </w:p>
    <w:p>
      <w:pPr>
        <w:spacing w:after="0" w:line="91" w:lineRule="exact"/>
        <w:rPr>
          <w:sz w:val="20"/>
          <w:szCs w:val="20"/>
          <w:color w:val="auto"/>
        </w:rPr>
      </w:pPr>
    </w:p>
    <w:p>
      <w:pPr>
        <w:ind w:left="160" w:right="40" w:firstLine="7"/>
        <w:spacing w:after="0" w:line="279" w:lineRule="auto"/>
        <w:tabs>
          <w:tab w:leader="none" w:pos="347" w:val="left"/>
        </w:tabs>
        <w:numPr>
          <w:ilvl w:val="0"/>
          <w:numId w:val="40"/>
        </w:numPr>
        <w:rPr>
          <w:rFonts w:ascii="Arial" w:cs="Arial" w:eastAsia="Arial" w:hAnsi="Arial"/>
          <w:sz w:val="12"/>
          <w:szCs w:val="12"/>
          <w:color w:val="auto"/>
        </w:rPr>
      </w:pPr>
      <w:r>
        <w:rPr>
          <w:rFonts w:ascii="Arial" w:cs="Arial" w:eastAsia="Arial" w:hAnsi="Arial"/>
          <w:sz w:val="12"/>
          <w:szCs w:val="12"/>
          <w:color w:val="auto"/>
        </w:rPr>
        <w:t>Ms. Krum is an NEO for the first time in fiscal year 2024. Effective as of December 1, 2024, the Board appointed Ms. Krum as the Executive Vice President, General Counsel and Secretary of the Company. Ms. Krum was previously serving as the Company’s Senior Vice President and General Counsel at Encore Boston Harbor.</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2"/>
          <w:szCs w:val="12"/>
          <w:color w:val="351B3D"/>
        </w:rPr>
        <w:t>52</w:t>
      </w:r>
    </w:p>
    <w:p>
      <w:pPr>
        <w:sectPr>
          <w:pgSz w:w="11900" w:h="16838" w:orient="portrait"/>
          <w:cols w:equalWidth="0" w:num="1">
            <w:col w:w="11080"/>
          </w:cols>
          <w:pgMar w:left="320" w:top="478"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45"/>
          <w:szCs w:val="45"/>
          <w:color w:val="140F21"/>
        </w:rPr>
        <w:t>Discussion of 2024 Summary Compensation Table</w:t>
      </w:r>
    </w:p>
    <w:p>
      <w:pPr>
        <w:spacing w:after="0" w:line="384" w:lineRule="exact"/>
        <w:rPr>
          <w:sz w:val="20"/>
          <w:szCs w:val="20"/>
          <w:color w:val="auto"/>
        </w:rPr>
      </w:pPr>
    </w:p>
    <w:p>
      <w:pPr>
        <w:ind w:left="160" w:right="80"/>
        <w:spacing w:after="0" w:line="251" w:lineRule="auto"/>
        <w:rPr>
          <w:sz w:val="20"/>
          <w:szCs w:val="20"/>
          <w:color w:val="auto"/>
        </w:rPr>
      </w:pPr>
      <w:r>
        <w:rPr>
          <w:rFonts w:ascii="Arial" w:cs="Arial" w:eastAsia="Arial" w:hAnsi="Arial"/>
          <w:sz w:val="16"/>
          <w:szCs w:val="16"/>
          <w:color w:val="auto"/>
        </w:rPr>
        <w:t>We are party to employment contracts with each of our NEOs, which generally provide for, among other things, an initial base salary, eligibility to receive an annual incentive award, eligibility to receive an annual equity award, participation in Company benefit plans, vacation and expense reimbursement programs. In addition, each of the NEOs’ employment contracts provide for specified severance payments and benefits upon certain terminations of employment, including termination following a change in control, as discussed in the section below titled “Potential payments upon termination, retirement or change in control.” In connection with Ms. Krum’s promotion to the Company’s Executive Vice President, General Counsel and Secretary, the Company entered into an employment contract with Ms. Krum on September 15, 2024, effective as of December 1, 2024.</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key terms of the NEOs’ employment contracts, as in effect on December 31, 2024 were as follows:</w:t>
      </w:r>
    </w:p>
    <w:p>
      <w:pPr>
        <w:spacing w:after="0" w:line="258" w:lineRule="exact"/>
        <w:rPr>
          <w:sz w:val="20"/>
          <w:szCs w:val="20"/>
          <w:color w:val="auto"/>
        </w:rPr>
      </w:pPr>
    </w:p>
    <w:tbl>
      <w:tblPr>
        <w:tblLayout w:type="fixed"/>
        <w:tblInd w:w="160" w:type="dxa"/>
        <w:tblCellMar>
          <w:top w:w="0" w:type="dxa"/>
          <w:left w:w="0" w:type="dxa"/>
          <w:bottom w:w="0" w:type="dxa"/>
          <w:right w:w="0" w:type="dxa"/>
        </w:tblCellMar>
      </w:tblPr>
      <w:tr>
        <w:trPr>
          <w:trHeight w:val="134"/>
        </w:trPr>
        <w:tc>
          <w:tcPr>
            <w:tcW w:w="4240" w:type="dxa"/>
            <w:vAlign w:val="bottom"/>
            <w:shd w:val="clear" w:color="auto" w:fill="351B3D"/>
          </w:tcPr>
          <w:p>
            <w:pPr>
              <w:spacing w:after="0"/>
              <w:rPr>
                <w:sz w:val="11"/>
                <w:szCs w:val="11"/>
                <w:color w:val="auto"/>
              </w:rPr>
            </w:pPr>
          </w:p>
        </w:tc>
        <w:tc>
          <w:tcPr>
            <w:tcW w:w="1940" w:type="dxa"/>
            <w:vAlign w:val="bottom"/>
            <w:shd w:val="clear" w:color="auto" w:fill="351B3D"/>
          </w:tcPr>
          <w:p>
            <w:pPr>
              <w:spacing w:after="0"/>
              <w:rPr>
                <w:sz w:val="11"/>
                <w:szCs w:val="11"/>
                <w:color w:val="auto"/>
              </w:rPr>
            </w:pPr>
          </w:p>
        </w:tc>
        <w:tc>
          <w:tcPr>
            <w:tcW w:w="160" w:type="dxa"/>
            <w:vAlign w:val="bottom"/>
            <w:shd w:val="clear" w:color="auto" w:fill="351B3D"/>
          </w:tcPr>
          <w:p>
            <w:pPr>
              <w:spacing w:after="0"/>
              <w:rPr>
                <w:sz w:val="11"/>
                <w:szCs w:val="11"/>
                <w:color w:val="auto"/>
              </w:rPr>
            </w:pPr>
          </w:p>
        </w:tc>
        <w:tc>
          <w:tcPr>
            <w:tcW w:w="380" w:type="dxa"/>
            <w:vAlign w:val="bottom"/>
            <w:shd w:val="clear" w:color="auto" w:fill="351B3D"/>
          </w:tcPr>
          <w:p>
            <w:pPr>
              <w:spacing w:after="0"/>
              <w:rPr>
                <w:sz w:val="11"/>
                <w:szCs w:val="11"/>
                <w:color w:val="auto"/>
              </w:rPr>
            </w:pPr>
          </w:p>
        </w:tc>
        <w:tc>
          <w:tcPr>
            <w:tcW w:w="1040" w:type="dxa"/>
            <w:vAlign w:val="bottom"/>
            <w:shd w:val="clear" w:color="auto" w:fill="351B3D"/>
          </w:tcPr>
          <w:p>
            <w:pPr>
              <w:spacing w:after="0"/>
              <w:rPr>
                <w:sz w:val="11"/>
                <w:szCs w:val="11"/>
                <w:color w:val="auto"/>
              </w:rPr>
            </w:pPr>
          </w:p>
        </w:tc>
        <w:tc>
          <w:tcPr>
            <w:tcW w:w="1480" w:type="dxa"/>
            <w:vAlign w:val="bottom"/>
            <w:shd w:val="clear" w:color="auto" w:fill="351B3D"/>
          </w:tcPr>
          <w:p>
            <w:pPr>
              <w:spacing w:after="0"/>
              <w:rPr>
                <w:sz w:val="11"/>
                <w:szCs w:val="11"/>
                <w:color w:val="auto"/>
              </w:rPr>
            </w:pPr>
          </w:p>
        </w:tc>
        <w:tc>
          <w:tcPr>
            <w:tcW w:w="1680" w:type="dxa"/>
            <w:vAlign w:val="bottom"/>
            <w:shd w:val="clear" w:color="auto" w:fill="351B3D"/>
          </w:tcPr>
          <w:p>
            <w:pPr>
              <w:spacing w:after="0"/>
              <w:rPr>
                <w:sz w:val="11"/>
                <w:szCs w:val="11"/>
                <w:color w:val="auto"/>
              </w:rPr>
            </w:pPr>
          </w:p>
        </w:tc>
        <w:tc>
          <w:tcPr>
            <w:tcW w:w="40" w:type="dxa"/>
            <w:vAlign w:val="bottom"/>
          </w:tcPr>
          <w:p>
            <w:pPr>
              <w:spacing w:after="0"/>
              <w:rPr>
                <w:sz w:val="11"/>
                <w:szCs w:val="11"/>
                <w:color w:val="auto"/>
              </w:rPr>
            </w:pPr>
          </w:p>
        </w:tc>
      </w:tr>
      <w:tr>
        <w:trPr>
          <w:trHeight w:val="173"/>
        </w:trPr>
        <w:tc>
          <w:tcPr>
            <w:tcW w:w="4240" w:type="dxa"/>
            <w:vAlign w:val="bottom"/>
            <w:shd w:val="clear" w:color="auto" w:fill="351B3D"/>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80" w:type="dxa"/>
            <w:vAlign w:val="bottom"/>
          </w:tcPr>
          <w:p>
            <w:pPr>
              <w:jc w:val="center"/>
              <w:ind w:left="101"/>
              <w:spacing w:after="0" w:line="173" w:lineRule="exact"/>
              <w:rPr>
                <w:sz w:val="20"/>
                <w:szCs w:val="20"/>
                <w:color w:val="auto"/>
              </w:rPr>
            </w:pPr>
            <w:r>
              <w:rPr>
                <w:rFonts w:ascii="Arial" w:cs="Arial" w:eastAsia="Arial" w:hAnsi="Arial"/>
                <w:sz w:val="16"/>
                <w:szCs w:val="16"/>
                <w:color w:val="FFFFFF"/>
              </w:rPr>
              <w:t>ANNUAL</w:t>
            </w:r>
          </w:p>
        </w:tc>
        <w:tc>
          <w:tcPr>
            <w:tcW w:w="40" w:type="dxa"/>
            <w:vAlign w:val="bottom"/>
          </w:tcPr>
          <w:p>
            <w:pPr>
              <w:spacing w:after="0"/>
              <w:rPr>
                <w:sz w:val="15"/>
                <w:szCs w:val="15"/>
                <w:color w:val="auto"/>
              </w:rPr>
            </w:pPr>
          </w:p>
        </w:tc>
      </w:tr>
      <w:tr>
        <w:trPr>
          <w:trHeight w:val="187"/>
        </w:trPr>
        <w:tc>
          <w:tcPr>
            <w:tcW w:w="4240" w:type="dxa"/>
            <w:vAlign w:val="bottom"/>
            <w:shd w:val="clear" w:color="auto" w:fill="351B3D"/>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80" w:type="dxa"/>
            <w:vAlign w:val="bottom"/>
          </w:tcPr>
          <w:p>
            <w:pPr>
              <w:jc w:val="center"/>
              <w:ind w:left="40"/>
              <w:spacing w:after="0"/>
              <w:rPr>
                <w:sz w:val="20"/>
                <w:szCs w:val="20"/>
                <w:color w:val="auto"/>
              </w:rPr>
            </w:pPr>
            <w:r>
              <w:rPr>
                <w:rFonts w:ascii="Arial" w:cs="Arial" w:eastAsia="Arial" w:hAnsi="Arial"/>
                <w:sz w:val="16"/>
                <w:szCs w:val="16"/>
                <w:color w:val="FFFFFF"/>
                <w:w w:val="98"/>
              </w:rPr>
              <w:t>TARGET</w:t>
            </w:r>
          </w:p>
        </w:tc>
        <w:tc>
          <w:tcPr>
            <w:tcW w:w="1680" w:type="dxa"/>
            <w:vAlign w:val="bottom"/>
          </w:tcPr>
          <w:p>
            <w:pPr>
              <w:jc w:val="center"/>
              <w:ind w:left="121"/>
              <w:spacing w:after="0"/>
              <w:rPr>
                <w:sz w:val="20"/>
                <w:szCs w:val="20"/>
                <w:color w:val="auto"/>
              </w:rPr>
            </w:pPr>
            <w:r>
              <w:rPr>
                <w:rFonts w:ascii="Arial" w:cs="Arial" w:eastAsia="Arial" w:hAnsi="Arial"/>
                <w:sz w:val="16"/>
                <w:szCs w:val="16"/>
                <w:color w:val="FFFFFF"/>
              </w:rPr>
              <w:t>EQUITY</w:t>
            </w:r>
          </w:p>
        </w:tc>
        <w:tc>
          <w:tcPr>
            <w:tcW w:w="40" w:type="dxa"/>
            <w:vAlign w:val="bottom"/>
          </w:tcPr>
          <w:p>
            <w:pPr>
              <w:spacing w:after="0"/>
              <w:rPr>
                <w:sz w:val="16"/>
                <w:szCs w:val="16"/>
                <w:color w:val="auto"/>
              </w:rPr>
            </w:pPr>
          </w:p>
        </w:tc>
      </w:tr>
      <w:tr>
        <w:trPr>
          <w:trHeight w:val="187"/>
        </w:trPr>
        <w:tc>
          <w:tcPr>
            <w:tcW w:w="4240" w:type="dxa"/>
            <w:vAlign w:val="bottom"/>
            <w:shd w:val="clear" w:color="auto" w:fill="351B3D"/>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80" w:type="dxa"/>
            <w:vAlign w:val="bottom"/>
          </w:tcPr>
          <w:p>
            <w:pPr>
              <w:jc w:val="center"/>
              <w:ind w:left="60"/>
              <w:spacing w:after="0"/>
              <w:rPr>
                <w:sz w:val="20"/>
                <w:szCs w:val="20"/>
                <w:color w:val="auto"/>
              </w:rPr>
            </w:pPr>
            <w:r>
              <w:rPr>
                <w:rFonts w:ascii="Arial" w:cs="Arial" w:eastAsia="Arial" w:hAnsi="Arial"/>
                <w:sz w:val="16"/>
                <w:szCs w:val="16"/>
                <w:color w:val="FFFFFF"/>
              </w:rPr>
              <w:t>BONUS</w:t>
            </w:r>
          </w:p>
        </w:tc>
        <w:tc>
          <w:tcPr>
            <w:tcW w:w="1680" w:type="dxa"/>
            <w:vAlign w:val="bottom"/>
          </w:tcPr>
          <w:p>
            <w:pPr>
              <w:jc w:val="center"/>
              <w:ind w:left="101"/>
              <w:spacing w:after="0"/>
              <w:rPr>
                <w:sz w:val="20"/>
                <w:szCs w:val="20"/>
                <w:color w:val="auto"/>
              </w:rPr>
            </w:pPr>
            <w:r>
              <w:rPr>
                <w:rFonts w:ascii="Arial" w:cs="Arial" w:eastAsia="Arial" w:hAnsi="Arial"/>
                <w:sz w:val="16"/>
                <w:szCs w:val="16"/>
                <w:color w:val="FFFFFF"/>
                <w:w w:val="97"/>
              </w:rPr>
              <w:t>AWARD</w:t>
            </w:r>
          </w:p>
        </w:tc>
        <w:tc>
          <w:tcPr>
            <w:tcW w:w="40" w:type="dxa"/>
            <w:vAlign w:val="bottom"/>
          </w:tcPr>
          <w:p>
            <w:pPr>
              <w:spacing w:after="0"/>
              <w:rPr>
                <w:sz w:val="16"/>
                <w:szCs w:val="16"/>
                <w:color w:val="auto"/>
              </w:rPr>
            </w:pPr>
          </w:p>
        </w:tc>
      </w:tr>
      <w:tr>
        <w:trPr>
          <w:trHeight w:val="187"/>
        </w:trPr>
        <w:tc>
          <w:tcPr>
            <w:tcW w:w="4240" w:type="dxa"/>
            <w:vAlign w:val="bottom"/>
            <w:shd w:val="clear" w:color="auto" w:fill="351B3D"/>
          </w:tcPr>
          <w:p>
            <w:pPr>
              <w:spacing w:after="0"/>
              <w:rPr>
                <w:sz w:val="16"/>
                <w:szCs w:val="16"/>
                <w:color w:val="auto"/>
              </w:rPr>
            </w:pPr>
          </w:p>
        </w:tc>
        <w:tc>
          <w:tcPr>
            <w:tcW w:w="1940" w:type="dxa"/>
            <w:vAlign w:val="bottom"/>
          </w:tcPr>
          <w:p>
            <w:pPr>
              <w:jc w:val="center"/>
              <w:ind w:left="100"/>
              <w:spacing w:after="0"/>
              <w:rPr>
                <w:sz w:val="20"/>
                <w:szCs w:val="20"/>
                <w:color w:val="auto"/>
              </w:rPr>
            </w:pPr>
            <w:r>
              <w:rPr>
                <w:rFonts w:ascii="Arial" w:cs="Arial" w:eastAsia="Arial" w:hAnsi="Arial"/>
                <w:sz w:val="16"/>
                <w:szCs w:val="16"/>
                <w:color w:val="FFFFFF"/>
                <w:w w:val="98"/>
              </w:rPr>
              <w:t>CONTRACT</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FFFFFF"/>
                <w:w w:val="88"/>
              </w:rPr>
              <w:t>    OPPORTUNITY </w:t>
            </w:r>
          </w:p>
        </w:tc>
        <w:tc>
          <w:tcPr>
            <w:tcW w:w="1720" w:type="dxa"/>
            <w:vAlign w:val="bottom"/>
            <w:gridSpan w:val="2"/>
          </w:tcPr>
          <w:p>
            <w:pPr>
              <w:jc w:val="right"/>
              <w:spacing w:after="0"/>
              <w:rPr>
                <w:sz w:val="20"/>
                <w:szCs w:val="20"/>
                <w:color w:val="auto"/>
              </w:rPr>
            </w:pPr>
            <w:r>
              <w:rPr>
                <w:rFonts w:ascii="Arial" w:cs="Arial" w:eastAsia="Arial" w:hAnsi="Arial"/>
                <w:sz w:val="16"/>
                <w:szCs w:val="16"/>
                <w:color w:val="FFFFFF"/>
              </w:rPr>
              <w:t xml:space="preserve">      OPPORTUNITY    </w:t>
            </w:r>
          </w:p>
        </w:tc>
      </w:tr>
      <w:tr>
        <w:trPr>
          <w:trHeight w:val="187"/>
        </w:trPr>
        <w:tc>
          <w:tcPr>
            <w:tcW w:w="4240" w:type="dxa"/>
            <w:vAlign w:val="bottom"/>
            <w:shd w:val="clear" w:color="auto" w:fill="351B3D"/>
          </w:tcPr>
          <w:p>
            <w:pPr>
              <w:spacing w:after="0"/>
              <w:rPr>
                <w:sz w:val="16"/>
                <w:szCs w:val="16"/>
                <w:color w:val="auto"/>
              </w:rPr>
            </w:pPr>
          </w:p>
        </w:tc>
        <w:tc>
          <w:tcPr>
            <w:tcW w:w="1940" w:type="dxa"/>
            <w:vAlign w:val="bottom"/>
          </w:tcPr>
          <w:p>
            <w:pPr>
              <w:jc w:val="center"/>
              <w:ind w:left="120"/>
              <w:spacing w:after="0"/>
              <w:rPr>
                <w:sz w:val="20"/>
                <w:szCs w:val="20"/>
                <w:color w:val="auto"/>
              </w:rPr>
            </w:pPr>
            <w:r>
              <w:rPr>
                <w:rFonts w:ascii="Arial" w:cs="Arial" w:eastAsia="Arial" w:hAnsi="Arial"/>
                <w:sz w:val="16"/>
                <w:szCs w:val="16"/>
                <w:color w:val="FFFFFF"/>
              </w:rPr>
              <w:t xml:space="preserve">    EXPIRATION    </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color w:val="FFFFFF"/>
              </w:rPr>
              <w:t>BASE</w:t>
            </w:r>
          </w:p>
        </w:tc>
        <w:tc>
          <w:tcPr>
            <w:tcW w:w="1480" w:type="dxa"/>
            <w:vAlign w:val="bottom"/>
          </w:tcPr>
          <w:p>
            <w:pPr>
              <w:jc w:val="center"/>
              <w:ind w:left="60"/>
              <w:spacing w:after="0"/>
              <w:rPr>
                <w:sz w:val="20"/>
                <w:szCs w:val="20"/>
                <w:color w:val="auto"/>
              </w:rPr>
            </w:pPr>
            <w:r>
              <w:rPr>
                <w:rFonts w:ascii="Arial" w:cs="Arial" w:eastAsia="Arial" w:hAnsi="Arial"/>
                <w:sz w:val="16"/>
                <w:szCs w:val="16"/>
                <w:color w:val="FFFFFF"/>
              </w:rPr>
              <w:t>(% OF BASE</w:t>
            </w:r>
          </w:p>
        </w:tc>
        <w:tc>
          <w:tcPr>
            <w:tcW w:w="1720" w:type="dxa"/>
            <w:vAlign w:val="bottom"/>
            <w:gridSpan w:val="2"/>
          </w:tcPr>
          <w:p>
            <w:pPr>
              <w:jc w:val="center"/>
              <w:ind w:left="61"/>
              <w:spacing w:after="0"/>
              <w:rPr>
                <w:sz w:val="20"/>
                <w:szCs w:val="20"/>
                <w:color w:val="auto"/>
              </w:rPr>
            </w:pPr>
            <w:r>
              <w:rPr>
                <w:rFonts w:ascii="Arial" w:cs="Arial" w:eastAsia="Arial" w:hAnsi="Arial"/>
                <w:sz w:val="16"/>
                <w:szCs w:val="16"/>
                <w:color w:val="FFFFFF"/>
              </w:rPr>
              <w:t>(% OF BASE</w:t>
            </w:r>
          </w:p>
        </w:tc>
      </w:tr>
      <w:tr>
        <w:trPr>
          <w:trHeight w:val="262"/>
        </w:trPr>
        <w:tc>
          <w:tcPr>
            <w:tcW w:w="4240" w:type="dxa"/>
            <w:vAlign w:val="bottom"/>
            <w:tcBorders>
              <w:bottom w:val="single" w:sz="8" w:color="351B3D"/>
            </w:tcBorders>
            <w:shd w:val="clear" w:color="auto" w:fill="351B3D"/>
          </w:tcPr>
          <w:p>
            <w:pPr>
              <w:spacing w:after="0"/>
              <w:rPr>
                <w:sz w:val="20"/>
                <w:szCs w:val="20"/>
                <w:color w:val="auto"/>
              </w:rPr>
            </w:pPr>
            <w:r>
              <w:rPr>
                <w:rFonts w:ascii="Arial" w:cs="Arial" w:eastAsia="Arial" w:hAnsi="Arial"/>
                <w:sz w:val="16"/>
                <w:szCs w:val="16"/>
                <w:color w:val="FFFFFF"/>
              </w:rPr>
              <w:t>  NAMED EXECUTIVE   OFFICER</w:t>
            </w:r>
          </w:p>
        </w:tc>
        <w:tc>
          <w:tcPr>
            <w:tcW w:w="1940" w:type="dxa"/>
            <w:vAlign w:val="bottom"/>
          </w:tcPr>
          <w:p>
            <w:pPr>
              <w:jc w:val="center"/>
              <w:ind w:left="80"/>
              <w:spacing w:after="0"/>
              <w:rPr>
                <w:sz w:val="20"/>
                <w:szCs w:val="20"/>
                <w:color w:val="auto"/>
              </w:rPr>
            </w:pPr>
            <w:r>
              <w:rPr>
                <w:rFonts w:ascii="Arial" w:cs="Arial" w:eastAsia="Arial" w:hAnsi="Arial"/>
                <w:sz w:val="16"/>
                <w:szCs w:val="16"/>
                <w:color w:val="FFFFFF"/>
                <w:w w:val="98"/>
              </w:rPr>
              <w:t>DATE</w:t>
            </w:r>
          </w:p>
        </w:tc>
        <w:tc>
          <w:tcPr>
            <w:tcW w:w="160" w:type="dxa"/>
            <w:vAlign w:val="bottom"/>
          </w:tcPr>
          <w:p>
            <w:pPr>
              <w:spacing w:after="0"/>
              <w:rPr>
                <w:sz w:val="22"/>
                <w:szCs w:val="22"/>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color w:val="FFFFFF"/>
              </w:rPr>
              <w:t xml:space="preserve">       SALARY       </w:t>
            </w:r>
          </w:p>
        </w:tc>
        <w:tc>
          <w:tcPr>
            <w:tcW w:w="1480" w:type="dxa"/>
            <w:vAlign w:val="bottom"/>
          </w:tcPr>
          <w:p>
            <w:pPr>
              <w:jc w:val="center"/>
              <w:ind w:left="40"/>
              <w:spacing w:after="0"/>
              <w:rPr>
                <w:sz w:val="20"/>
                <w:szCs w:val="20"/>
                <w:color w:val="auto"/>
              </w:rPr>
            </w:pPr>
            <w:r>
              <w:rPr>
                <w:rFonts w:ascii="Arial" w:cs="Arial" w:eastAsia="Arial" w:hAnsi="Arial"/>
                <w:sz w:val="16"/>
                <w:szCs w:val="16"/>
                <w:color w:val="FFFFFF"/>
                <w:w w:val="99"/>
              </w:rPr>
              <w:t>SALARY)</w:t>
            </w:r>
          </w:p>
        </w:tc>
        <w:tc>
          <w:tcPr>
            <w:tcW w:w="1720" w:type="dxa"/>
            <w:vAlign w:val="bottom"/>
            <w:gridSpan w:val="2"/>
          </w:tcPr>
          <w:p>
            <w:pPr>
              <w:jc w:val="center"/>
              <w:ind w:left="61"/>
              <w:spacing w:after="0"/>
              <w:rPr>
                <w:sz w:val="20"/>
                <w:szCs w:val="20"/>
                <w:color w:val="auto"/>
              </w:rPr>
            </w:pPr>
            <w:r>
              <w:rPr>
                <w:rFonts w:ascii="Arial" w:cs="Arial" w:eastAsia="Arial" w:hAnsi="Arial"/>
                <w:sz w:val="16"/>
                <w:szCs w:val="16"/>
                <w:color w:val="FFFFFF"/>
              </w:rPr>
              <w:t>SALARY)</w:t>
            </w:r>
          </w:p>
        </w:tc>
      </w:tr>
      <w:tr>
        <w:trPr>
          <w:trHeight w:val="274"/>
        </w:trPr>
        <w:tc>
          <w:tcPr>
            <w:tcW w:w="4240" w:type="dxa"/>
            <w:vAlign w:val="bottom"/>
            <w:tcBorders>
              <w:bottom w:val="single" w:sz="8" w:color="D6D1D8"/>
            </w:tcBorders>
            <w:shd w:val="clear" w:color="auto" w:fill="D6D1D8"/>
          </w:tcPr>
          <w:p>
            <w:pPr>
              <w:ind w:left="80"/>
              <w:spacing w:after="0"/>
              <w:rPr>
                <w:sz w:val="20"/>
                <w:szCs w:val="20"/>
                <w:color w:val="auto"/>
              </w:rPr>
            </w:pPr>
            <w:r>
              <w:rPr>
                <w:rFonts w:ascii="Arial" w:cs="Arial" w:eastAsia="Arial" w:hAnsi="Arial"/>
                <w:sz w:val="16"/>
                <w:szCs w:val="16"/>
                <w:color w:val="auto"/>
              </w:rPr>
              <w:t>Craig S. Billings</w:t>
            </w:r>
          </w:p>
        </w:tc>
        <w:tc>
          <w:tcPr>
            <w:tcW w:w="1940" w:type="dxa"/>
            <w:vAlign w:val="bottom"/>
            <w:tcBorders>
              <w:bottom w:val="single" w:sz="8" w:color="D6D1D8"/>
            </w:tcBorders>
            <w:shd w:val="clear" w:color="auto" w:fill="D6D1D8"/>
          </w:tcPr>
          <w:p>
            <w:pPr>
              <w:jc w:val="right"/>
              <w:spacing w:after="0"/>
              <w:rPr>
                <w:sz w:val="20"/>
                <w:szCs w:val="20"/>
                <w:color w:val="auto"/>
              </w:rPr>
            </w:pPr>
            <w:r>
              <w:rPr>
                <w:rFonts w:ascii="Arial" w:cs="Arial" w:eastAsia="Arial" w:hAnsi="Arial"/>
                <w:sz w:val="16"/>
                <w:szCs w:val="16"/>
                <w:color w:val="auto"/>
              </w:rPr>
              <w:t>June 1, 2027 </w:t>
            </w:r>
          </w:p>
        </w:tc>
        <w:tc>
          <w:tcPr>
            <w:tcW w:w="160" w:type="dxa"/>
            <w:vAlign w:val="bottom"/>
            <w:tcBorders>
              <w:bottom w:val="single" w:sz="8" w:color="D6D1D8"/>
            </w:tcBorders>
            <w:shd w:val="clear" w:color="auto" w:fill="D6D1D8"/>
          </w:tcPr>
          <w:p>
            <w:pPr>
              <w:ind w:left="60"/>
              <w:spacing w:after="0"/>
              <w:rPr>
                <w:sz w:val="20"/>
                <w:szCs w:val="20"/>
                <w:color w:val="auto"/>
              </w:rPr>
            </w:pPr>
            <w:r>
              <w:rPr>
                <w:rFonts w:ascii="Arial" w:cs="Arial" w:eastAsia="Arial" w:hAnsi="Arial"/>
                <w:sz w:val="16"/>
                <w:szCs w:val="16"/>
                <w:color w:val="auto"/>
              </w:rPr>
              <w:t> </w:t>
            </w:r>
          </w:p>
        </w:tc>
        <w:tc>
          <w:tcPr>
            <w:tcW w:w="380" w:type="dxa"/>
            <w:vAlign w:val="bottom"/>
            <w:tcBorders>
              <w:bottom w:val="single" w:sz="8" w:color="D6D1D8"/>
            </w:tcBorders>
            <w:shd w:val="clear" w:color="auto" w:fill="D6D1D8"/>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6D1D8"/>
            </w:tcBorders>
            <w:shd w:val="clear" w:color="auto" w:fill="D6D1D8"/>
          </w:tcPr>
          <w:p>
            <w:pPr>
              <w:jc w:val="right"/>
              <w:ind w:right="240"/>
              <w:spacing w:after="0"/>
              <w:rPr>
                <w:sz w:val="20"/>
                <w:szCs w:val="20"/>
                <w:color w:val="auto"/>
              </w:rPr>
            </w:pPr>
            <w:r>
              <w:rPr>
                <w:rFonts w:ascii="Arial" w:cs="Arial" w:eastAsia="Arial" w:hAnsi="Arial"/>
                <w:sz w:val="16"/>
                <w:szCs w:val="16"/>
                <w:color w:val="auto"/>
                <w:w w:val="98"/>
              </w:rPr>
              <w:t>2,000,000</w:t>
            </w:r>
          </w:p>
        </w:tc>
        <w:tc>
          <w:tcPr>
            <w:tcW w:w="1480" w:type="dxa"/>
            <w:vAlign w:val="bottom"/>
            <w:tcBorders>
              <w:bottom w:val="single" w:sz="8" w:color="D6D1D8"/>
            </w:tcBorders>
            <w:shd w:val="clear" w:color="auto" w:fill="D6D1D8"/>
          </w:tcPr>
          <w:p>
            <w:pPr>
              <w:jc w:val="center"/>
              <w:ind w:left="100"/>
              <w:spacing w:after="0"/>
              <w:rPr>
                <w:sz w:val="20"/>
                <w:szCs w:val="20"/>
                <w:color w:val="auto"/>
              </w:rPr>
            </w:pPr>
            <w:r>
              <w:rPr>
                <w:rFonts w:ascii="Arial" w:cs="Arial" w:eastAsia="Arial" w:hAnsi="Arial"/>
                <w:sz w:val="16"/>
                <w:szCs w:val="16"/>
                <w:color w:val="auto"/>
              </w:rPr>
              <w:t>250%</w:t>
            </w:r>
          </w:p>
        </w:tc>
        <w:tc>
          <w:tcPr>
            <w:tcW w:w="1680" w:type="dxa"/>
            <w:vAlign w:val="bottom"/>
            <w:tcBorders>
              <w:bottom w:val="single" w:sz="8" w:color="D6D1D8"/>
            </w:tcBorders>
            <w:shd w:val="clear" w:color="auto" w:fill="D6D1D8"/>
          </w:tcPr>
          <w:p>
            <w:pPr>
              <w:jc w:val="center"/>
              <w:ind w:left="161"/>
              <w:spacing w:after="0"/>
              <w:rPr>
                <w:sz w:val="20"/>
                <w:szCs w:val="20"/>
                <w:color w:val="auto"/>
              </w:rPr>
            </w:pPr>
            <w:r>
              <w:rPr>
                <w:rFonts w:ascii="Arial" w:cs="Arial" w:eastAsia="Arial" w:hAnsi="Arial"/>
                <w:sz w:val="16"/>
                <w:szCs w:val="16"/>
                <w:color w:val="auto"/>
                <w:w w:val="97"/>
              </w:rPr>
              <w:t>410%</w:t>
            </w:r>
          </w:p>
        </w:tc>
        <w:tc>
          <w:tcPr>
            <w:tcW w:w="40" w:type="dxa"/>
            <w:vAlign w:val="bottom"/>
          </w:tcPr>
          <w:p>
            <w:pPr>
              <w:spacing w:after="0"/>
              <w:rPr>
                <w:sz w:val="23"/>
                <w:szCs w:val="23"/>
                <w:color w:val="auto"/>
              </w:rPr>
            </w:pPr>
          </w:p>
        </w:tc>
      </w:tr>
      <w:tr>
        <w:trPr>
          <w:trHeight w:val="251"/>
        </w:trPr>
        <w:tc>
          <w:tcPr>
            <w:tcW w:w="4240" w:type="dxa"/>
            <w:vAlign w:val="bottom"/>
          </w:tcPr>
          <w:p>
            <w:pPr>
              <w:ind w:left="80"/>
              <w:spacing w:after="0"/>
              <w:rPr>
                <w:sz w:val="20"/>
                <w:szCs w:val="20"/>
                <w:color w:val="auto"/>
              </w:rPr>
            </w:pPr>
            <w:r>
              <w:rPr>
                <w:rFonts w:ascii="Arial" w:cs="Arial" w:eastAsia="Arial" w:hAnsi="Arial"/>
                <w:sz w:val="16"/>
                <w:szCs w:val="16"/>
                <w:color w:val="auto"/>
              </w:rPr>
              <w:t>Julie M. Cameron-Doe</w:t>
            </w:r>
          </w:p>
        </w:tc>
        <w:tc>
          <w:tcPr>
            <w:tcW w:w="1940" w:type="dxa"/>
            <w:vAlign w:val="bottom"/>
          </w:tcPr>
          <w:p>
            <w:pPr>
              <w:jc w:val="right"/>
              <w:spacing w:after="0"/>
              <w:rPr>
                <w:sz w:val="20"/>
                <w:szCs w:val="20"/>
                <w:color w:val="auto"/>
              </w:rPr>
            </w:pPr>
            <w:r>
              <w:rPr>
                <w:rFonts w:ascii="Arial" w:cs="Arial" w:eastAsia="Arial" w:hAnsi="Arial"/>
                <w:sz w:val="16"/>
                <w:szCs w:val="16"/>
                <w:color w:val="auto"/>
              </w:rPr>
              <w:t>June 1, 2026 </w:t>
            </w:r>
          </w:p>
        </w:tc>
        <w:tc>
          <w:tcPr>
            <w:tcW w:w="160" w:type="dxa"/>
            <w:vAlign w:val="bottom"/>
          </w:tcPr>
          <w:p>
            <w:pPr>
              <w:ind w:left="60"/>
              <w:spacing w:after="0"/>
              <w:rPr>
                <w:sz w:val="20"/>
                <w:szCs w:val="20"/>
                <w:color w:val="auto"/>
              </w:rPr>
            </w:pPr>
            <w:r>
              <w:rPr>
                <w:rFonts w:ascii="Arial" w:cs="Arial" w:eastAsia="Arial" w:hAnsi="Arial"/>
                <w:sz w:val="16"/>
                <w:szCs w:val="16"/>
                <w:color w:val="auto"/>
              </w:rPr>
              <w:t> </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40"/>
              <w:spacing w:after="0"/>
              <w:rPr>
                <w:sz w:val="20"/>
                <w:szCs w:val="20"/>
                <w:color w:val="auto"/>
              </w:rPr>
            </w:pPr>
            <w:r>
              <w:rPr>
                <w:rFonts w:ascii="Arial" w:cs="Arial" w:eastAsia="Arial" w:hAnsi="Arial"/>
                <w:sz w:val="16"/>
                <w:szCs w:val="16"/>
                <w:color w:val="auto"/>
              </w:rPr>
              <w:t>950,000</w:t>
            </w:r>
          </w:p>
        </w:tc>
        <w:tc>
          <w:tcPr>
            <w:tcW w:w="1480" w:type="dxa"/>
            <w:vAlign w:val="bottom"/>
          </w:tcPr>
          <w:p>
            <w:pPr>
              <w:jc w:val="center"/>
              <w:ind w:left="100"/>
              <w:spacing w:after="0"/>
              <w:rPr>
                <w:sz w:val="20"/>
                <w:szCs w:val="20"/>
                <w:color w:val="auto"/>
              </w:rPr>
            </w:pPr>
            <w:r>
              <w:rPr>
                <w:rFonts w:ascii="Arial" w:cs="Arial" w:eastAsia="Arial" w:hAnsi="Arial"/>
                <w:sz w:val="16"/>
                <w:szCs w:val="16"/>
                <w:color w:val="auto"/>
              </w:rPr>
              <w:t>200%</w:t>
            </w:r>
          </w:p>
        </w:tc>
        <w:tc>
          <w:tcPr>
            <w:tcW w:w="1680" w:type="dxa"/>
            <w:vAlign w:val="bottom"/>
          </w:tcPr>
          <w:p>
            <w:pPr>
              <w:jc w:val="center"/>
              <w:ind w:left="161"/>
              <w:spacing w:after="0"/>
              <w:rPr>
                <w:sz w:val="20"/>
                <w:szCs w:val="20"/>
                <w:color w:val="auto"/>
              </w:rPr>
            </w:pPr>
            <w:r>
              <w:rPr>
                <w:rFonts w:ascii="Arial" w:cs="Arial" w:eastAsia="Arial" w:hAnsi="Arial"/>
                <w:sz w:val="16"/>
                <w:szCs w:val="16"/>
                <w:color w:val="auto"/>
                <w:w w:val="97"/>
              </w:rPr>
              <w:t>175%</w:t>
            </w:r>
          </w:p>
        </w:tc>
        <w:tc>
          <w:tcPr>
            <w:tcW w:w="40" w:type="dxa"/>
            <w:vAlign w:val="bottom"/>
          </w:tcPr>
          <w:p>
            <w:pPr>
              <w:spacing w:after="0"/>
              <w:rPr>
                <w:sz w:val="21"/>
                <w:szCs w:val="21"/>
                <w:color w:val="auto"/>
              </w:rPr>
            </w:pPr>
          </w:p>
        </w:tc>
      </w:tr>
      <w:tr>
        <w:trPr>
          <w:trHeight w:val="44"/>
        </w:trPr>
        <w:tc>
          <w:tcPr>
            <w:tcW w:w="42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74"/>
        </w:trPr>
        <w:tc>
          <w:tcPr>
            <w:tcW w:w="4240" w:type="dxa"/>
            <w:vAlign w:val="bottom"/>
            <w:tcBorders>
              <w:bottom w:val="single" w:sz="8" w:color="D6D1D8"/>
            </w:tcBorders>
            <w:shd w:val="clear" w:color="auto" w:fill="D6D1D8"/>
          </w:tcPr>
          <w:p>
            <w:pPr>
              <w:ind w:left="80"/>
              <w:spacing w:after="0"/>
              <w:rPr>
                <w:sz w:val="20"/>
                <w:szCs w:val="20"/>
                <w:color w:val="auto"/>
              </w:rPr>
            </w:pPr>
            <w:r>
              <w:rPr>
                <w:rFonts w:ascii="Arial" w:cs="Arial" w:eastAsia="Arial" w:hAnsi="Arial"/>
                <w:sz w:val="16"/>
                <w:szCs w:val="16"/>
                <w:color w:val="auto"/>
              </w:rPr>
              <w:t>Jacqui Krum</w:t>
            </w:r>
          </w:p>
        </w:tc>
        <w:tc>
          <w:tcPr>
            <w:tcW w:w="1940" w:type="dxa"/>
            <w:vAlign w:val="bottom"/>
            <w:tcBorders>
              <w:bottom w:val="single" w:sz="8" w:color="D6D1D8"/>
            </w:tcBorders>
            <w:shd w:val="clear" w:color="auto" w:fill="D6D1D8"/>
          </w:tcPr>
          <w:p>
            <w:pPr>
              <w:jc w:val="right"/>
              <w:spacing w:after="0"/>
              <w:rPr>
                <w:sz w:val="20"/>
                <w:szCs w:val="20"/>
                <w:color w:val="auto"/>
              </w:rPr>
            </w:pPr>
            <w:r>
              <w:rPr>
                <w:rFonts w:ascii="Arial" w:cs="Arial" w:eastAsia="Arial" w:hAnsi="Arial"/>
                <w:sz w:val="16"/>
                <w:szCs w:val="16"/>
                <w:color w:val="auto"/>
                <w:w w:val="97"/>
              </w:rPr>
              <w:t>     September 15, 2027 </w:t>
            </w:r>
          </w:p>
        </w:tc>
        <w:tc>
          <w:tcPr>
            <w:tcW w:w="160" w:type="dxa"/>
            <w:vAlign w:val="bottom"/>
            <w:tcBorders>
              <w:bottom w:val="single" w:sz="8" w:color="D6D1D8"/>
            </w:tcBorders>
            <w:shd w:val="clear" w:color="auto" w:fill="D6D1D8"/>
          </w:tcPr>
          <w:p>
            <w:pPr>
              <w:ind w:left="60"/>
              <w:spacing w:after="0"/>
              <w:rPr>
                <w:sz w:val="20"/>
                <w:szCs w:val="20"/>
                <w:color w:val="auto"/>
              </w:rPr>
            </w:pPr>
            <w:r>
              <w:rPr>
                <w:rFonts w:ascii="Arial" w:cs="Arial" w:eastAsia="Arial" w:hAnsi="Arial"/>
                <w:sz w:val="16"/>
                <w:szCs w:val="16"/>
                <w:color w:val="auto"/>
              </w:rPr>
              <w:t> </w:t>
            </w:r>
          </w:p>
        </w:tc>
        <w:tc>
          <w:tcPr>
            <w:tcW w:w="380" w:type="dxa"/>
            <w:vAlign w:val="bottom"/>
            <w:tcBorders>
              <w:bottom w:val="single" w:sz="8" w:color="D6D1D8"/>
            </w:tcBorders>
            <w:shd w:val="clear" w:color="auto" w:fill="D6D1D8"/>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6D1D8"/>
            </w:tcBorders>
            <w:shd w:val="clear" w:color="auto" w:fill="D6D1D8"/>
          </w:tcPr>
          <w:p>
            <w:pPr>
              <w:jc w:val="right"/>
              <w:ind w:right="240"/>
              <w:spacing w:after="0"/>
              <w:rPr>
                <w:sz w:val="20"/>
                <w:szCs w:val="20"/>
                <w:color w:val="auto"/>
              </w:rPr>
            </w:pPr>
            <w:r>
              <w:rPr>
                <w:rFonts w:ascii="Arial" w:cs="Arial" w:eastAsia="Arial" w:hAnsi="Arial"/>
                <w:sz w:val="16"/>
                <w:szCs w:val="16"/>
                <w:color w:val="auto"/>
              </w:rPr>
              <w:t>825,000</w:t>
            </w:r>
          </w:p>
        </w:tc>
        <w:tc>
          <w:tcPr>
            <w:tcW w:w="1480" w:type="dxa"/>
            <w:vAlign w:val="bottom"/>
            <w:tcBorders>
              <w:bottom w:val="single" w:sz="8" w:color="D6D1D8"/>
            </w:tcBorders>
            <w:shd w:val="clear" w:color="auto" w:fill="D6D1D8"/>
          </w:tcPr>
          <w:p>
            <w:pPr>
              <w:jc w:val="center"/>
              <w:ind w:left="100"/>
              <w:spacing w:after="0"/>
              <w:rPr>
                <w:sz w:val="20"/>
                <w:szCs w:val="20"/>
                <w:color w:val="auto"/>
              </w:rPr>
            </w:pPr>
            <w:r>
              <w:rPr>
                <w:rFonts w:ascii="Arial" w:cs="Arial" w:eastAsia="Arial" w:hAnsi="Arial"/>
                <w:sz w:val="16"/>
                <w:szCs w:val="16"/>
                <w:color w:val="auto"/>
              </w:rPr>
              <w:t>200%</w:t>
            </w:r>
          </w:p>
        </w:tc>
        <w:tc>
          <w:tcPr>
            <w:tcW w:w="1680" w:type="dxa"/>
            <w:vAlign w:val="bottom"/>
            <w:tcBorders>
              <w:bottom w:val="single" w:sz="8" w:color="D6D1D8"/>
            </w:tcBorders>
            <w:shd w:val="clear" w:color="auto" w:fill="D6D1D8"/>
          </w:tcPr>
          <w:p>
            <w:pPr>
              <w:jc w:val="center"/>
              <w:ind w:left="161"/>
              <w:spacing w:after="0"/>
              <w:rPr>
                <w:sz w:val="20"/>
                <w:szCs w:val="20"/>
                <w:color w:val="auto"/>
              </w:rPr>
            </w:pPr>
            <w:r>
              <w:rPr>
                <w:rFonts w:ascii="Arial" w:cs="Arial" w:eastAsia="Arial" w:hAnsi="Arial"/>
                <w:sz w:val="16"/>
                <w:szCs w:val="16"/>
                <w:color w:val="auto"/>
                <w:w w:val="97"/>
              </w:rPr>
              <w:t>135%</w:t>
            </w:r>
          </w:p>
        </w:tc>
        <w:tc>
          <w:tcPr>
            <w:tcW w:w="40" w:type="dxa"/>
            <w:vAlign w:val="bottom"/>
          </w:tcPr>
          <w:p>
            <w:pPr>
              <w:spacing w:after="0"/>
              <w:rPr>
                <w:sz w:val="23"/>
                <w:szCs w:val="23"/>
                <w:color w:val="auto"/>
              </w:rPr>
            </w:pPr>
          </w:p>
        </w:tc>
      </w:tr>
      <w:tr>
        <w:trPr>
          <w:trHeight w:val="251"/>
        </w:trPr>
        <w:tc>
          <w:tcPr>
            <w:tcW w:w="4240" w:type="dxa"/>
            <w:vAlign w:val="bottom"/>
          </w:tcPr>
          <w:p>
            <w:pPr>
              <w:ind w:left="80"/>
              <w:spacing w:after="0"/>
              <w:rPr>
                <w:sz w:val="20"/>
                <w:szCs w:val="20"/>
                <w:color w:val="auto"/>
              </w:rPr>
            </w:pPr>
            <w:r>
              <w:rPr>
                <w:rFonts w:ascii="Arial" w:cs="Arial" w:eastAsia="Arial" w:hAnsi="Arial"/>
                <w:sz w:val="16"/>
                <w:szCs w:val="16"/>
                <w:color w:val="auto"/>
              </w:rPr>
              <w:t>Ellen F. Whittemore</w:t>
            </w:r>
          </w:p>
        </w:tc>
        <w:tc>
          <w:tcPr>
            <w:tcW w:w="1940" w:type="dxa"/>
            <w:vAlign w:val="bottom"/>
          </w:tcPr>
          <w:p>
            <w:pPr>
              <w:jc w:val="right"/>
              <w:spacing w:after="0"/>
              <w:rPr>
                <w:sz w:val="20"/>
                <w:szCs w:val="20"/>
                <w:color w:val="auto"/>
              </w:rPr>
            </w:pPr>
            <w:r>
              <w:rPr>
                <w:rFonts w:ascii="Arial" w:cs="Arial" w:eastAsia="Arial" w:hAnsi="Arial"/>
                <w:sz w:val="16"/>
                <w:szCs w:val="16"/>
                <w:color w:val="auto"/>
              </w:rPr>
              <w:t>January 31, 2025 </w:t>
            </w:r>
          </w:p>
        </w:tc>
        <w:tc>
          <w:tcPr>
            <w:tcW w:w="160" w:type="dxa"/>
            <w:vAlign w:val="bottom"/>
          </w:tcPr>
          <w:p>
            <w:pPr>
              <w:ind w:left="60"/>
              <w:spacing w:after="0"/>
              <w:rPr>
                <w:sz w:val="20"/>
                <w:szCs w:val="20"/>
                <w:color w:val="auto"/>
              </w:rPr>
            </w:pPr>
            <w:r>
              <w:rPr>
                <w:rFonts w:ascii="Arial" w:cs="Arial" w:eastAsia="Arial" w:hAnsi="Arial"/>
                <w:sz w:val="16"/>
                <w:szCs w:val="16"/>
                <w:color w:val="auto"/>
              </w:rPr>
              <w:t> </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40"/>
              <w:spacing w:after="0"/>
              <w:rPr>
                <w:sz w:val="20"/>
                <w:szCs w:val="20"/>
                <w:color w:val="auto"/>
              </w:rPr>
            </w:pPr>
            <w:r>
              <w:rPr>
                <w:rFonts w:ascii="Arial" w:cs="Arial" w:eastAsia="Arial" w:hAnsi="Arial"/>
                <w:sz w:val="16"/>
                <w:szCs w:val="16"/>
                <w:color w:val="auto"/>
              </w:rPr>
              <w:t>900,000</w:t>
            </w:r>
          </w:p>
        </w:tc>
        <w:tc>
          <w:tcPr>
            <w:tcW w:w="1480" w:type="dxa"/>
            <w:vAlign w:val="bottom"/>
          </w:tcPr>
          <w:p>
            <w:pPr>
              <w:jc w:val="center"/>
              <w:ind w:left="100"/>
              <w:spacing w:after="0"/>
              <w:rPr>
                <w:sz w:val="20"/>
                <w:szCs w:val="20"/>
                <w:color w:val="auto"/>
              </w:rPr>
            </w:pPr>
            <w:r>
              <w:rPr>
                <w:rFonts w:ascii="Arial" w:cs="Arial" w:eastAsia="Arial" w:hAnsi="Arial"/>
                <w:sz w:val="16"/>
                <w:szCs w:val="16"/>
                <w:color w:val="auto"/>
              </w:rPr>
              <w:t>200%</w:t>
            </w:r>
          </w:p>
        </w:tc>
        <w:tc>
          <w:tcPr>
            <w:tcW w:w="1680" w:type="dxa"/>
            <w:vAlign w:val="bottom"/>
          </w:tcPr>
          <w:p>
            <w:pPr>
              <w:jc w:val="center"/>
              <w:ind w:left="161"/>
              <w:spacing w:after="0"/>
              <w:rPr>
                <w:sz w:val="20"/>
                <w:szCs w:val="20"/>
                <w:color w:val="auto"/>
              </w:rPr>
            </w:pPr>
            <w:r>
              <w:rPr>
                <w:rFonts w:ascii="Arial" w:cs="Arial" w:eastAsia="Arial" w:hAnsi="Arial"/>
                <w:sz w:val="16"/>
                <w:szCs w:val="16"/>
                <w:color w:val="auto"/>
                <w:w w:val="97"/>
              </w:rPr>
              <w:t>175%</w:t>
            </w:r>
          </w:p>
        </w:tc>
        <w:tc>
          <w:tcPr>
            <w:tcW w:w="40" w:type="dxa"/>
            <w:vAlign w:val="bottom"/>
          </w:tcPr>
          <w:p>
            <w:pPr>
              <w:spacing w:after="0"/>
              <w:rPr>
                <w:sz w:val="21"/>
                <w:szCs w:val="21"/>
                <w:color w:val="auto"/>
              </w:rPr>
            </w:pPr>
          </w:p>
        </w:tc>
      </w:tr>
      <w:tr>
        <w:trPr>
          <w:trHeight w:val="351"/>
        </w:trPr>
        <w:tc>
          <w:tcPr>
            <w:tcW w:w="4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2"/>
                <w:szCs w:val="12"/>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-1748790</wp:posOffset>
            </wp:positionV>
            <wp:extent cx="6929755" cy="13760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29755" cy="1376045"/>
                    </a:xfrm>
                    <a:prstGeom prst="rect">
                      <a:avLst/>
                    </a:prstGeom>
                    <a:noFill/>
                  </pic:spPr>
                </pic:pic>
              </a:graphicData>
            </a:graphic>
          </wp:anchor>
        </w:drawing>
      </w:r>
    </w:p>
    <w:p>
      <w:pPr>
        <w:sectPr>
          <w:pgSz w:w="11900" w:h="16838" w:orient="portrait"/>
          <w:cols w:equalWidth="0" w:num="1">
            <w:col w:w="11120"/>
          </w:cols>
          <w:pgMar w:left="320" w:top="478"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45"/>
          <w:szCs w:val="45"/>
          <w:color w:val="140F21"/>
        </w:rPr>
        <w:t>2024 Grants of Plan-Based Awards Table</w:t>
      </w:r>
    </w:p>
    <w:p>
      <w:pPr>
        <w:spacing w:after="0" w:line="38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table sets forth certain information with respect to grants of plan-based awards for the fiscal year ended 2024 with respect to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163830</wp:posOffset>
            </wp:positionV>
            <wp:extent cx="6929755" cy="2836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29755" cy="2836545"/>
                    </a:xfrm>
                    <a:prstGeom prst="rect">
                      <a:avLst/>
                    </a:prstGeom>
                    <a:noFill/>
                  </pic:spPr>
                </pic:pic>
              </a:graphicData>
            </a:graphic>
          </wp:anchor>
        </w:drawing>
      </w:r>
    </w:p>
    <w:p>
      <w:pPr>
        <w:spacing w:after="0" w:line="238" w:lineRule="exact"/>
        <w:rPr>
          <w:sz w:val="20"/>
          <w:szCs w:val="20"/>
          <w:color w:val="auto"/>
        </w:rPr>
      </w:pPr>
    </w:p>
    <w:tbl>
      <w:tblPr>
        <w:tblLayout w:type="fixed"/>
        <w:tblInd w:w="160" w:type="dxa"/>
        <w:tblCellMar>
          <w:top w:w="0" w:type="dxa"/>
          <w:left w:w="0" w:type="dxa"/>
          <w:bottom w:w="0" w:type="dxa"/>
          <w:right w:w="0" w:type="dxa"/>
        </w:tblCellMar>
      </w:tblPr>
      <w:tr>
        <w:trPr>
          <w:trHeight w:val="134"/>
        </w:trPr>
        <w:tc>
          <w:tcPr>
            <w:tcW w:w="4040" w:type="dxa"/>
            <w:vAlign w:val="bottom"/>
            <w:shd w:val="clear" w:color="auto" w:fill="351B3D"/>
          </w:tcPr>
          <w:p>
            <w:pPr>
              <w:spacing w:after="0"/>
              <w:rPr>
                <w:sz w:val="11"/>
                <w:szCs w:val="11"/>
                <w:color w:val="auto"/>
              </w:rPr>
            </w:pPr>
          </w:p>
        </w:tc>
        <w:tc>
          <w:tcPr>
            <w:tcW w:w="80" w:type="dxa"/>
            <w:vAlign w:val="bottom"/>
            <w:shd w:val="clear" w:color="auto" w:fill="351B3D"/>
          </w:tcPr>
          <w:p>
            <w:pPr>
              <w:spacing w:after="0"/>
              <w:rPr>
                <w:sz w:val="11"/>
                <w:szCs w:val="11"/>
                <w:color w:val="auto"/>
              </w:rPr>
            </w:pPr>
          </w:p>
        </w:tc>
        <w:tc>
          <w:tcPr>
            <w:tcW w:w="760" w:type="dxa"/>
            <w:vAlign w:val="bottom"/>
            <w:shd w:val="clear" w:color="auto" w:fill="351B3D"/>
          </w:tcPr>
          <w:p>
            <w:pPr>
              <w:spacing w:after="0"/>
              <w:rPr>
                <w:sz w:val="11"/>
                <w:szCs w:val="11"/>
                <w:color w:val="auto"/>
              </w:rPr>
            </w:pPr>
          </w:p>
        </w:tc>
        <w:tc>
          <w:tcPr>
            <w:tcW w:w="100" w:type="dxa"/>
            <w:vAlign w:val="bottom"/>
            <w:shd w:val="clear" w:color="auto" w:fill="351B3D"/>
          </w:tcPr>
          <w:p>
            <w:pPr>
              <w:spacing w:after="0"/>
              <w:rPr>
                <w:sz w:val="11"/>
                <w:szCs w:val="11"/>
                <w:color w:val="auto"/>
              </w:rPr>
            </w:pPr>
          </w:p>
        </w:tc>
        <w:tc>
          <w:tcPr>
            <w:tcW w:w="60" w:type="dxa"/>
            <w:vAlign w:val="bottom"/>
            <w:shd w:val="clear" w:color="auto" w:fill="351B3D"/>
          </w:tcPr>
          <w:p>
            <w:pPr>
              <w:spacing w:after="0"/>
              <w:rPr>
                <w:sz w:val="11"/>
                <w:szCs w:val="11"/>
                <w:color w:val="auto"/>
              </w:rPr>
            </w:pPr>
          </w:p>
        </w:tc>
        <w:tc>
          <w:tcPr>
            <w:tcW w:w="2160" w:type="dxa"/>
            <w:vAlign w:val="bottom"/>
            <w:gridSpan w:val="3"/>
            <w:vMerge w:val="restart"/>
            <w:shd w:val="clear" w:color="auto" w:fill="351B3D"/>
          </w:tcPr>
          <w:p>
            <w:pPr>
              <w:jc w:val="center"/>
              <w:spacing w:after="0"/>
              <w:rPr>
                <w:sz w:val="20"/>
                <w:szCs w:val="20"/>
                <w:color w:val="auto"/>
              </w:rPr>
            </w:pPr>
            <w:r>
              <w:rPr>
                <w:rFonts w:ascii="Arial" w:cs="Arial" w:eastAsia="Arial" w:hAnsi="Arial"/>
                <w:sz w:val="11"/>
                <w:szCs w:val="11"/>
                <w:color w:val="FFFFFF"/>
                <w:w w:val="96"/>
              </w:rPr>
              <w:t>ESTIMATED FUTURE PAYOUTS</w:t>
            </w:r>
          </w:p>
        </w:tc>
        <w:tc>
          <w:tcPr>
            <w:tcW w:w="2100" w:type="dxa"/>
            <w:vAlign w:val="bottom"/>
            <w:gridSpan w:val="3"/>
            <w:vMerge w:val="restart"/>
            <w:shd w:val="clear" w:color="auto" w:fill="351B3D"/>
          </w:tcPr>
          <w:p>
            <w:pPr>
              <w:jc w:val="center"/>
              <w:spacing w:after="0"/>
              <w:rPr>
                <w:sz w:val="20"/>
                <w:szCs w:val="20"/>
                <w:color w:val="auto"/>
              </w:rPr>
            </w:pPr>
            <w:r>
              <w:rPr>
                <w:rFonts w:ascii="Arial" w:cs="Arial" w:eastAsia="Arial" w:hAnsi="Arial"/>
                <w:sz w:val="11"/>
                <w:szCs w:val="11"/>
                <w:color w:val="FFFFFF"/>
                <w:w w:val="96"/>
              </w:rPr>
              <w:t>ESTIMATED NUMBER OF SHARES FOR</w:t>
            </w:r>
          </w:p>
        </w:tc>
        <w:tc>
          <w:tcPr>
            <w:tcW w:w="760" w:type="dxa"/>
            <w:vAlign w:val="bottom"/>
            <w:shd w:val="clear" w:color="auto" w:fill="351B3D"/>
          </w:tcPr>
          <w:p>
            <w:pPr>
              <w:jc w:val="center"/>
              <w:spacing w:after="0"/>
              <w:rPr>
                <w:sz w:val="20"/>
                <w:szCs w:val="20"/>
                <w:color w:val="auto"/>
              </w:rPr>
            </w:pPr>
            <w:r>
              <w:rPr>
                <w:rFonts w:ascii="Arial" w:cs="Arial" w:eastAsia="Arial" w:hAnsi="Arial"/>
                <w:sz w:val="11"/>
                <w:szCs w:val="11"/>
                <w:color w:val="FFFFFF"/>
                <w:w w:val="94"/>
              </w:rPr>
              <w:t>ALL OTHER</w:t>
            </w:r>
          </w:p>
        </w:tc>
        <w:tc>
          <w:tcPr>
            <w:tcW w:w="860" w:type="dxa"/>
            <w:vAlign w:val="bottom"/>
            <w:shd w:val="clear" w:color="auto" w:fill="351B3D"/>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4040" w:type="dxa"/>
            <w:vAlign w:val="bottom"/>
            <w:shd w:val="clear" w:color="auto" w:fill="351B3D"/>
          </w:tcPr>
          <w:p>
            <w:pPr>
              <w:spacing w:after="0"/>
              <w:rPr>
                <w:sz w:val="5"/>
                <w:szCs w:val="5"/>
                <w:color w:val="auto"/>
              </w:rPr>
            </w:pPr>
          </w:p>
        </w:tc>
        <w:tc>
          <w:tcPr>
            <w:tcW w:w="80" w:type="dxa"/>
            <w:vAlign w:val="bottom"/>
            <w:shd w:val="clear" w:color="auto" w:fill="351B3D"/>
          </w:tcPr>
          <w:p>
            <w:pPr>
              <w:spacing w:after="0"/>
              <w:rPr>
                <w:sz w:val="5"/>
                <w:szCs w:val="5"/>
                <w:color w:val="auto"/>
              </w:rPr>
            </w:pPr>
          </w:p>
        </w:tc>
        <w:tc>
          <w:tcPr>
            <w:tcW w:w="760" w:type="dxa"/>
            <w:vAlign w:val="bottom"/>
            <w:shd w:val="clear" w:color="auto" w:fill="351B3D"/>
          </w:tcPr>
          <w:p>
            <w:pPr>
              <w:spacing w:after="0"/>
              <w:rPr>
                <w:sz w:val="5"/>
                <w:szCs w:val="5"/>
                <w:color w:val="auto"/>
              </w:rPr>
            </w:pPr>
          </w:p>
        </w:tc>
        <w:tc>
          <w:tcPr>
            <w:tcW w:w="100" w:type="dxa"/>
            <w:vAlign w:val="bottom"/>
            <w:shd w:val="clear" w:color="auto" w:fill="351B3D"/>
          </w:tcPr>
          <w:p>
            <w:pPr>
              <w:spacing w:after="0"/>
              <w:rPr>
                <w:sz w:val="5"/>
                <w:szCs w:val="5"/>
                <w:color w:val="auto"/>
              </w:rPr>
            </w:pPr>
          </w:p>
        </w:tc>
        <w:tc>
          <w:tcPr>
            <w:tcW w:w="60" w:type="dxa"/>
            <w:vAlign w:val="bottom"/>
            <w:shd w:val="clear" w:color="auto" w:fill="351B3D"/>
          </w:tcPr>
          <w:p>
            <w:pPr>
              <w:spacing w:after="0"/>
              <w:rPr>
                <w:sz w:val="5"/>
                <w:szCs w:val="5"/>
                <w:color w:val="auto"/>
              </w:rPr>
            </w:pPr>
          </w:p>
        </w:tc>
        <w:tc>
          <w:tcPr>
            <w:tcW w:w="2160" w:type="dxa"/>
            <w:vAlign w:val="bottom"/>
            <w:gridSpan w:val="3"/>
            <w:vMerge w:val="continue"/>
            <w:shd w:val="clear" w:color="auto" w:fill="351B3D"/>
          </w:tcPr>
          <w:p>
            <w:pPr>
              <w:spacing w:after="0"/>
              <w:rPr>
                <w:sz w:val="5"/>
                <w:szCs w:val="5"/>
                <w:color w:val="auto"/>
              </w:rPr>
            </w:pPr>
          </w:p>
        </w:tc>
        <w:tc>
          <w:tcPr>
            <w:tcW w:w="2100" w:type="dxa"/>
            <w:vAlign w:val="bottom"/>
            <w:gridSpan w:val="3"/>
            <w:vMerge w:val="continue"/>
            <w:shd w:val="clear" w:color="auto" w:fill="351B3D"/>
          </w:tcPr>
          <w:p>
            <w:pPr>
              <w:spacing w:after="0"/>
              <w:rPr>
                <w:sz w:val="5"/>
                <w:szCs w:val="5"/>
                <w:color w:val="auto"/>
              </w:rPr>
            </w:pPr>
          </w:p>
        </w:tc>
        <w:tc>
          <w:tcPr>
            <w:tcW w:w="760" w:type="dxa"/>
            <w:vAlign w:val="bottom"/>
            <w:vMerge w:val="restart"/>
            <w:shd w:val="clear" w:color="auto" w:fill="351B3D"/>
          </w:tcPr>
          <w:p>
            <w:pPr>
              <w:jc w:val="center"/>
              <w:spacing w:after="0" w:line="121" w:lineRule="exact"/>
              <w:rPr>
                <w:sz w:val="20"/>
                <w:szCs w:val="20"/>
                <w:color w:val="auto"/>
              </w:rPr>
            </w:pPr>
            <w:r>
              <w:rPr>
                <w:rFonts w:ascii="Arial" w:cs="Arial" w:eastAsia="Arial" w:hAnsi="Arial"/>
                <w:sz w:val="11"/>
                <w:szCs w:val="11"/>
                <w:color w:val="FFFFFF"/>
              </w:rPr>
              <w:t>STOCK</w:t>
            </w:r>
          </w:p>
        </w:tc>
        <w:tc>
          <w:tcPr>
            <w:tcW w:w="860" w:type="dxa"/>
            <w:vAlign w:val="bottom"/>
            <w:shd w:val="clear" w:color="auto" w:fill="351B3D"/>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4040" w:type="dxa"/>
            <w:vAlign w:val="bottom"/>
            <w:shd w:val="clear" w:color="auto" w:fill="351B3D"/>
          </w:tcPr>
          <w:p>
            <w:pPr>
              <w:spacing w:after="0"/>
              <w:rPr>
                <w:sz w:val="4"/>
                <w:szCs w:val="4"/>
                <w:color w:val="auto"/>
              </w:rPr>
            </w:pPr>
          </w:p>
        </w:tc>
        <w:tc>
          <w:tcPr>
            <w:tcW w:w="80" w:type="dxa"/>
            <w:vAlign w:val="bottom"/>
            <w:shd w:val="clear" w:color="auto" w:fill="351B3D"/>
          </w:tcPr>
          <w:p>
            <w:pPr>
              <w:spacing w:after="0"/>
              <w:rPr>
                <w:sz w:val="4"/>
                <w:szCs w:val="4"/>
                <w:color w:val="auto"/>
              </w:rPr>
            </w:pPr>
          </w:p>
        </w:tc>
        <w:tc>
          <w:tcPr>
            <w:tcW w:w="760" w:type="dxa"/>
            <w:vAlign w:val="bottom"/>
            <w:shd w:val="clear" w:color="auto" w:fill="351B3D"/>
          </w:tcPr>
          <w:p>
            <w:pPr>
              <w:spacing w:after="0"/>
              <w:rPr>
                <w:sz w:val="4"/>
                <w:szCs w:val="4"/>
                <w:color w:val="auto"/>
              </w:rPr>
            </w:pPr>
          </w:p>
        </w:tc>
        <w:tc>
          <w:tcPr>
            <w:tcW w:w="100" w:type="dxa"/>
            <w:vAlign w:val="bottom"/>
            <w:shd w:val="clear" w:color="auto" w:fill="351B3D"/>
          </w:tcPr>
          <w:p>
            <w:pPr>
              <w:spacing w:after="0"/>
              <w:rPr>
                <w:sz w:val="4"/>
                <w:szCs w:val="4"/>
                <w:color w:val="auto"/>
              </w:rPr>
            </w:pPr>
          </w:p>
        </w:tc>
        <w:tc>
          <w:tcPr>
            <w:tcW w:w="60" w:type="dxa"/>
            <w:vAlign w:val="bottom"/>
            <w:shd w:val="clear" w:color="auto" w:fill="351B3D"/>
          </w:tcPr>
          <w:p>
            <w:pPr>
              <w:spacing w:after="0"/>
              <w:rPr>
                <w:sz w:val="4"/>
                <w:szCs w:val="4"/>
                <w:color w:val="auto"/>
              </w:rPr>
            </w:pPr>
          </w:p>
        </w:tc>
        <w:tc>
          <w:tcPr>
            <w:tcW w:w="2160" w:type="dxa"/>
            <w:vAlign w:val="bottom"/>
            <w:gridSpan w:val="3"/>
            <w:vMerge w:val="restart"/>
            <w:shd w:val="clear" w:color="auto" w:fill="351B3D"/>
          </w:tcPr>
          <w:p>
            <w:pPr>
              <w:jc w:val="center"/>
              <w:spacing w:after="0" w:line="121" w:lineRule="exact"/>
              <w:rPr>
                <w:sz w:val="20"/>
                <w:szCs w:val="20"/>
                <w:color w:val="auto"/>
              </w:rPr>
            </w:pPr>
            <w:r>
              <w:rPr>
                <w:rFonts w:ascii="Arial" w:cs="Arial" w:eastAsia="Arial" w:hAnsi="Arial"/>
                <w:sz w:val="11"/>
                <w:szCs w:val="11"/>
                <w:color w:val="FFFFFF"/>
                <w:w w:val="97"/>
              </w:rPr>
              <w:t>UNDER NON-EQUITY INCENTIVE PLAN</w:t>
            </w:r>
          </w:p>
        </w:tc>
        <w:tc>
          <w:tcPr>
            <w:tcW w:w="2100" w:type="dxa"/>
            <w:vAlign w:val="bottom"/>
            <w:gridSpan w:val="3"/>
            <w:vMerge w:val="restart"/>
            <w:shd w:val="clear" w:color="auto" w:fill="351B3D"/>
          </w:tcPr>
          <w:p>
            <w:pPr>
              <w:jc w:val="center"/>
              <w:spacing w:after="0" w:line="121" w:lineRule="exact"/>
              <w:rPr>
                <w:sz w:val="20"/>
                <w:szCs w:val="20"/>
                <w:color w:val="auto"/>
              </w:rPr>
            </w:pPr>
            <w:r>
              <w:rPr>
                <w:rFonts w:ascii="Arial" w:cs="Arial" w:eastAsia="Arial" w:hAnsi="Arial"/>
                <w:sz w:val="11"/>
                <w:szCs w:val="11"/>
                <w:color w:val="FFFFFF"/>
                <w:w w:val="96"/>
              </w:rPr>
              <w:t>FUTURE PAYOUTS UNDER EQUITY</w:t>
            </w:r>
          </w:p>
        </w:tc>
        <w:tc>
          <w:tcPr>
            <w:tcW w:w="760" w:type="dxa"/>
            <w:vAlign w:val="bottom"/>
            <w:vMerge w:val="continue"/>
            <w:shd w:val="clear" w:color="auto" w:fill="351B3D"/>
          </w:tcPr>
          <w:p>
            <w:pPr>
              <w:spacing w:after="0"/>
              <w:rPr>
                <w:sz w:val="4"/>
                <w:szCs w:val="4"/>
                <w:color w:val="auto"/>
              </w:rPr>
            </w:pPr>
          </w:p>
        </w:tc>
        <w:tc>
          <w:tcPr>
            <w:tcW w:w="860" w:type="dxa"/>
            <w:vAlign w:val="bottom"/>
            <w:vMerge w:val="restart"/>
            <w:shd w:val="clear" w:color="auto" w:fill="351B3D"/>
          </w:tcPr>
          <w:p>
            <w:pPr>
              <w:jc w:val="center"/>
              <w:spacing w:after="0" w:line="121" w:lineRule="exact"/>
              <w:rPr>
                <w:sz w:val="20"/>
                <w:szCs w:val="20"/>
                <w:color w:val="auto"/>
              </w:rPr>
            </w:pPr>
            <w:r>
              <w:rPr>
                <w:rFonts w:ascii="Arial" w:cs="Arial" w:eastAsia="Arial" w:hAnsi="Arial"/>
                <w:sz w:val="11"/>
                <w:szCs w:val="11"/>
                <w:color w:val="FFFFFF"/>
                <w:w w:val="95"/>
              </w:rPr>
              <w:t>GRANT DATE</w:t>
            </w:r>
          </w:p>
        </w:tc>
        <w:tc>
          <w:tcPr>
            <w:tcW w:w="0" w:type="dxa"/>
            <w:vAlign w:val="bottom"/>
          </w:tcPr>
          <w:p>
            <w:pPr>
              <w:spacing w:after="0"/>
              <w:rPr>
                <w:sz w:val="1"/>
                <w:szCs w:val="1"/>
                <w:color w:val="auto"/>
              </w:rPr>
            </w:pPr>
          </w:p>
        </w:tc>
      </w:tr>
      <w:tr>
        <w:trPr>
          <w:trHeight w:val="67"/>
        </w:trPr>
        <w:tc>
          <w:tcPr>
            <w:tcW w:w="4040" w:type="dxa"/>
            <w:vAlign w:val="bottom"/>
            <w:shd w:val="clear" w:color="auto" w:fill="351B3D"/>
          </w:tcPr>
          <w:p>
            <w:pPr>
              <w:spacing w:after="0"/>
              <w:rPr>
                <w:sz w:val="5"/>
                <w:szCs w:val="5"/>
                <w:color w:val="auto"/>
              </w:rPr>
            </w:pPr>
          </w:p>
        </w:tc>
        <w:tc>
          <w:tcPr>
            <w:tcW w:w="80" w:type="dxa"/>
            <w:vAlign w:val="bottom"/>
            <w:shd w:val="clear" w:color="auto" w:fill="351B3D"/>
          </w:tcPr>
          <w:p>
            <w:pPr>
              <w:spacing w:after="0"/>
              <w:rPr>
                <w:sz w:val="5"/>
                <w:szCs w:val="5"/>
                <w:color w:val="auto"/>
              </w:rPr>
            </w:pPr>
          </w:p>
        </w:tc>
        <w:tc>
          <w:tcPr>
            <w:tcW w:w="760" w:type="dxa"/>
            <w:vAlign w:val="bottom"/>
            <w:shd w:val="clear" w:color="auto" w:fill="351B3D"/>
          </w:tcPr>
          <w:p>
            <w:pPr>
              <w:spacing w:after="0"/>
              <w:rPr>
                <w:sz w:val="5"/>
                <w:szCs w:val="5"/>
                <w:color w:val="auto"/>
              </w:rPr>
            </w:pPr>
          </w:p>
        </w:tc>
        <w:tc>
          <w:tcPr>
            <w:tcW w:w="100" w:type="dxa"/>
            <w:vAlign w:val="bottom"/>
            <w:shd w:val="clear" w:color="auto" w:fill="351B3D"/>
          </w:tcPr>
          <w:p>
            <w:pPr>
              <w:spacing w:after="0"/>
              <w:rPr>
                <w:sz w:val="5"/>
                <w:szCs w:val="5"/>
                <w:color w:val="auto"/>
              </w:rPr>
            </w:pPr>
          </w:p>
        </w:tc>
        <w:tc>
          <w:tcPr>
            <w:tcW w:w="60" w:type="dxa"/>
            <w:vAlign w:val="bottom"/>
            <w:shd w:val="clear" w:color="auto" w:fill="351B3D"/>
          </w:tcPr>
          <w:p>
            <w:pPr>
              <w:spacing w:after="0"/>
              <w:rPr>
                <w:sz w:val="5"/>
                <w:szCs w:val="5"/>
                <w:color w:val="auto"/>
              </w:rPr>
            </w:pPr>
          </w:p>
        </w:tc>
        <w:tc>
          <w:tcPr>
            <w:tcW w:w="2160" w:type="dxa"/>
            <w:vAlign w:val="bottom"/>
            <w:gridSpan w:val="3"/>
            <w:vMerge w:val="continue"/>
            <w:shd w:val="clear" w:color="auto" w:fill="351B3D"/>
          </w:tcPr>
          <w:p>
            <w:pPr>
              <w:spacing w:after="0"/>
              <w:rPr>
                <w:sz w:val="5"/>
                <w:szCs w:val="5"/>
                <w:color w:val="auto"/>
              </w:rPr>
            </w:pPr>
          </w:p>
        </w:tc>
        <w:tc>
          <w:tcPr>
            <w:tcW w:w="2100" w:type="dxa"/>
            <w:vAlign w:val="bottom"/>
            <w:gridSpan w:val="3"/>
            <w:vMerge w:val="continue"/>
            <w:shd w:val="clear" w:color="auto" w:fill="351B3D"/>
          </w:tcPr>
          <w:p>
            <w:pPr>
              <w:spacing w:after="0"/>
              <w:rPr>
                <w:sz w:val="5"/>
                <w:szCs w:val="5"/>
                <w:color w:val="auto"/>
              </w:rPr>
            </w:pPr>
          </w:p>
        </w:tc>
        <w:tc>
          <w:tcPr>
            <w:tcW w:w="760" w:type="dxa"/>
            <w:vAlign w:val="bottom"/>
            <w:vMerge w:val="restart"/>
            <w:shd w:val="clear" w:color="auto" w:fill="351B3D"/>
          </w:tcPr>
          <w:p>
            <w:pPr>
              <w:jc w:val="center"/>
              <w:spacing w:after="0" w:line="121" w:lineRule="exact"/>
              <w:rPr>
                <w:sz w:val="20"/>
                <w:szCs w:val="20"/>
                <w:color w:val="auto"/>
              </w:rPr>
            </w:pPr>
            <w:r>
              <w:rPr>
                <w:rFonts w:ascii="Arial" w:cs="Arial" w:eastAsia="Arial" w:hAnsi="Arial"/>
                <w:sz w:val="11"/>
                <w:szCs w:val="11"/>
                <w:color w:val="FFFFFF"/>
                <w:w w:val="97"/>
              </w:rPr>
              <w:t>AWARDS:</w:t>
            </w:r>
          </w:p>
        </w:tc>
        <w:tc>
          <w:tcPr>
            <w:tcW w:w="860" w:type="dxa"/>
            <w:vAlign w:val="bottom"/>
            <w:vMerge w:val="continue"/>
            <w:shd w:val="clear" w:color="auto" w:fill="351B3D"/>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4040" w:type="dxa"/>
            <w:vAlign w:val="bottom"/>
            <w:vMerge w:val="restart"/>
            <w:shd w:val="clear" w:color="auto" w:fill="351B3D"/>
          </w:tcPr>
          <w:p>
            <w:pPr>
              <w:ind w:left="80"/>
              <w:spacing w:after="0"/>
              <w:rPr>
                <w:sz w:val="20"/>
                <w:szCs w:val="20"/>
                <w:color w:val="auto"/>
              </w:rPr>
            </w:pPr>
            <w:r>
              <w:rPr>
                <w:rFonts w:ascii="Arial" w:cs="Arial" w:eastAsia="Arial" w:hAnsi="Arial"/>
                <w:sz w:val="11"/>
                <w:szCs w:val="11"/>
                <w:color w:val="FFFFFF"/>
              </w:rPr>
              <w:t>NAMED EXECUTIVE</w:t>
            </w:r>
          </w:p>
        </w:tc>
        <w:tc>
          <w:tcPr>
            <w:tcW w:w="80" w:type="dxa"/>
            <w:vAlign w:val="bottom"/>
            <w:shd w:val="clear" w:color="auto" w:fill="351B3D"/>
          </w:tcPr>
          <w:p>
            <w:pPr>
              <w:spacing w:after="0"/>
              <w:rPr>
                <w:sz w:val="4"/>
                <w:szCs w:val="4"/>
                <w:color w:val="auto"/>
              </w:rPr>
            </w:pPr>
          </w:p>
        </w:tc>
        <w:tc>
          <w:tcPr>
            <w:tcW w:w="760" w:type="dxa"/>
            <w:vAlign w:val="bottom"/>
            <w:shd w:val="clear" w:color="auto" w:fill="351B3D"/>
          </w:tcPr>
          <w:p>
            <w:pPr>
              <w:spacing w:after="0"/>
              <w:rPr>
                <w:sz w:val="4"/>
                <w:szCs w:val="4"/>
                <w:color w:val="auto"/>
              </w:rPr>
            </w:pPr>
          </w:p>
        </w:tc>
        <w:tc>
          <w:tcPr>
            <w:tcW w:w="100" w:type="dxa"/>
            <w:vAlign w:val="bottom"/>
            <w:shd w:val="clear" w:color="auto" w:fill="351B3D"/>
          </w:tcPr>
          <w:p>
            <w:pPr>
              <w:spacing w:after="0"/>
              <w:rPr>
                <w:sz w:val="4"/>
                <w:szCs w:val="4"/>
                <w:color w:val="auto"/>
              </w:rPr>
            </w:pPr>
          </w:p>
        </w:tc>
        <w:tc>
          <w:tcPr>
            <w:tcW w:w="60" w:type="dxa"/>
            <w:vAlign w:val="bottom"/>
            <w:shd w:val="clear" w:color="auto" w:fill="351B3D"/>
          </w:tcPr>
          <w:p>
            <w:pPr>
              <w:spacing w:after="0"/>
              <w:rPr>
                <w:sz w:val="4"/>
                <w:szCs w:val="4"/>
                <w:color w:val="auto"/>
              </w:rPr>
            </w:pPr>
          </w:p>
        </w:tc>
        <w:tc>
          <w:tcPr>
            <w:tcW w:w="1460" w:type="dxa"/>
            <w:vAlign w:val="bottom"/>
            <w:gridSpan w:val="2"/>
            <w:vMerge w:val="restart"/>
            <w:shd w:val="clear" w:color="auto" w:fill="351B3D"/>
          </w:tcPr>
          <w:p>
            <w:pPr>
              <w:jc w:val="center"/>
              <w:ind w:left="607"/>
              <w:spacing w:after="0" w:line="121" w:lineRule="exact"/>
              <w:rPr>
                <w:sz w:val="20"/>
                <w:szCs w:val="20"/>
                <w:color w:val="auto"/>
              </w:rPr>
            </w:pPr>
            <w:r>
              <w:rPr>
                <w:rFonts w:ascii="Arial" w:cs="Arial" w:eastAsia="Arial" w:hAnsi="Arial"/>
                <w:sz w:val="11"/>
                <w:szCs w:val="11"/>
                <w:color w:val="FFFFFF"/>
                <w:w w:val="98"/>
              </w:rPr>
              <w:t>AWARDS ($) (1)</w:t>
            </w:r>
          </w:p>
        </w:tc>
        <w:tc>
          <w:tcPr>
            <w:tcW w:w="700" w:type="dxa"/>
            <w:vAlign w:val="bottom"/>
            <w:shd w:val="clear" w:color="auto" w:fill="351B3D"/>
          </w:tcPr>
          <w:p>
            <w:pPr>
              <w:spacing w:after="0"/>
              <w:rPr>
                <w:sz w:val="4"/>
                <w:szCs w:val="4"/>
                <w:color w:val="auto"/>
              </w:rPr>
            </w:pPr>
          </w:p>
        </w:tc>
        <w:tc>
          <w:tcPr>
            <w:tcW w:w="2100" w:type="dxa"/>
            <w:vAlign w:val="bottom"/>
            <w:gridSpan w:val="3"/>
            <w:vMerge w:val="restart"/>
            <w:shd w:val="clear" w:color="auto" w:fill="351B3D"/>
          </w:tcPr>
          <w:p>
            <w:pPr>
              <w:jc w:val="center"/>
              <w:spacing w:after="0" w:line="121" w:lineRule="exact"/>
              <w:rPr>
                <w:sz w:val="20"/>
                <w:szCs w:val="20"/>
                <w:color w:val="auto"/>
              </w:rPr>
            </w:pPr>
            <w:r>
              <w:rPr>
                <w:rFonts w:ascii="Arial" w:cs="Arial" w:eastAsia="Arial" w:hAnsi="Arial"/>
                <w:sz w:val="11"/>
                <w:szCs w:val="11"/>
                <w:color w:val="FFFFFF"/>
                <w:w w:val="95"/>
              </w:rPr>
              <w:t>INCENTIVE PLAN AWARDS (#)</w:t>
            </w:r>
          </w:p>
        </w:tc>
        <w:tc>
          <w:tcPr>
            <w:tcW w:w="760" w:type="dxa"/>
            <w:vAlign w:val="bottom"/>
            <w:vMerge w:val="continue"/>
            <w:shd w:val="clear" w:color="auto" w:fill="351B3D"/>
          </w:tcPr>
          <w:p>
            <w:pPr>
              <w:spacing w:after="0"/>
              <w:rPr>
                <w:sz w:val="4"/>
                <w:szCs w:val="4"/>
                <w:color w:val="auto"/>
              </w:rPr>
            </w:pPr>
          </w:p>
        </w:tc>
        <w:tc>
          <w:tcPr>
            <w:tcW w:w="860" w:type="dxa"/>
            <w:vAlign w:val="bottom"/>
            <w:vMerge w:val="restart"/>
            <w:shd w:val="clear" w:color="auto" w:fill="351B3D"/>
          </w:tcPr>
          <w:p>
            <w:pPr>
              <w:jc w:val="center"/>
              <w:spacing w:after="0" w:line="121" w:lineRule="exact"/>
              <w:rPr>
                <w:sz w:val="20"/>
                <w:szCs w:val="20"/>
                <w:color w:val="auto"/>
              </w:rPr>
            </w:pPr>
            <w:r>
              <w:rPr>
                <w:rFonts w:ascii="Arial" w:cs="Arial" w:eastAsia="Arial" w:hAnsi="Arial"/>
                <w:sz w:val="11"/>
                <w:szCs w:val="11"/>
                <w:color w:val="FFFFFF"/>
                <w:w w:val="93"/>
              </w:rPr>
              <w:t>FAIR VALUE</w:t>
            </w:r>
          </w:p>
        </w:tc>
        <w:tc>
          <w:tcPr>
            <w:tcW w:w="0" w:type="dxa"/>
            <w:vAlign w:val="bottom"/>
          </w:tcPr>
          <w:p>
            <w:pPr>
              <w:spacing w:after="0"/>
              <w:rPr>
                <w:sz w:val="1"/>
                <w:szCs w:val="1"/>
                <w:color w:val="auto"/>
              </w:rPr>
            </w:pPr>
          </w:p>
        </w:tc>
      </w:tr>
      <w:tr>
        <w:trPr>
          <w:trHeight w:val="67"/>
        </w:trPr>
        <w:tc>
          <w:tcPr>
            <w:tcW w:w="4040" w:type="dxa"/>
            <w:vAlign w:val="bottom"/>
            <w:vMerge w:val="continue"/>
            <w:shd w:val="clear" w:color="auto" w:fill="351B3D"/>
          </w:tcPr>
          <w:p>
            <w:pPr>
              <w:spacing w:after="0"/>
              <w:rPr>
                <w:sz w:val="5"/>
                <w:szCs w:val="5"/>
                <w:color w:val="auto"/>
              </w:rPr>
            </w:pPr>
          </w:p>
        </w:tc>
        <w:tc>
          <w:tcPr>
            <w:tcW w:w="80" w:type="dxa"/>
            <w:vAlign w:val="bottom"/>
            <w:shd w:val="clear" w:color="auto" w:fill="351B3D"/>
          </w:tcPr>
          <w:p>
            <w:pPr>
              <w:spacing w:after="0"/>
              <w:rPr>
                <w:sz w:val="5"/>
                <w:szCs w:val="5"/>
                <w:color w:val="auto"/>
              </w:rPr>
            </w:pPr>
          </w:p>
        </w:tc>
        <w:tc>
          <w:tcPr>
            <w:tcW w:w="860" w:type="dxa"/>
            <w:vAlign w:val="bottom"/>
            <w:gridSpan w:val="2"/>
            <w:vMerge w:val="restart"/>
            <w:shd w:val="clear" w:color="auto" w:fill="351B3D"/>
          </w:tcPr>
          <w:p>
            <w:pPr>
              <w:ind w:left="20"/>
              <w:spacing w:after="0"/>
              <w:rPr>
                <w:sz w:val="20"/>
                <w:szCs w:val="20"/>
                <w:color w:val="auto"/>
              </w:rPr>
            </w:pPr>
            <w:r>
              <w:rPr>
                <w:rFonts w:ascii="Arial" w:cs="Arial" w:eastAsia="Arial" w:hAnsi="Arial"/>
                <w:sz w:val="11"/>
                <w:szCs w:val="11"/>
                <w:color w:val="FFFFFF"/>
              </w:rPr>
              <w:t>GRANT DATE</w:t>
            </w:r>
          </w:p>
        </w:tc>
        <w:tc>
          <w:tcPr>
            <w:tcW w:w="60" w:type="dxa"/>
            <w:vAlign w:val="bottom"/>
            <w:shd w:val="clear" w:color="auto" w:fill="351B3D"/>
          </w:tcPr>
          <w:p>
            <w:pPr>
              <w:spacing w:after="0"/>
              <w:rPr>
                <w:sz w:val="5"/>
                <w:szCs w:val="5"/>
                <w:color w:val="auto"/>
              </w:rPr>
            </w:pPr>
          </w:p>
        </w:tc>
        <w:tc>
          <w:tcPr>
            <w:tcW w:w="1460" w:type="dxa"/>
            <w:vAlign w:val="bottom"/>
            <w:gridSpan w:val="2"/>
            <w:vMerge w:val="continue"/>
            <w:shd w:val="clear" w:color="auto" w:fill="351B3D"/>
          </w:tcPr>
          <w:p>
            <w:pPr>
              <w:spacing w:after="0"/>
              <w:rPr>
                <w:sz w:val="5"/>
                <w:szCs w:val="5"/>
                <w:color w:val="auto"/>
              </w:rPr>
            </w:pPr>
          </w:p>
        </w:tc>
        <w:tc>
          <w:tcPr>
            <w:tcW w:w="700" w:type="dxa"/>
            <w:vAlign w:val="bottom"/>
            <w:shd w:val="clear" w:color="auto" w:fill="351B3D"/>
          </w:tcPr>
          <w:p>
            <w:pPr>
              <w:spacing w:after="0"/>
              <w:rPr>
                <w:sz w:val="5"/>
                <w:szCs w:val="5"/>
                <w:color w:val="auto"/>
              </w:rPr>
            </w:pPr>
          </w:p>
        </w:tc>
        <w:tc>
          <w:tcPr>
            <w:tcW w:w="2100" w:type="dxa"/>
            <w:vAlign w:val="bottom"/>
            <w:gridSpan w:val="3"/>
            <w:vMerge w:val="continue"/>
            <w:shd w:val="clear" w:color="auto" w:fill="351B3D"/>
          </w:tcPr>
          <w:p>
            <w:pPr>
              <w:spacing w:after="0"/>
              <w:rPr>
                <w:sz w:val="5"/>
                <w:szCs w:val="5"/>
                <w:color w:val="auto"/>
              </w:rPr>
            </w:pPr>
          </w:p>
        </w:tc>
        <w:tc>
          <w:tcPr>
            <w:tcW w:w="760" w:type="dxa"/>
            <w:vAlign w:val="bottom"/>
            <w:vMerge w:val="restart"/>
            <w:shd w:val="clear" w:color="auto" w:fill="351B3D"/>
          </w:tcPr>
          <w:p>
            <w:pPr>
              <w:jc w:val="center"/>
              <w:spacing w:after="0"/>
              <w:rPr>
                <w:sz w:val="20"/>
                <w:szCs w:val="20"/>
                <w:color w:val="auto"/>
              </w:rPr>
            </w:pPr>
            <w:r>
              <w:rPr>
                <w:rFonts w:ascii="Arial" w:cs="Arial" w:eastAsia="Arial" w:hAnsi="Arial"/>
                <w:sz w:val="11"/>
                <w:szCs w:val="11"/>
                <w:color w:val="FFFFFF"/>
                <w:w w:val="99"/>
              </w:rPr>
              <w:t>NUMBER OF</w:t>
            </w:r>
          </w:p>
        </w:tc>
        <w:tc>
          <w:tcPr>
            <w:tcW w:w="860" w:type="dxa"/>
            <w:vAlign w:val="bottom"/>
            <w:vMerge w:val="continue"/>
            <w:shd w:val="clear" w:color="auto" w:fill="351B3D"/>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4040" w:type="dxa"/>
            <w:vAlign w:val="bottom"/>
            <w:vMerge w:val="continue"/>
            <w:shd w:val="clear" w:color="auto" w:fill="351B3D"/>
          </w:tcPr>
          <w:p>
            <w:pPr>
              <w:spacing w:after="0"/>
              <w:rPr>
                <w:sz w:val="5"/>
                <w:szCs w:val="5"/>
                <w:color w:val="auto"/>
              </w:rPr>
            </w:pPr>
          </w:p>
        </w:tc>
        <w:tc>
          <w:tcPr>
            <w:tcW w:w="80" w:type="dxa"/>
            <w:vAlign w:val="bottom"/>
            <w:shd w:val="clear" w:color="auto" w:fill="351B3D"/>
          </w:tcPr>
          <w:p>
            <w:pPr>
              <w:spacing w:after="0"/>
              <w:rPr>
                <w:sz w:val="5"/>
                <w:szCs w:val="5"/>
                <w:color w:val="auto"/>
              </w:rPr>
            </w:pPr>
          </w:p>
        </w:tc>
        <w:tc>
          <w:tcPr>
            <w:tcW w:w="860" w:type="dxa"/>
            <w:vAlign w:val="bottom"/>
            <w:gridSpan w:val="2"/>
            <w:vMerge w:val="continue"/>
            <w:shd w:val="clear" w:color="auto" w:fill="351B3D"/>
          </w:tcPr>
          <w:p>
            <w:pPr>
              <w:spacing w:after="0"/>
              <w:rPr>
                <w:sz w:val="5"/>
                <w:szCs w:val="5"/>
                <w:color w:val="auto"/>
              </w:rPr>
            </w:pPr>
          </w:p>
        </w:tc>
        <w:tc>
          <w:tcPr>
            <w:tcW w:w="60" w:type="dxa"/>
            <w:vAlign w:val="bottom"/>
            <w:shd w:val="clear" w:color="auto" w:fill="351B3D"/>
          </w:tcPr>
          <w:p>
            <w:pPr>
              <w:spacing w:after="0"/>
              <w:rPr>
                <w:sz w:val="5"/>
                <w:szCs w:val="5"/>
                <w:color w:val="auto"/>
              </w:rPr>
            </w:pPr>
          </w:p>
        </w:tc>
        <w:tc>
          <w:tcPr>
            <w:tcW w:w="720" w:type="dxa"/>
            <w:vAlign w:val="bottom"/>
            <w:shd w:val="clear" w:color="auto" w:fill="351B3D"/>
          </w:tcPr>
          <w:p>
            <w:pPr>
              <w:spacing w:after="0"/>
              <w:rPr>
                <w:sz w:val="5"/>
                <w:szCs w:val="5"/>
                <w:color w:val="auto"/>
              </w:rPr>
            </w:pPr>
          </w:p>
        </w:tc>
        <w:tc>
          <w:tcPr>
            <w:tcW w:w="740" w:type="dxa"/>
            <w:vAlign w:val="bottom"/>
            <w:shd w:val="clear" w:color="auto" w:fill="351B3D"/>
          </w:tcPr>
          <w:p>
            <w:pPr>
              <w:spacing w:after="0"/>
              <w:rPr>
                <w:sz w:val="5"/>
                <w:szCs w:val="5"/>
                <w:color w:val="auto"/>
              </w:rPr>
            </w:pPr>
          </w:p>
        </w:tc>
        <w:tc>
          <w:tcPr>
            <w:tcW w:w="700" w:type="dxa"/>
            <w:vAlign w:val="bottom"/>
            <w:shd w:val="clear" w:color="auto" w:fill="351B3D"/>
          </w:tcPr>
          <w:p>
            <w:pPr>
              <w:spacing w:after="0"/>
              <w:rPr>
                <w:sz w:val="5"/>
                <w:szCs w:val="5"/>
                <w:color w:val="auto"/>
              </w:rPr>
            </w:pPr>
          </w:p>
        </w:tc>
        <w:tc>
          <w:tcPr>
            <w:tcW w:w="760" w:type="dxa"/>
            <w:vAlign w:val="bottom"/>
            <w:shd w:val="clear" w:color="auto" w:fill="351B3D"/>
          </w:tcPr>
          <w:p>
            <w:pPr>
              <w:spacing w:after="0"/>
              <w:rPr>
                <w:sz w:val="5"/>
                <w:szCs w:val="5"/>
                <w:color w:val="auto"/>
              </w:rPr>
            </w:pPr>
          </w:p>
        </w:tc>
        <w:tc>
          <w:tcPr>
            <w:tcW w:w="680" w:type="dxa"/>
            <w:vAlign w:val="bottom"/>
            <w:shd w:val="clear" w:color="auto" w:fill="351B3D"/>
          </w:tcPr>
          <w:p>
            <w:pPr>
              <w:spacing w:after="0"/>
              <w:rPr>
                <w:sz w:val="5"/>
                <w:szCs w:val="5"/>
                <w:color w:val="auto"/>
              </w:rPr>
            </w:pPr>
          </w:p>
        </w:tc>
        <w:tc>
          <w:tcPr>
            <w:tcW w:w="660" w:type="dxa"/>
            <w:vAlign w:val="bottom"/>
            <w:shd w:val="clear" w:color="auto" w:fill="351B3D"/>
          </w:tcPr>
          <w:p>
            <w:pPr>
              <w:spacing w:after="0"/>
              <w:rPr>
                <w:sz w:val="5"/>
                <w:szCs w:val="5"/>
                <w:color w:val="auto"/>
              </w:rPr>
            </w:pPr>
          </w:p>
        </w:tc>
        <w:tc>
          <w:tcPr>
            <w:tcW w:w="760" w:type="dxa"/>
            <w:vAlign w:val="bottom"/>
            <w:vMerge w:val="continue"/>
            <w:shd w:val="clear" w:color="auto" w:fill="351B3D"/>
          </w:tcPr>
          <w:p>
            <w:pPr>
              <w:spacing w:after="0"/>
              <w:rPr>
                <w:sz w:val="5"/>
                <w:szCs w:val="5"/>
                <w:color w:val="auto"/>
              </w:rPr>
            </w:pPr>
          </w:p>
        </w:tc>
        <w:tc>
          <w:tcPr>
            <w:tcW w:w="860" w:type="dxa"/>
            <w:vAlign w:val="bottom"/>
            <w:vMerge w:val="restart"/>
            <w:shd w:val="clear" w:color="auto" w:fill="351B3D"/>
          </w:tcPr>
          <w:p>
            <w:pPr>
              <w:jc w:val="center"/>
              <w:spacing w:after="0"/>
              <w:rPr>
                <w:sz w:val="20"/>
                <w:szCs w:val="20"/>
                <w:color w:val="auto"/>
              </w:rPr>
            </w:pPr>
            <w:r>
              <w:rPr>
                <w:rFonts w:ascii="Arial" w:cs="Arial" w:eastAsia="Arial" w:hAnsi="Arial"/>
                <w:sz w:val="11"/>
                <w:szCs w:val="11"/>
                <w:color w:val="FFFFFF"/>
                <w:w w:val="99"/>
              </w:rPr>
              <w:t>OF STOCK</w:t>
            </w:r>
          </w:p>
        </w:tc>
        <w:tc>
          <w:tcPr>
            <w:tcW w:w="0" w:type="dxa"/>
            <w:vAlign w:val="bottom"/>
          </w:tcPr>
          <w:p>
            <w:pPr>
              <w:spacing w:after="0"/>
              <w:rPr>
                <w:sz w:val="1"/>
                <w:szCs w:val="1"/>
                <w:color w:val="auto"/>
              </w:rPr>
            </w:pPr>
          </w:p>
        </w:tc>
      </w:tr>
      <w:tr>
        <w:trPr>
          <w:trHeight w:val="67"/>
        </w:trPr>
        <w:tc>
          <w:tcPr>
            <w:tcW w:w="4040" w:type="dxa"/>
            <w:vAlign w:val="bottom"/>
            <w:shd w:val="clear" w:color="auto" w:fill="351B3D"/>
          </w:tcPr>
          <w:p>
            <w:pPr>
              <w:ind w:left="80"/>
              <w:spacing w:after="0" w:line="67" w:lineRule="exact"/>
              <w:rPr>
                <w:sz w:val="20"/>
                <w:szCs w:val="20"/>
                <w:color w:val="auto"/>
              </w:rPr>
            </w:pPr>
            <w:r>
              <w:rPr>
                <w:rFonts w:ascii="Arial" w:cs="Arial" w:eastAsia="Arial" w:hAnsi="Arial"/>
                <w:sz w:val="7"/>
                <w:szCs w:val="7"/>
                <w:color w:val="FFFFFF"/>
              </w:rPr>
              <w:t>OFFICER</w:t>
            </w:r>
          </w:p>
        </w:tc>
        <w:tc>
          <w:tcPr>
            <w:tcW w:w="80" w:type="dxa"/>
            <w:vAlign w:val="bottom"/>
            <w:shd w:val="clear" w:color="auto" w:fill="351B3D"/>
          </w:tcPr>
          <w:p>
            <w:pPr>
              <w:spacing w:after="0"/>
              <w:rPr>
                <w:sz w:val="5"/>
                <w:szCs w:val="5"/>
                <w:color w:val="auto"/>
              </w:rPr>
            </w:pPr>
          </w:p>
        </w:tc>
        <w:tc>
          <w:tcPr>
            <w:tcW w:w="760" w:type="dxa"/>
            <w:vAlign w:val="bottom"/>
            <w:shd w:val="clear" w:color="auto" w:fill="351B3D"/>
          </w:tcPr>
          <w:p>
            <w:pPr>
              <w:spacing w:after="0"/>
              <w:rPr>
                <w:sz w:val="5"/>
                <w:szCs w:val="5"/>
                <w:color w:val="auto"/>
              </w:rPr>
            </w:pPr>
          </w:p>
        </w:tc>
        <w:tc>
          <w:tcPr>
            <w:tcW w:w="100" w:type="dxa"/>
            <w:vAlign w:val="bottom"/>
            <w:shd w:val="clear" w:color="auto" w:fill="351B3D"/>
          </w:tcPr>
          <w:p>
            <w:pPr>
              <w:spacing w:after="0"/>
              <w:rPr>
                <w:sz w:val="5"/>
                <w:szCs w:val="5"/>
                <w:color w:val="auto"/>
              </w:rPr>
            </w:pPr>
          </w:p>
        </w:tc>
        <w:tc>
          <w:tcPr>
            <w:tcW w:w="60" w:type="dxa"/>
            <w:vAlign w:val="bottom"/>
            <w:shd w:val="clear" w:color="auto" w:fill="351B3D"/>
          </w:tcPr>
          <w:p>
            <w:pPr>
              <w:spacing w:after="0"/>
              <w:rPr>
                <w:sz w:val="5"/>
                <w:szCs w:val="5"/>
                <w:color w:val="auto"/>
              </w:rPr>
            </w:pPr>
          </w:p>
        </w:tc>
        <w:tc>
          <w:tcPr>
            <w:tcW w:w="720" w:type="dxa"/>
            <w:vAlign w:val="bottom"/>
            <w:shd w:val="clear" w:color="auto" w:fill="351B3D"/>
          </w:tcPr>
          <w:p>
            <w:pPr>
              <w:spacing w:after="0"/>
              <w:rPr>
                <w:sz w:val="5"/>
                <w:szCs w:val="5"/>
                <w:color w:val="auto"/>
              </w:rPr>
            </w:pPr>
          </w:p>
        </w:tc>
        <w:tc>
          <w:tcPr>
            <w:tcW w:w="740" w:type="dxa"/>
            <w:vAlign w:val="bottom"/>
            <w:shd w:val="clear" w:color="auto" w:fill="351B3D"/>
          </w:tcPr>
          <w:p>
            <w:pPr>
              <w:spacing w:after="0"/>
              <w:rPr>
                <w:sz w:val="5"/>
                <w:szCs w:val="5"/>
                <w:color w:val="auto"/>
              </w:rPr>
            </w:pPr>
          </w:p>
        </w:tc>
        <w:tc>
          <w:tcPr>
            <w:tcW w:w="700" w:type="dxa"/>
            <w:vAlign w:val="bottom"/>
            <w:shd w:val="clear" w:color="auto" w:fill="351B3D"/>
          </w:tcPr>
          <w:p>
            <w:pPr>
              <w:spacing w:after="0"/>
              <w:rPr>
                <w:sz w:val="5"/>
                <w:szCs w:val="5"/>
                <w:color w:val="auto"/>
              </w:rPr>
            </w:pPr>
          </w:p>
        </w:tc>
        <w:tc>
          <w:tcPr>
            <w:tcW w:w="760" w:type="dxa"/>
            <w:vAlign w:val="bottom"/>
            <w:shd w:val="clear" w:color="auto" w:fill="351B3D"/>
          </w:tcPr>
          <w:p>
            <w:pPr>
              <w:spacing w:after="0"/>
              <w:rPr>
                <w:sz w:val="5"/>
                <w:szCs w:val="5"/>
                <w:color w:val="auto"/>
              </w:rPr>
            </w:pPr>
          </w:p>
        </w:tc>
        <w:tc>
          <w:tcPr>
            <w:tcW w:w="680" w:type="dxa"/>
            <w:vAlign w:val="bottom"/>
            <w:shd w:val="clear" w:color="auto" w:fill="351B3D"/>
          </w:tcPr>
          <w:p>
            <w:pPr>
              <w:spacing w:after="0"/>
              <w:rPr>
                <w:sz w:val="5"/>
                <w:szCs w:val="5"/>
                <w:color w:val="auto"/>
              </w:rPr>
            </w:pPr>
          </w:p>
        </w:tc>
        <w:tc>
          <w:tcPr>
            <w:tcW w:w="660" w:type="dxa"/>
            <w:vAlign w:val="bottom"/>
            <w:shd w:val="clear" w:color="auto" w:fill="351B3D"/>
          </w:tcPr>
          <w:p>
            <w:pPr>
              <w:spacing w:after="0"/>
              <w:rPr>
                <w:sz w:val="5"/>
                <w:szCs w:val="5"/>
                <w:color w:val="auto"/>
              </w:rPr>
            </w:pPr>
          </w:p>
        </w:tc>
        <w:tc>
          <w:tcPr>
            <w:tcW w:w="760" w:type="dxa"/>
            <w:vAlign w:val="bottom"/>
            <w:vMerge w:val="restart"/>
            <w:shd w:val="clear" w:color="auto" w:fill="351B3D"/>
          </w:tcPr>
          <w:p>
            <w:pPr>
              <w:jc w:val="center"/>
              <w:spacing w:after="0"/>
              <w:rPr>
                <w:sz w:val="20"/>
                <w:szCs w:val="20"/>
                <w:color w:val="auto"/>
              </w:rPr>
            </w:pPr>
            <w:r>
              <w:rPr>
                <w:rFonts w:ascii="Arial" w:cs="Arial" w:eastAsia="Arial" w:hAnsi="Arial"/>
                <w:sz w:val="11"/>
                <w:szCs w:val="11"/>
                <w:color w:val="FFFFFF"/>
                <w:w w:val="97"/>
              </w:rPr>
              <w:t>SHARES OF</w:t>
            </w:r>
          </w:p>
        </w:tc>
        <w:tc>
          <w:tcPr>
            <w:tcW w:w="860" w:type="dxa"/>
            <w:vAlign w:val="bottom"/>
            <w:vMerge w:val="continue"/>
            <w:shd w:val="clear" w:color="auto" w:fill="351B3D"/>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4040" w:type="dxa"/>
            <w:vAlign w:val="bottom"/>
            <w:shd w:val="clear" w:color="auto" w:fill="351B3D"/>
          </w:tcPr>
          <w:p>
            <w:pPr>
              <w:spacing w:after="0"/>
              <w:rPr>
                <w:sz w:val="8"/>
                <w:szCs w:val="8"/>
                <w:color w:val="auto"/>
              </w:rPr>
            </w:pPr>
          </w:p>
        </w:tc>
        <w:tc>
          <w:tcPr>
            <w:tcW w:w="80" w:type="dxa"/>
            <w:vAlign w:val="bottom"/>
            <w:shd w:val="clear" w:color="auto" w:fill="351B3D"/>
          </w:tcPr>
          <w:p>
            <w:pPr>
              <w:spacing w:after="0"/>
              <w:rPr>
                <w:sz w:val="8"/>
                <w:szCs w:val="8"/>
                <w:color w:val="auto"/>
              </w:rPr>
            </w:pPr>
          </w:p>
        </w:tc>
        <w:tc>
          <w:tcPr>
            <w:tcW w:w="760" w:type="dxa"/>
            <w:vAlign w:val="bottom"/>
            <w:shd w:val="clear" w:color="auto" w:fill="351B3D"/>
          </w:tcPr>
          <w:p>
            <w:pPr>
              <w:spacing w:after="0"/>
              <w:rPr>
                <w:sz w:val="8"/>
                <w:szCs w:val="8"/>
                <w:color w:val="auto"/>
              </w:rPr>
            </w:pPr>
          </w:p>
        </w:tc>
        <w:tc>
          <w:tcPr>
            <w:tcW w:w="100" w:type="dxa"/>
            <w:vAlign w:val="bottom"/>
            <w:shd w:val="clear" w:color="auto" w:fill="351B3D"/>
          </w:tcPr>
          <w:p>
            <w:pPr>
              <w:spacing w:after="0"/>
              <w:rPr>
                <w:sz w:val="8"/>
                <w:szCs w:val="8"/>
                <w:color w:val="auto"/>
              </w:rPr>
            </w:pPr>
          </w:p>
        </w:tc>
        <w:tc>
          <w:tcPr>
            <w:tcW w:w="60" w:type="dxa"/>
            <w:vAlign w:val="bottom"/>
            <w:shd w:val="clear" w:color="auto" w:fill="351B3D"/>
          </w:tcPr>
          <w:p>
            <w:pPr>
              <w:spacing w:after="0"/>
              <w:rPr>
                <w:sz w:val="8"/>
                <w:szCs w:val="8"/>
                <w:color w:val="auto"/>
              </w:rPr>
            </w:pPr>
          </w:p>
        </w:tc>
        <w:tc>
          <w:tcPr>
            <w:tcW w:w="720" w:type="dxa"/>
            <w:vAlign w:val="bottom"/>
            <w:vMerge w:val="restart"/>
            <w:shd w:val="clear" w:color="auto" w:fill="351B3D"/>
          </w:tcPr>
          <w:p>
            <w:pPr>
              <w:ind w:left="20"/>
              <w:spacing w:after="0"/>
              <w:rPr>
                <w:sz w:val="20"/>
                <w:szCs w:val="20"/>
                <w:color w:val="auto"/>
              </w:rPr>
            </w:pPr>
            <w:r>
              <w:rPr>
                <w:rFonts w:ascii="Arial" w:cs="Arial" w:eastAsia="Arial" w:hAnsi="Arial"/>
                <w:sz w:val="11"/>
                <w:szCs w:val="11"/>
                <w:color w:val="FFFFFF"/>
              </w:rPr>
              <w:t>THRESHOLD</w:t>
            </w:r>
          </w:p>
        </w:tc>
        <w:tc>
          <w:tcPr>
            <w:tcW w:w="740" w:type="dxa"/>
            <w:vAlign w:val="bottom"/>
            <w:vMerge w:val="restart"/>
            <w:shd w:val="clear" w:color="auto" w:fill="351B3D"/>
          </w:tcPr>
          <w:p>
            <w:pPr>
              <w:jc w:val="center"/>
              <w:spacing w:after="0"/>
              <w:rPr>
                <w:sz w:val="20"/>
                <w:szCs w:val="20"/>
                <w:color w:val="auto"/>
              </w:rPr>
            </w:pPr>
            <w:r>
              <w:rPr>
                <w:rFonts w:ascii="Arial" w:cs="Arial" w:eastAsia="Arial" w:hAnsi="Arial"/>
                <w:sz w:val="11"/>
                <w:szCs w:val="11"/>
                <w:color w:val="FFFFFF"/>
                <w:w w:val="94"/>
              </w:rPr>
              <w:t>TARGET</w:t>
            </w:r>
          </w:p>
        </w:tc>
        <w:tc>
          <w:tcPr>
            <w:tcW w:w="700" w:type="dxa"/>
            <w:vAlign w:val="bottom"/>
            <w:vMerge w:val="restart"/>
            <w:shd w:val="clear" w:color="auto" w:fill="351B3D"/>
          </w:tcPr>
          <w:p>
            <w:pPr>
              <w:ind w:left="60"/>
              <w:spacing w:after="0"/>
              <w:rPr>
                <w:sz w:val="20"/>
                <w:szCs w:val="20"/>
                <w:color w:val="auto"/>
              </w:rPr>
            </w:pPr>
            <w:r>
              <w:rPr>
                <w:rFonts w:ascii="Arial" w:cs="Arial" w:eastAsia="Arial" w:hAnsi="Arial"/>
                <w:sz w:val="11"/>
                <w:szCs w:val="11"/>
                <w:color w:val="FFFFFF"/>
              </w:rPr>
              <w:t>MAXIMUM</w:t>
            </w:r>
          </w:p>
        </w:tc>
        <w:tc>
          <w:tcPr>
            <w:tcW w:w="760" w:type="dxa"/>
            <w:vAlign w:val="bottom"/>
            <w:vMerge w:val="restart"/>
            <w:shd w:val="clear" w:color="auto" w:fill="351B3D"/>
          </w:tcPr>
          <w:p>
            <w:pPr>
              <w:ind w:left="40"/>
              <w:spacing w:after="0"/>
              <w:rPr>
                <w:sz w:val="20"/>
                <w:szCs w:val="20"/>
                <w:color w:val="auto"/>
              </w:rPr>
            </w:pPr>
            <w:r>
              <w:rPr>
                <w:rFonts w:ascii="Arial" w:cs="Arial" w:eastAsia="Arial" w:hAnsi="Arial"/>
                <w:sz w:val="11"/>
                <w:szCs w:val="11"/>
                <w:color w:val="FFFFFF"/>
              </w:rPr>
              <w:t>THRESHOLD</w:t>
            </w:r>
          </w:p>
        </w:tc>
        <w:tc>
          <w:tcPr>
            <w:tcW w:w="680" w:type="dxa"/>
            <w:vAlign w:val="bottom"/>
            <w:vMerge w:val="restart"/>
            <w:shd w:val="clear" w:color="auto" w:fill="351B3D"/>
          </w:tcPr>
          <w:p>
            <w:pPr>
              <w:ind w:left="120"/>
              <w:spacing w:after="0"/>
              <w:rPr>
                <w:sz w:val="20"/>
                <w:szCs w:val="20"/>
                <w:color w:val="auto"/>
              </w:rPr>
            </w:pPr>
            <w:r>
              <w:rPr>
                <w:rFonts w:ascii="Arial" w:cs="Arial" w:eastAsia="Arial" w:hAnsi="Arial"/>
                <w:sz w:val="11"/>
                <w:szCs w:val="11"/>
                <w:color w:val="FFFFFF"/>
              </w:rPr>
              <w:t>TARGET</w:t>
            </w:r>
          </w:p>
        </w:tc>
        <w:tc>
          <w:tcPr>
            <w:tcW w:w="660" w:type="dxa"/>
            <w:vAlign w:val="bottom"/>
            <w:vMerge w:val="restart"/>
            <w:shd w:val="clear" w:color="auto" w:fill="351B3D"/>
          </w:tcPr>
          <w:p>
            <w:pPr>
              <w:ind w:left="80"/>
              <w:spacing w:after="0"/>
              <w:rPr>
                <w:sz w:val="20"/>
                <w:szCs w:val="20"/>
                <w:color w:val="auto"/>
              </w:rPr>
            </w:pPr>
            <w:r>
              <w:rPr>
                <w:rFonts w:ascii="Arial" w:cs="Arial" w:eastAsia="Arial" w:hAnsi="Arial"/>
                <w:sz w:val="11"/>
                <w:szCs w:val="11"/>
                <w:color w:val="FFFFFF"/>
              </w:rPr>
              <w:t>MAXIMUM</w:t>
            </w:r>
          </w:p>
        </w:tc>
        <w:tc>
          <w:tcPr>
            <w:tcW w:w="760" w:type="dxa"/>
            <w:vAlign w:val="bottom"/>
            <w:vMerge w:val="continue"/>
            <w:shd w:val="clear" w:color="auto" w:fill="351B3D"/>
          </w:tcPr>
          <w:p>
            <w:pPr>
              <w:spacing w:after="0"/>
              <w:rPr>
                <w:sz w:val="8"/>
                <w:szCs w:val="8"/>
                <w:color w:val="auto"/>
              </w:rPr>
            </w:pPr>
          </w:p>
        </w:tc>
        <w:tc>
          <w:tcPr>
            <w:tcW w:w="860" w:type="dxa"/>
            <w:vAlign w:val="bottom"/>
            <w:shd w:val="clear" w:color="auto" w:fill="351B3D"/>
          </w:tcPr>
          <w:p>
            <w:pPr>
              <w:jc w:val="center"/>
              <w:spacing w:after="0" w:line="94" w:lineRule="exact"/>
              <w:rPr>
                <w:sz w:val="20"/>
                <w:szCs w:val="20"/>
                <w:color w:val="auto"/>
              </w:rPr>
            </w:pPr>
            <w:r>
              <w:rPr>
                <w:rFonts w:ascii="Arial" w:cs="Arial" w:eastAsia="Arial" w:hAnsi="Arial"/>
                <w:sz w:val="10"/>
                <w:szCs w:val="10"/>
                <w:color w:val="FFFFFF"/>
              </w:rPr>
              <w:t>AWARDS ($) (2)</w:t>
            </w:r>
          </w:p>
        </w:tc>
        <w:tc>
          <w:tcPr>
            <w:tcW w:w="0" w:type="dxa"/>
            <w:vAlign w:val="bottom"/>
          </w:tcPr>
          <w:p>
            <w:pPr>
              <w:spacing w:after="0"/>
              <w:rPr>
                <w:sz w:val="1"/>
                <w:szCs w:val="1"/>
                <w:color w:val="auto"/>
              </w:rPr>
            </w:pPr>
          </w:p>
        </w:tc>
      </w:tr>
      <w:tr>
        <w:trPr>
          <w:trHeight w:val="54"/>
        </w:trPr>
        <w:tc>
          <w:tcPr>
            <w:tcW w:w="4040" w:type="dxa"/>
            <w:vAlign w:val="bottom"/>
            <w:shd w:val="clear" w:color="auto" w:fill="351B3D"/>
          </w:tcPr>
          <w:p>
            <w:pPr>
              <w:spacing w:after="0"/>
              <w:rPr>
                <w:sz w:val="4"/>
                <w:szCs w:val="4"/>
                <w:color w:val="auto"/>
              </w:rPr>
            </w:pPr>
          </w:p>
        </w:tc>
        <w:tc>
          <w:tcPr>
            <w:tcW w:w="80" w:type="dxa"/>
            <w:vAlign w:val="bottom"/>
            <w:shd w:val="clear" w:color="auto" w:fill="351B3D"/>
          </w:tcPr>
          <w:p>
            <w:pPr>
              <w:spacing w:after="0"/>
              <w:rPr>
                <w:sz w:val="4"/>
                <w:szCs w:val="4"/>
                <w:color w:val="auto"/>
              </w:rPr>
            </w:pPr>
          </w:p>
        </w:tc>
        <w:tc>
          <w:tcPr>
            <w:tcW w:w="760" w:type="dxa"/>
            <w:vAlign w:val="bottom"/>
            <w:shd w:val="clear" w:color="auto" w:fill="351B3D"/>
          </w:tcPr>
          <w:p>
            <w:pPr>
              <w:spacing w:after="0"/>
              <w:rPr>
                <w:sz w:val="4"/>
                <w:szCs w:val="4"/>
                <w:color w:val="auto"/>
              </w:rPr>
            </w:pPr>
          </w:p>
        </w:tc>
        <w:tc>
          <w:tcPr>
            <w:tcW w:w="100" w:type="dxa"/>
            <w:vAlign w:val="bottom"/>
            <w:shd w:val="clear" w:color="auto" w:fill="351B3D"/>
          </w:tcPr>
          <w:p>
            <w:pPr>
              <w:spacing w:after="0"/>
              <w:rPr>
                <w:sz w:val="4"/>
                <w:szCs w:val="4"/>
                <w:color w:val="auto"/>
              </w:rPr>
            </w:pPr>
          </w:p>
        </w:tc>
        <w:tc>
          <w:tcPr>
            <w:tcW w:w="60" w:type="dxa"/>
            <w:vAlign w:val="bottom"/>
            <w:shd w:val="clear" w:color="auto" w:fill="351B3D"/>
          </w:tcPr>
          <w:p>
            <w:pPr>
              <w:spacing w:after="0"/>
              <w:rPr>
                <w:sz w:val="4"/>
                <w:szCs w:val="4"/>
                <w:color w:val="auto"/>
              </w:rPr>
            </w:pPr>
          </w:p>
        </w:tc>
        <w:tc>
          <w:tcPr>
            <w:tcW w:w="720" w:type="dxa"/>
            <w:vAlign w:val="bottom"/>
            <w:vMerge w:val="continue"/>
            <w:shd w:val="clear" w:color="auto" w:fill="351B3D"/>
          </w:tcPr>
          <w:p>
            <w:pPr>
              <w:spacing w:after="0"/>
              <w:rPr>
                <w:sz w:val="4"/>
                <w:szCs w:val="4"/>
                <w:color w:val="auto"/>
              </w:rPr>
            </w:pPr>
          </w:p>
        </w:tc>
        <w:tc>
          <w:tcPr>
            <w:tcW w:w="740" w:type="dxa"/>
            <w:vAlign w:val="bottom"/>
            <w:vMerge w:val="continue"/>
            <w:shd w:val="clear" w:color="auto" w:fill="351B3D"/>
          </w:tcPr>
          <w:p>
            <w:pPr>
              <w:spacing w:after="0"/>
              <w:rPr>
                <w:sz w:val="4"/>
                <w:szCs w:val="4"/>
                <w:color w:val="auto"/>
              </w:rPr>
            </w:pPr>
          </w:p>
        </w:tc>
        <w:tc>
          <w:tcPr>
            <w:tcW w:w="700" w:type="dxa"/>
            <w:vAlign w:val="bottom"/>
            <w:vMerge w:val="continue"/>
            <w:shd w:val="clear" w:color="auto" w:fill="351B3D"/>
          </w:tcPr>
          <w:p>
            <w:pPr>
              <w:spacing w:after="0"/>
              <w:rPr>
                <w:sz w:val="4"/>
                <w:szCs w:val="4"/>
                <w:color w:val="auto"/>
              </w:rPr>
            </w:pPr>
          </w:p>
        </w:tc>
        <w:tc>
          <w:tcPr>
            <w:tcW w:w="760" w:type="dxa"/>
            <w:vAlign w:val="bottom"/>
            <w:vMerge w:val="continue"/>
            <w:shd w:val="clear" w:color="auto" w:fill="351B3D"/>
          </w:tcPr>
          <w:p>
            <w:pPr>
              <w:spacing w:after="0"/>
              <w:rPr>
                <w:sz w:val="4"/>
                <w:szCs w:val="4"/>
                <w:color w:val="auto"/>
              </w:rPr>
            </w:pPr>
          </w:p>
        </w:tc>
        <w:tc>
          <w:tcPr>
            <w:tcW w:w="680" w:type="dxa"/>
            <w:vAlign w:val="bottom"/>
            <w:vMerge w:val="continue"/>
            <w:shd w:val="clear" w:color="auto" w:fill="351B3D"/>
          </w:tcPr>
          <w:p>
            <w:pPr>
              <w:spacing w:after="0"/>
              <w:rPr>
                <w:sz w:val="4"/>
                <w:szCs w:val="4"/>
                <w:color w:val="auto"/>
              </w:rPr>
            </w:pPr>
          </w:p>
        </w:tc>
        <w:tc>
          <w:tcPr>
            <w:tcW w:w="660" w:type="dxa"/>
            <w:vAlign w:val="bottom"/>
            <w:vMerge w:val="continue"/>
            <w:shd w:val="clear" w:color="auto" w:fill="351B3D"/>
          </w:tcPr>
          <w:p>
            <w:pPr>
              <w:spacing w:after="0"/>
              <w:rPr>
                <w:sz w:val="4"/>
                <w:szCs w:val="4"/>
                <w:color w:val="auto"/>
              </w:rPr>
            </w:pPr>
          </w:p>
        </w:tc>
        <w:tc>
          <w:tcPr>
            <w:tcW w:w="760" w:type="dxa"/>
            <w:vAlign w:val="bottom"/>
            <w:shd w:val="clear" w:color="auto" w:fill="351B3D"/>
          </w:tcPr>
          <w:p>
            <w:pPr>
              <w:jc w:val="center"/>
              <w:spacing w:after="0" w:line="54" w:lineRule="exact"/>
              <w:rPr>
                <w:sz w:val="20"/>
                <w:szCs w:val="20"/>
                <w:color w:val="auto"/>
              </w:rPr>
            </w:pPr>
            <w:r>
              <w:rPr>
                <w:rFonts w:ascii="Arial" w:cs="Arial" w:eastAsia="Arial" w:hAnsi="Arial"/>
                <w:sz w:val="6"/>
                <w:szCs w:val="6"/>
                <w:color w:val="FFFFFF"/>
              </w:rPr>
              <w:t>STOCK OR</w:t>
            </w:r>
          </w:p>
        </w:tc>
        <w:tc>
          <w:tcPr>
            <w:tcW w:w="860" w:type="dxa"/>
            <w:vAlign w:val="bottom"/>
            <w:shd w:val="clear" w:color="auto" w:fill="351B3D"/>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4040" w:type="dxa"/>
            <w:vAlign w:val="bottom"/>
            <w:tcBorders>
              <w:bottom w:val="single" w:sz="8" w:color="351B3D"/>
            </w:tcBorders>
            <w:shd w:val="clear" w:color="auto" w:fill="351B3D"/>
          </w:tcPr>
          <w:p>
            <w:pPr>
              <w:spacing w:after="0"/>
              <w:rPr>
                <w:sz w:val="15"/>
                <w:szCs w:val="15"/>
                <w:color w:val="auto"/>
              </w:rPr>
            </w:pPr>
          </w:p>
        </w:tc>
        <w:tc>
          <w:tcPr>
            <w:tcW w:w="80" w:type="dxa"/>
            <w:vAlign w:val="bottom"/>
            <w:tcBorders>
              <w:bottom w:val="single" w:sz="8" w:color="351B3D"/>
            </w:tcBorders>
            <w:shd w:val="clear" w:color="auto" w:fill="351B3D"/>
          </w:tcPr>
          <w:p>
            <w:pPr>
              <w:spacing w:after="0"/>
              <w:rPr>
                <w:sz w:val="15"/>
                <w:szCs w:val="15"/>
                <w:color w:val="auto"/>
              </w:rPr>
            </w:pPr>
          </w:p>
        </w:tc>
        <w:tc>
          <w:tcPr>
            <w:tcW w:w="760" w:type="dxa"/>
            <w:vAlign w:val="bottom"/>
            <w:tcBorders>
              <w:bottom w:val="single" w:sz="8" w:color="351B3D"/>
            </w:tcBorders>
            <w:shd w:val="clear" w:color="auto" w:fill="351B3D"/>
          </w:tcPr>
          <w:p>
            <w:pPr>
              <w:spacing w:after="0"/>
              <w:rPr>
                <w:sz w:val="15"/>
                <w:szCs w:val="15"/>
                <w:color w:val="auto"/>
              </w:rPr>
            </w:pPr>
          </w:p>
        </w:tc>
        <w:tc>
          <w:tcPr>
            <w:tcW w:w="100" w:type="dxa"/>
            <w:vAlign w:val="bottom"/>
            <w:tcBorders>
              <w:bottom w:val="single" w:sz="8" w:color="351B3D"/>
            </w:tcBorders>
            <w:shd w:val="clear" w:color="auto" w:fill="351B3D"/>
          </w:tcPr>
          <w:p>
            <w:pPr>
              <w:spacing w:after="0"/>
              <w:rPr>
                <w:sz w:val="15"/>
                <w:szCs w:val="15"/>
                <w:color w:val="auto"/>
              </w:rPr>
            </w:pPr>
          </w:p>
        </w:tc>
        <w:tc>
          <w:tcPr>
            <w:tcW w:w="60" w:type="dxa"/>
            <w:vAlign w:val="bottom"/>
            <w:tcBorders>
              <w:bottom w:val="single" w:sz="8" w:color="351B3D"/>
            </w:tcBorders>
            <w:shd w:val="clear" w:color="auto" w:fill="351B3D"/>
          </w:tcPr>
          <w:p>
            <w:pPr>
              <w:spacing w:after="0"/>
              <w:rPr>
                <w:sz w:val="15"/>
                <w:szCs w:val="15"/>
                <w:color w:val="auto"/>
              </w:rPr>
            </w:pPr>
          </w:p>
        </w:tc>
        <w:tc>
          <w:tcPr>
            <w:tcW w:w="720" w:type="dxa"/>
            <w:vAlign w:val="bottom"/>
            <w:tcBorders>
              <w:bottom w:val="single" w:sz="8" w:color="351B3D"/>
            </w:tcBorders>
            <w:shd w:val="clear" w:color="auto" w:fill="351B3D"/>
          </w:tcPr>
          <w:p>
            <w:pPr>
              <w:jc w:val="center"/>
              <w:spacing w:after="0"/>
              <w:rPr>
                <w:sz w:val="20"/>
                <w:szCs w:val="20"/>
                <w:color w:val="auto"/>
              </w:rPr>
            </w:pPr>
            <w:r>
              <w:rPr>
                <w:rFonts w:ascii="Arial" w:cs="Arial" w:eastAsia="Arial" w:hAnsi="Arial"/>
                <w:sz w:val="11"/>
                <w:szCs w:val="11"/>
                <w:color w:val="FFFFFF"/>
                <w:w w:val="88"/>
              </w:rPr>
              <w:t>($)</w:t>
            </w:r>
          </w:p>
        </w:tc>
        <w:tc>
          <w:tcPr>
            <w:tcW w:w="740" w:type="dxa"/>
            <w:vAlign w:val="bottom"/>
            <w:tcBorders>
              <w:bottom w:val="single" w:sz="8" w:color="351B3D"/>
            </w:tcBorders>
            <w:shd w:val="clear" w:color="auto" w:fill="351B3D"/>
          </w:tcPr>
          <w:p>
            <w:pPr>
              <w:jc w:val="center"/>
              <w:spacing w:after="0"/>
              <w:rPr>
                <w:sz w:val="20"/>
                <w:szCs w:val="20"/>
                <w:color w:val="auto"/>
              </w:rPr>
            </w:pPr>
            <w:r>
              <w:rPr>
                <w:rFonts w:ascii="Arial" w:cs="Arial" w:eastAsia="Arial" w:hAnsi="Arial"/>
                <w:sz w:val="11"/>
                <w:szCs w:val="11"/>
                <w:color w:val="FFFFFF"/>
              </w:rPr>
              <w:t>($)</w:t>
            </w:r>
          </w:p>
        </w:tc>
        <w:tc>
          <w:tcPr>
            <w:tcW w:w="700" w:type="dxa"/>
            <w:vAlign w:val="bottom"/>
            <w:tcBorders>
              <w:bottom w:val="single" w:sz="8" w:color="351B3D"/>
            </w:tcBorders>
            <w:shd w:val="clear" w:color="auto" w:fill="351B3D"/>
          </w:tcPr>
          <w:p>
            <w:pPr>
              <w:jc w:val="center"/>
              <w:spacing w:after="0"/>
              <w:rPr>
                <w:sz w:val="20"/>
                <w:szCs w:val="20"/>
                <w:color w:val="auto"/>
              </w:rPr>
            </w:pPr>
            <w:r>
              <w:rPr>
                <w:rFonts w:ascii="Arial" w:cs="Arial" w:eastAsia="Arial" w:hAnsi="Arial"/>
                <w:sz w:val="11"/>
                <w:szCs w:val="11"/>
                <w:color w:val="FFFFFF"/>
              </w:rPr>
              <w:t>($)</w:t>
            </w:r>
          </w:p>
        </w:tc>
        <w:tc>
          <w:tcPr>
            <w:tcW w:w="760" w:type="dxa"/>
            <w:vAlign w:val="bottom"/>
            <w:tcBorders>
              <w:bottom w:val="single" w:sz="8" w:color="351B3D"/>
            </w:tcBorders>
            <w:shd w:val="clear" w:color="auto" w:fill="351B3D"/>
          </w:tcPr>
          <w:p>
            <w:pPr>
              <w:jc w:val="center"/>
              <w:spacing w:after="0"/>
              <w:rPr>
                <w:sz w:val="20"/>
                <w:szCs w:val="20"/>
                <w:color w:val="auto"/>
              </w:rPr>
            </w:pPr>
            <w:r>
              <w:rPr>
                <w:rFonts w:ascii="Arial" w:cs="Arial" w:eastAsia="Arial" w:hAnsi="Arial"/>
                <w:sz w:val="11"/>
                <w:szCs w:val="11"/>
                <w:color w:val="FFFFFF"/>
                <w:w w:val="88"/>
              </w:rPr>
              <w:t>(#)</w:t>
            </w:r>
          </w:p>
        </w:tc>
        <w:tc>
          <w:tcPr>
            <w:tcW w:w="680" w:type="dxa"/>
            <w:vAlign w:val="bottom"/>
            <w:tcBorders>
              <w:bottom w:val="single" w:sz="8" w:color="351B3D"/>
            </w:tcBorders>
            <w:shd w:val="clear" w:color="auto" w:fill="351B3D"/>
          </w:tcPr>
          <w:p>
            <w:pPr>
              <w:jc w:val="center"/>
              <w:spacing w:after="0"/>
              <w:rPr>
                <w:sz w:val="20"/>
                <w:szCs w:val="20"/>
                <w:color w:val="auto"/>
              </w:rPr>
            </w:pPr>
            <w:r>
              <w:rPr>
                <w:rFonts w:ascii="Arial" w:cs="Arial" w:eastAsia="Arial" w:hAnsi="Arial"/>
                <w:sz w:val="11"/>
                <w:szCs w:val="11"/>
                <w:color w:val="FFFFFF"/>
                <w:w w:val="88"/>
              </w:rPr>
              <w:t>(#)</w:t>
            </w:r>
          </w:p>
        </w:tc>
        <w:tc>
          <w:tcPr>
            <w:tcW w:w="660" w:type="dxa"/>
            <w:vAlign w:val="bottom"/>
            <w:tcBorders>
              <w:bottom w:val="single" w:sz="8" w:color="351B3D"/>
            </w:tcBorders>
            <w:shd w:val="clear" w:color="auto" w:fill="351B3D"/>
          </w:tcPr>
          <w:p>
            <w:pPr>
              <w:jc w:val="center"/>
              <w:spacing w:after="0"/>
              <w:rPr>
                <w:sz w:val="20"/>
                <w:szCs w:val="20"/>
                <w:color w:val="auto"/>
              </w:rPr>
            </w:pPr>
            <w:r>
              <w:rPr>
                <w:rFonts w:ascii="Arial" w:cs="Arial" w:eastAsia="Arial" w:hAnsi="Arial"/>
                <w:sz w:val="11"/>
                <w:szCs w:val="11"/>
                <w:color w:val="FFFFFF"/>
                <w:w w:val="88"/>
              </w:rPr>
              <w:t>(#)</w:t>
            </w:r>
          </w:p>
        </w:tc>
        <w:tc>
          <w:tcPr>
            <w:tcW w:w="760" w:type="dxa"/>
            <w:vAlign w:val="bottom"/>
            <w:tcBorders>
              <w:bottom w:val="single" w:sz="8" w:color="351B3D"/>
            </w:tcBorders>
            <w:shd w:val="clear" w:color="auto" w:fill="351B3D"/>
          </w:tcPr>
          <w:p>
            <w:pPr>
              <w:jc w:val="center"/>
              <w:spacing w:after="0"/>
              <w:rPr>
                <w:sz w:val="20"/>
                <w:szCs w:val="20"/>
                <w:color w:val="auto"/>
              </w:rPr>
            </w:pPr>
            <w:r>
              <w:rPr>
                <w:rFonts w:ascii="Arial" w:cs="Arial" w:eastAsia="Arial" w:hAnsi="Arial"/>
                <w:sz w:val="11"/>
                <w:szCs w:val="11"/>
                <w:color w:val="FFFFFF"/>
              </w:rPr>
              <w:t>UNITS (#)</w:t>
            </w:r>
          </w:p>
        </w:tc>
        <w:tc>
          <w:tcPr>
            <w:tcW w:w="860" w:type="dxa"/>
            <w:vAlign w:val="bottom"/>
            <w:tcBorders>
              <w:bottom w:val="single" w:sz="8" w:color="351B3D"/>
            </w:tcBorders>
            <w:shd w:val="clear" w:color="auto" w:fill="351B3D"/>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4040" w:type="dxa"/>
            <w:vAlign w:val="bottom"/>
            <w:shd w:val="clear" w:color="auto" w:fill="D6D1D8"/>
          </w:tcPr>
          <w:p>
            <w:pPr>
              <w:spacing w:after="0"/>
              <w:rPr>
                <w:sz w:val="22"/>
                <w:szCs w:val="22"/>
                <w:color w:val="auto"/>
              </w:rPr>
            </w:pPr>
          </w:p>
        </w:tc>
        <w:tc>
          <w:tcPr>
            <w:tcW w:w="80" w:type="dxa"/>
            <w:vAlign w:val="bottom"/>
            <w:shd w:val="clear" w:color="auto" w:fill="D6D1D8"/>
          </w:tcPr>
          <w:p>
            <w:pPr>
              <w:spacing w:after="0"/>
              <w:rPr>
                <w:sz w:val="22"/>
                <w:szCs w:val="22"/>
                <w:color w:val="auto"/>
              </w:rPr>
            </w:pPr>
          </w:p>
        </w:tc>
        <w:tc>
          <w:tcPr>
            <w:tcW w:w="860" w:type="dxa"/>
            <w:vAlign w:val="bottom"/>
            <w:gridSpan w:val="2"/>
            <w:shd w:val="clear" w:color="auto" w:fill="D6D1D8"/>
          </w:tcPr>
          <w:p>
            <w:pPr>
              <w:ind w:left="520"/>
              <w:spacing w:after="0"/>
              <w:rPr>
                <w:sz w:val="20"/>
                <w:szCs w:val="20"/>
                <w:color w:val="auto"/>
              </w:rPr>
            </w:pPr>
            <w:r>
              <w:rPr>
                <w:rFonts w:ascii="Arial" w:cs="Arial" w:eastAsia="Arial" w:hAnsi="Arial"/>
                <w:sz w:val="14"/>
                <w:szCs w:val="14"/>
                <w:color w:val="auto"/>
              </w:rPr>
              <w:t>N/A</w:t>
            </w:r>
          </w:p>
        </w:tc>
        <w:tc>
          <w:tcPr>
            <w:tcW w:w="780" w:type="dxa"/>
            <w:vAlign w:val="bottom"/>
            <w:gridSpan w:val="2"/>
            <w:shd w:val="clear" w:color="auto" w:fill="D6D1D8"/>
          </w:tcPr>
          <w:p>
            <w:pPr>
              <w:jc w:val="center"/>
              <w:spacing w:after="0"/>
              <w:rPr>
                <w:sz w:val="20"/>
                <w:szCs w:val="20"/>
                <w:color w:val="auto"/>
              </w:rPr>
            </w:pPr>
            <w:r>
              <w:rPr>
                <w:rFonts w:ascii="Arial" w:cs="Arial" w:eastAsia="Arial" w:hAnsi="Arial"/>
                <w:sz w:val="14"/>
                <w:szCs w:val="14"/>
                <w:color w:val="auto"/>
              </w:rPr>
              <w:t>4,000,000</w:t>
            </w:r>
          </w:p>
        </w:tc>
        <w:tc>
          <w:tcPr>
            <w:tcW w:w="74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99"/>
              </w:rPr>
              <w:t>5,000,000</w:t>
            </w:r>
          </w:p>
        </w:tc>
        <w:tc>
          <w:tcPr>
            <w:tcW w:w="70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99"/>
              </w:rPr>
              <w:t>6,000,000</w:t>
            </w:r>
          </w:p>
        </w:tc>
        <w:tc>
          <w:tcPr>
            <w:tcW w:w="76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68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66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76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w:t>
            </w:r>
          </w:p>
        </w:tc>
        <w:tc>
          <w:tcPr>
            <w:tcW w:w="86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382"/>
        </w:trPr>
        <w:tc>
          <w:tcPr>
            <w:tcW w:w="4040" w:type="dxa"/>
            <w:vAlign w:val="bottom"/>
            <w:vMerge w:val="restart"/>
            <w:shd w:val="clear" w:color="auto" w:fill="D6D1D8"/>
          </w:tcPr>
          <w:p>
            <w:pPr>
              <w:ind w:left="80"/>
              <w:spacing w:after="0"/>
              <w:rPr>
                <w:sz w:val="20"/>
                <w:szCs w:val="20"/>
                <w:color w:val="auto"/>
              </w:rPr>
            </w:pPr>
            <w:r>
              <w:rPr>
                <w:rFonts w:ascii="Arial" w:cs="Arial" w:eastAsia="Arial" w:hAnsi="Arial"/>
                <w:sz w:val="14"/>
                <w:szCs w:val="14"/>
                <w:color w:val="auto"/>
              </w:rPr>
              <w:t>Craig S. Billings</w:t>
            </w:r>
          </w:p>
        </w:tc>
        <w:tc>
          <w:tcPr>
            <w:tcW w:w="80" w:type="dxa"/>
            <w:vAlign w:val="bottom"/>
            <w:shd w:val="clear" w:color="auto" w:fill="D6D1D8"/>
          </w:tcPr>
          <w:p>
            <w:pPr>
              <w:spacing w:after="0"/>
              <w:rPr>
                <w:sz w:val="24"/>
                <w:szCs w:val="24"/>
                <w:color w:val="auto"/>
              </w:rPr>
            </w:pPr>
          </w:p>
        </w:tc>
        <w:tc>
          <w:tcPr>
            <w:tcW w:w="860" w:type="dxa"/>
            <w:vAlign w:val="bottom"/>
            <w:gridSpan w:val="2"/>
            <w:shd w:val="clear" w:color="auto" w:fill="D6D1D8"/>
          </w:tcPr>
          <w:p>
            <w:pPr>
              <w:jc w:val="right"/>
              <w:ind w:right="100"/>
              <w:spacing w:after="0"/>
              <w:rPr>
                <w:sz w:val="20"/>
                <w:szCs w:val="20"/>
                <w:color w:val="auto"/>
              </w:rPr>
            </w:pPr>
            <w:r>
              <w:rPr>
                <w:rFonts w:ascii="Arial" w:cs="Arial" w:eastAsia="Arial" w:hAnsi="Arial"/>
                <w:sz w:val="14"/>
                <w:szCs w:val="14"/>
                <w:color w:val="auto"/>
              </w:rPr>
              <w:t>01/09/2024</w:t>
            </w:r>
          </w:p>
        </w:tc>
        <w:tc>
          <w:tcPr>
            <w:tcW w:w="780" w:type="dxa"/>
            <w:vAlign w:val="bottom"/>
            <w:gridSpan w:val="2"/>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74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w:t>
            </w:r>
          </w:p>
        </w:tc>
        <w:tc>
          <w:tcPr>
            <w:tcW w:w="70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w:t>
            </w:r>
          </w:p>
        </w:tc>
        <w:tc>
          <w:tcPr>
            <w:tcW w:w="76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68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66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76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96"/>
              </w:rPr>
              <w:t>38,737</w:t>
            </w:r>
            <w:r>
              <w:rPr>
                <w:rFonts w:ascii="Arial" w:cs="Arial" w:eastAsia="Arial" w:hAnsi="Arial"/>
                <w:sz w:val="21"/>
                <w:szCs w:val="21"/>
                <w:color w:val="auto"/>
                <w:w w:val="96"/>
                <w:vertAlign w:val="superscript"/>
              </w:rPr>
              <w:t>(3)</w:t>
            </w:r>
          </w:p>
        </w:tc>
        <w:tc>
          <w:tcPr>
            <w:tcW w:w="86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3,690,087</w:t>
            </w:r>
          </w:p>
        </w:tc>
        <w:tc>
          <w:tcPr>
            <w:tcW w:w="0" w:type="dxa"/>
            <w:vAlign w:val="bottom"/>
          </w:tcPr>
          <w:p>
            <w:pPr>
              <w:spacing w:after="0"/>
              <w:rPr>
                <w:sz w:val="1"/>
                <w:szCs w:val="1"/>
                <w:color w:val="auto"/>
              </w:rPr>
            </w:pPr>
          </w:p>
        </w:tc>
      </w:tr>
      <w:tr>
        <w:trPr>
          <w:trHeight w:val="99"/>
        </w:trPr>
        <w:tc>
          <w:tcPr>
            <w:tcW w:w="4040" w:type="dxa"/>
            <w:vAlign w:val="bottom"/>
            <w:vMerge w:val="continue"/>
            <w:shd w:val="clear" w:color="auto" w:fill="D6D1D8"/>
          </w:tcPr>
          <w:p>
            <w:pPr>
              <w:spacing w:after="0"/>
              <w:rPr>
                <w:sz w:val="8"/>
                <w:szCs w:val="8"/>
                <w:color w:val="auto"/>
              </w:rPr>
            </w:pPr>
          </w:p>
        </w:tc>
        <w:tc>
          <w:tcPr>
            <w:tcW w:w="80" w:type="dxa"/>
            <w:vAlign w:val="bottom"/>
            <w:shd w:val="clear" w:color="auto" w:fill="D6D1D8"/>
          </w:tcPr>
          <w:p>
            <w:pPr>
              <w:spacing w:after="0"/>
              <w:rPr>
                <w:sz w:val="8"/>
                <w:szCs w:val="8"/>
                <w:color w:val="auto"/>
              </w:rPr>
            </w:pPr>
          </w:p>
        </w:tc>
        <w:tc>
          <w:tcPr>
            <w:tcW w:w="760" w:type="dxa"/>
            <w:vAlign w:val="bottom"/>
            <w:vMerge w:val="restart"/>
            <w:shd w:val="clear" w:color="auto" w:fill="D6D1D8"/>
          </w:tcPr>
          <w:p>
            <w:pPr>
              <w:jc w:val="right"/>
              <w:spacing w:after="0"/>
              <w:rPr>
                <w:sz w:val="20"/>
                <w:szCs w:val="20"/>
                <w:color w:val="auto"/>
              </w:rPr>
            </w:pPr>
            <w:r>
              <w:rPr>
                <w:rFonts w:ascii="Arial" w:cs="Arial" w:eastAsia="Arial" w:hAnsi="Arial"/>
                <w:sz w:val="14"/>
                <w:szCs w:val="14"/>
                <w:color w:val="auto"/>
              </w:rPr>
              <w:t>01/09/2024</w:t>
            </w:r>
          </w:p>
        </w:tc>
        <w:tc>
          <w:tcPr>
            <w:tcW w:w="100" w:type="dxa"/>
            <w:vAlign w:val="bottom"/>
            <w:shd w:val="clear" w:color="auto" w:fill="D6D1D8"/>
          </w:tcPr>
          <w:p>
            <w:pPr>
              <w:spacing w:after="0"/>
              <w:rPr>
                <w:sz w:val="8"/>
                <w:szCs w:val="8"/>
                <w:color w:val="auto"/>
              </w:rPr>
            </w:pPr>
          </w:p>
        </w:tc>
        <w:tc>
          <w:tcPr>
            <w:tcW w:w="780" w:type="dxa"/>
            <w:vAlign w:val="bottom"/>
            <w:gridSpan w:val="2"/>
            <w:vMerge w:val="restart"/>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740" w:type="dxa"/>
            <w:vAlign w:val="bottom"/>
            <w:vMerge w:val="restart"/>
            <w:shd w:val="clear" w:color="auto" w:fill="D6D1D8"/>
          </w:tcPr>
          <w:p>
            <w:pPr>
              <w:jc w:val="center"/>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D6D1D8"/>
          </w:tcPr>
          <w:p>
            <w:pPr>
              <w:jc w:val="center"/>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680" w:type="dxa"/>
            <w:vAlign w:val="bottom"/>
            <w:vMerge w:val="restart"/>
            <w:shd w:val="clear" w:color="auto" w:fill="D6D1D8"/>
          </w:tcPr>
          <w:p>
            <w:pPr>
              <w:jc w:val="center"/>
              <w:spacing w:after="0"/>
              <w:rPr>
                <w:sz w:val="20"/>
                <w:szCs w:val="20"/>
                <w:color w:val="auto"/>
              </w:rPr>
            </w:pPr>
            <w:r>
              <w:rPr>
                <w:rFonts w:ascii="Arial" w:cs="Arial" w:eastAsia="Arial" w:hAnsi="Arial"/>
                <w:sz w:val="14"/>
                <w:szCs w:val="14"/>
                <w:color w:val="auto"/>
                <w:w w:val="93"/>
              </w:rPr>
              <w:t>25,825</w:t>
            </w:r>
            <w:r>
              <w:rPr>
                <w:rFonts w:ascii="Arial" w:cs="Arial" w:eastAsia="Arial" w:hAnsi="Arial"/>
                <w:sz w:val="21"/>
                <w:szCs w:val="21"/>
                <w:color w:val="auto"/>
                <w:w w:val="93"/>
                <w:vertAlign w:val="superscript"/>
              </w:rPr>
              <w:t>(4)</w:t>
            </w:r>
          </w:p>
        </w:tc>
        <w:tc>
          <w:tcPr>
            <w:tcW w:w="660" w:type="dxa"/>
            <w:vAlign w:val="bottom"/>
            <w:vMerge w:val="restart"/>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760" w:type="dxa"/>
            <w:vAlign w:val="bottom"/>
            <w:vMerge w:val="restart"/>
            <w:shd w:val="clear" w:color="auto" w:fill="D6D1D8"/>
          </w:tcPr>
          <w:p>
            <w:pPr>
              <w:jc w:val="center"/>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D6D1D8"/>
          </w:tcPr>
          <w:p>
            <w:pPr>
              <w:jc w:val="center"/>
              <w:spacing w:after="0"/>
              <w:rPr>
                <w:sz w:val="20"/>
                <w:szCs w:val="20"/>
                <w:color w:val="auto"/>
              </w:rPr>
            </w:pPr>
            <w:r>
              <w:rPr>
                <w:rFonts w:ascii="Arial" w:cs="Arial" w:eastAsia="Arial" w:hAnsi="Arial"/>
                <w:sz w:val="14"/>
                <w:szCs w:val="14"/>
                <w:color w:val="auto"/>
              </w:rPr>
              <w:t>2,460,090</w:t>
            </w:r>
          </w:p>
        </w:tc>
        <w:tc>
          <w:tcPr>
            <w:tcW w:w="0" w:type="dxa"/>
            <w:vAlign w:val="bottom"/>
          </w:tcPr>
          <w:p>
            <w:pPr>
              <w:spacing w:after="0"/>
              <w:rPr>
                <w:sz w:val="1"/>
                <w:szCs w:val="1"/>
                <w:color w:val="auto"/>
              </w:rPr>
            </w:pPr>
          </w:p>
        </w:tc>
      </w:tr>
      <w:tr>
        <w:trPr>
          <w:trHeight w:val="221"/>
        </w:trPr>
        <w:tc>
          <w:tcPr>
            <w:tcW w:w="4040" w:type="dxa"/>
            <w:vAlign w:val="bottom"/>
            <w:shd w:val="clear" w:color="auto" w:fill="D6D1D8"/>
          </w:tcPr>
          <w:p>
            <w:pPr>
              <w:spacing w:after="0"/>
              <w:rPr>
                <w:sz w:val="19"/>
                <w:szCs w:val="19"/>
                <w:color w:val="auto"/>
              </w:rPr>
            </w:pPr>
          </w:p>
        </w:tc>
        <w:tc>
          <w:tcPr>
            <w:tcW w:w="80" w:type="dxa"/>
            <w:vAlign w:val="bottom"/>
            <w:shd w:val="clear" w:color="auto" w:fill="D6D1D8"/>
          </w:tcPr>
          <w:p>
            <w:pPr>
              <w:spacing w:after="0"/>
              <w:rPr>
                <w:sz w:val="19"/>
                <w:szCs w:val="19"/>
                <w:color w:val="auto"/>
              </w:rPr>
            </w:pPr>
          </w:p>
        </w:tc>
        <w:tc>
          <w:tcPr>
            <w:tcW w:w="760" w:type="dxa"/>
            <w:vAlign w:val="bottom"/>
            <w:vMerge w:val="continue"/>
            <w:shd w:val="clear" w:color="auto" w:fill="D6D1D8"/>
          </w:tcPr>
          <w:p>
            <w:pPr>
              <w:spacing w:after="0"/>
              <w:rPr>
                <w:sz w:val="19"/>
                <w:szCs w:val="19"/>
                <w:color w:val="auto"/>
              </w:rPr>
            </w:pPr>
          </w:p>
        </w:tc>
        <w:tc>
          <w:tcPr>
            <w:tcW w:w="100" w:type="dxa"/>
            <w:vAlign w:val="bottom"/>
            <w:shd w:val="clear" w:color="auto" w:fill="D6D1D8"/>
          </w:tcPr>
          <w:p>
            <w:pPr>
              <w:spacing w:after="0"/>
              <w:rPr>
                <w:sz w:val="19"/>
                <w:szCs w:val="19"/>
                <w:color w:val="auto"/>
              </w:rPr>
            </w:pPr>
          </w:p>
        </w:tc>
        <w:tc>
          <w:tcPr>
            <w:tcW w:w="780" w:type="dxa"/>
            <w:vAlign w:val="bottom"/>
            <w:gridSpan w:val="2"/>
            <w:vMerge w:val="continue"/>
            <w:shd w:val="clear" w:color="auto" w:fill="D6D1D8"/>
          </w:tcPr>
          <w:p>
            <w:pPr>
              <w:spacing w:after="0"/>
              <w:rPr>
                <w:sz w:val="19"/>
                <w:szCs w:val="19"/>
                <w:color w:val="auto"/>
              </w:rPr>
            </w:pPr>
          </w:p>
        </w:tc>
        <w:tc>
          <w:tcPr>
            <w:tcW w:w="740" w:type="dxa"/>
            <w:vAlign w:val="bottom"/>
            <w:vMerge w:val="continue"/>
            <w:shd w:val="clear" w:color="auto" w:fill="D6D1D8"/>
          </w:tcPr>
          <w:p>
            <w:pPr>
              <w:spacing w:after="0"/>
              <w:rPr>
                <w:sz w:val="19"/>
                <w:szCs w:val="19"/>
                <w:color w:val="auto"/>
              </w:rPr>
            </w:pPr>
          </w:p>
        </w:tc>
        <w:tc>
          <w:tcPr>
            <w:tcW w:w="700" w:type="dxa"/>
            <w:vAlign w:val="bottom"/>
            <w:vMerge w:val="continue"/>
            <w:shd w:val="clear" w:color="auto" w:fill="D6D1D8"/>
          </w:tcPr>
          <w:p>
            <w:pPr>
              <w:spacing w:after="0"/>
              <w:rPr>
                <w:sz w:val="19"/>
                <w:szCs w:val="19"/>
                <w:color w:val="auto"/>
              </w:rPr>
            </w:pPr>
          </w:p>
        </w:tc>
        <w:tc>
          <w:tcPr>
            <w:tcW w:w="760" w:type="dxa"/>
            <w:vAlign w:val="bottom"/>
            <w:vMerge w:val="continue"/>
            <w:shd w:val="clear" w:color="auto" w:fill="D6D1D8"/>
          </w:tcPr>
          <w:p>
            <w:pPr>
              <w:spacing w:after="0"/>
              <w:rPr>
                <w:sz w:val="19"/>
                <w:szCs w:val="19"/>
                <w:color w:val="auto"/>
              </w:rPr>
            </w:pPr>
          </w:p>
        </w:tc>
        <w:tc>
          <w:tcPr>
            <w:tcW w:w="680" w:type="dxa"/>
            <w:vAlign w:val="bottom"/>
            <w:vMerge w:val="continue"/>
            <w:shd w:val="clear" w:color="auto" w:fill="D6D1D8"/>
          </w:tcPr>
          <w:p>
            <w:pPr>
              <w:spacing w:after="0"/>
              <w:rPr>
                <w:sz w:val="19"/>
                <w:szCs w:val="19"/>
                <w:color w:val="auto"/>
              </w:rPr>
            </w:pPr>
          </w:p>
        </w:tc>
        <w:tc>
          <w:tcPr>
            <w:tcW w:w="660" w:type="dxa"/>
            <w:vAlign w:val="bottom"/>
            <w:vMerge w:val="continue"/>
            <w:shd w:val="clear" w:color="auto" w:fill="D6D1D8"/>
          </w:tcPr>
          <w:p>
            <w:pPr>
              <w:spacing w:after="0"/>
              <w:rPr>
                <w:sz w:val="19"/>
                <w:szCs w:val="19"/>
                <w:color w:val="auto"/>
              </w:rPr>
            </w:pPr>
          </w:p>
        </w:tc>
        <w:tc>
          <w:tcPr>
            <w:tcW w:w="760" w:type="dxa"/>
            <w:vAlign w:val="bottom"/>
            <w:vMerge w:val="continue"/>
            <w:shd w:val="clear" w:color="auto" w:fill="D6D1D8"/>
          </w:tcPr>
          <w:p>
            <w:pPr>
              <w:spacing w:after="0"/>
              <w:rPr>
                <w:sz w:val="19"/>
                <w:szCs w:val="19"/>
                <w:color w:val="auto"/>
              </w:rPr>
            </w:pPr>
          </w:p>
        </w:tc>
        <w:tc>
          <w:tcPr>
            <w:tcW w:w="860" w:type="dxa"/>
            <w:vAlign w:val="bottom"/>
            <w:vMerge w:val="continue"/>
            <w:shd w:val="clear" w:color="auto" w:fill="D6D1D8"/>
          </w:tcPr>
          <w:p>
            <w:pPr>
              <w:spacing w:after="0"/>
              <w:rPr>
                <w:sz w:val="19"/>
                <w:szCs w:val="19"/>
                <w:color w:val="auto"/>
              </w:rPr>
            </w:pPr>
          </w:p>
        </w:tc>
        <w:tc>
          <w:tcPr>
            <w:tcW w:w="0" w:type="dxa"/>
            <w:vAlign w:val="bottom"/>
          </w:tcPr>
          <w:p>
            <w:pPr>
              <w:spacing w:after="0"/>
              <w:rPr>
                <w:sz w:val="1"/>
                <w:szCs w:val="1"/>
                <w:color w:val="auto"/>
              </w:rPr>
            </w:pPr>
          </w:p>
        </w:tc>
      </w:tr>
      <w:tr>
        <w:trPr>
          <w:trHeight w:val="321"/>
        </w:trPr>
        <w:tc>
          <w:tcPr>
            <w:tcW w:w="4040" w:type="dxa"/>
            <w:vAlign w:val="bottom"/>
            <w:shd w:val="clear" w:color="auto" w:fill="D6D1D8"/>
          </w:tcPr>
          <w:p>
            <w:pPr>
              <w:spacing w:after="0"/>
              <w:rPr>
                <w:sz w:val="24"/>
                <w:szCs w:val="24"/>
                <w:color w:val="auto"/>
              </w:rPr>
            </w:pPr>
          </w:p>
        </w:tc>
        <w:tc>
          <w:tcPr>
            <w:tcW w:w="80" w:type="dxa"/>
            <w:vAlign w:val="bottom"/>
            <w:shd w:val="clear" w:color="auto" w:fill="D6D1D8"/>
          </w:tcPr>
          <w:p>
            <w:pPr>
              <w:spacing w:after="0"/>
              <w:rPr>
                <w:sz w:val="24"/>
                <w:szCs w:val="24"/>
                <w:color w:val="auto"/>
              </w:rPr>
            </w:pPr>
          </w:p>
        </w:tc>
        <w:tc>
          <w:tcPr>
            <w:tcW w:w="760" w:type="dxa"/>
            <w:vAlign w:val="bottom"/>
            <w:shd w:val="clear" w:color="auto" w:fill="D6D1D8"/>
          </w:tcPr>
          <w:p>
            <w:pPr>
              <w:jc w:val="right"/>
              <w:spacing w:after="0"/>
              <w:rPr>
                <w:sz w:val="20"/>
                <w:szCs w:val="20"/>
                <w:color w:val="auto"/>
              </w:rPr>
            </w:pPr>
            <w:r>
              <w:rPr>
                <w:rFonts w:ascii="Arial" w:cs="Arial" w:eastAsia="Arial" w:hAnsi="Arial"/>
                <w:sz w:val="14"/>
                <w:szCs w:val="14"/>
                <w:color w:val="auto"/>
              </w:rPr>
              <w:t>01/09/2024</w:t>
            </w:r>
          </w:p>
        </w:tc>
        <w:tc>
          <w:tcPr>
            <w:tcW w:w="100" w:type="dxa"/>
            <w:vAlign w:val="bottom"/>
            <w:shd w:val="clear" w:color="auto" w:fill="D6D1D8"/>
          </w:tcPr>
          <w:p>
            <w:pPr>
              <w:spacing w:after="0"/>
              <w:rPr>
                <w:sz w:val="24"/>
                <w:szCs w:val="24"/>
                <w:color w:val="auto"/>
              </w:rPr>
            </w:pPr>
          </w:p>
        </w:tc>
        <w:tc>
          <w:tcPr>
            <w:tcW w:w="780" w:type="dxa"/>
            <w:vAlign w:val="bottom"/>
            <w:gridSpan w:val="2"/>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74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w:t>
            </w:r>
          </w:p>
        </w:tc>
        <w:tc>
          <w:tcPr>
            <w:tcW w:w="70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w:t>
            </w:r>
          </w:p>
        </w:tc>
        <w:tc>
          <w:tcPr>
            <w:tcW w:w="76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93"/>
              </w:rPr>
              <w:t>12,913</w:t>
            </w:r>
            <w:r>
              <w:rPr>
                <w:rFonts w:ascii="Arial" w:cs="Arial" w:eastAsia="Arial" w:hAnsi="Arial"/>
                <w:sz w:val="21"/>
                <w:szCs w:val="21"/>
                <w:color w:val="auto"/>
                <w:w w:val="93"/>
                <w:vertAlign w:val="superscript"/>
              </w:rPr>
              <w:t>(5)</w:t>
            </w:r>
          </w:p>
        </w:tc>
        <w:tc>
          <w:tcPr>
            <w:tcW w:w="68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93"/>
              </w:rPr>
              <w:t>20,916</w:t>
            </w:r>
            <w:r>
              <w:rPr>
                <w:rFonts w:ascii="Arial" w:cs="Arial" w:eastAsia="Arial" w:hAnsi="Arial"/>
                <w:sz w:val="21"/>
                <w:szCs w:val="21"/>
                <w:color w:val="auto"/>
                <w:w w:val="93"/>
                <w:vertAlign w:val="superscript"/>
              </w:rPr>
              <w:t>(5)</w:t>
            </w:r>
          </w:p>
        </w:tc>
        <w:tc>
          <w:tcPr>
            <w:tcW w:w="66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93"/>
              </w:rPr>
              <w:t>34,434</w:t>
            </w:r>
            <w:r>
              <w:rPr>
                <w:rFonts w:ascii="Arial" w:cs="Arial" w:eastAsia="Arial" w:hAnsi="Arial"/>
                <w:sz w:val="21"/>
                <w:szCs w:val="21"/>
                <w:color w:val="auto"/>
                <w:w w:val="93"/>
                <w:vertAlign w:val="superscript"/>
              </w:rPr>
              <w:t>(5)</w:t>
            </w:r>
          </w:p>
        </w:tc>
        <w:tc>
          <w:tcPr>
            <w:tcW w:w="76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w:t>
            </w:r>
          </w:p>
        </w:tc>
        <w:tc>
          <w:tcPr>
            <w:tcW w:w="86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2,375,918</w:t>
            </w:r>
          </w:p>
        </w:tc>
        <w:tc>
          <w:tcPr>
            <w:tcW w:w="0" w:type="dxa"/>
            <w:vAlign w:val="bottom"/>
          </w:tcPr>
          <w:p>
            <w:pPr>
              <w:spacing w:after="0"/>
              <w:rPr>
                <w:sz w:val="1"/>
                <w:szCs w:val="1"/>
                <w:color w:val="auto"/>
              </w:rPr>
            </w:pPr>
          </w:p>
        </w:tc>
      </w:tr>
      <w:tr>
        <w:trPr>
          <w:trHeight w:val="260"/>
        </w:trPr>
        <w:tc>
          <w:tcPr>
            <w:tcW w:w="4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ind w:left="520"/>
              <w:spacing w:after="0"/>
              <w:rPr>
                <w:sz w:val="20"/>
                <w:szCs w:val="20"/>
                <w:color w:val="auto"/>
              </w:rPr>
            </w:pPr>
            <w:r>
              <w:rPr>
                <w:rFonts w:ascii="Arial" w:cs="Arial" w:eastAsia="Arial" w:hAnsi="Arial"/>
                <w:sz w:val="14"/>
                <w:szCs w:val="14"/>
                <w:color w:val="auto"/>
              </w:rPr>
              <w:t>N/A</w:t>
            </w:r>
          </w:p>
        </w:tc>
        <w:tc>
          <w:tcPr>
            <w:tcW w:w="780" w:type="dxa"/>
            <w:vAlign w:val="bottom"/>
            <w:gridSpan w:val="2"/>
          </w:tcPr>
          <w:p>
            <w:pPr>
              <w:jc w:val="center"/>
              <w:spacing w:after="0"/>
              <w:rPr>
                <w:sz w:val="20"/>
                <w:szCs w:val="20"/>
                <w:color w:val="auto"/>
              </w:rPr>
            </w:pPr>
            <w:r>
              <w:rPr>
                <w:rFonts w:ascii="Arial" w:cs="Arial" w:eastAsia="Arial" w:hAnsi="Arial"/>
                <w:sz w:val="14"/>
                <w:szCs w:val="14"/>
                <w:color w:val="auto"/>
              </w:rPr>
              <w:t>1,520,000</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1,900,000</w:t>
            </w:r>
          </w:p>
        </w:tc>
        <w:tc>
          <w:tcPr>
            <w:tcW w:w="700" w:type="dxa"/>
            <w:vAlign w:val="bottom"/>
          </w:tcPr>
          <w:p>
            <w:pPr>
              <w:jc w:val="center"/>
              <w:spacing w:after="0"/>
              <w:rPr>
                <w:sz w:val="20"/>
                <w:szCs w:val="20"/>
                <w:color w:val="auto"/>
              </w:rPr>
            </w:pPr>
            <w:r>
              <w:rPr>
                <w:rFonts w:ascii="Arial" w:cs="Arial" w:eastAsia="Arial" w:hAnsi="Arial"/>
                <w:sz w:val="14"/>
                <w:szCs w:val="14"/>
                <w:color w:val="auto"/>
                <w:w w:val="99"/>
              </w:rPr>
              <w:t>2,280,000</w:t>
            </w:r>
          </w:p>
        </w:tc>
        <w:tc>
          <w:tcPr>
            <w:tcW w:w="7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68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401"/>
        </w:trPr>
        <w:tc>
          <w:tcPr>
            <w:tcW w:w="4040" w:type="dxa"/>
            <w:vAlign w:val="bottom"/>
            <w:vMerge w:val="restart"/>
          </w:tcPr>
          <w:p>
            <w:pPr>
              <w:ind w:left="80"/>
              <w:spacing w:after="0"/>
              <w:rPr>
                <w:sz w:val="20"/>
                <w:szCs w:val="20"/>
                <w:color w:val="auto"/>
              </w:rPr>
            </w:pPr>
            <w:r>
              <w:rPr>
                <w:rFonts w:ascii="Arial" w:cs="Arial" w:eastAsia="Arial" w:hAnsi="Arial"/>
                <w:sz w:val="14"/>
                <w:szCs w:val="14"/>
                <w:color w:val="auto"/>
              </w:rPr>
              <w:t>Julie M. Cameron-Doe</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01/09/2024</w:t>
            </w:r>
          </w:p>
        </w:tc>
        <w:tc>
          <w:tcPr>
            <w:tcW w:w="780" w:type="dxa"/>
            <w:vAlign w:val="bottom"/>
            <w:gridSpan w:val="2"/>
          </w:tcPr>
          <w:p>
            <w:pPr>
              <w:jc w:val="center"/>
              <w:spacing w:after="0"/>
              <w:rPr>
                <w:sz w:val="20"/>
                <w:szCs w:val="20"/>
                <w:color w:val="auto"/>
              </w:rPr>
            </w:pPr>
            <w:r>
              <w:rPr>
                <w:rFonts w:ascii="Arial" w:cs="Arial" w:eastAsia="Arial" w:hAnsi="Arial"/>
                <w:sz w:val="14"/>
                <w:szCs w:val="14"/>
                <w:color w:val="auto"/>
                <w:w w:val="84"/>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68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7,854</w:t>
            </w:r>
            <w:r>
              <w:rPr>
                <w:rFonts w:ascii="Arial" w:cs="Arial" w:eastAsia="Arial" w:hAnsi="Arial"/>
                <w:sz w:val="21"/>
                <w:szCs w:val="21"/>
                <w:color w:val="auto"/>
                <w:w w:val="95"/>
                <w:vertAlign w:val="superscript"/>
              </w:rPr>
              <w:t>(3)</w:t>
            </w:r>
          </w:p>
        </w:tc>
        <w:tc>
          <w:tcPr>
            <w:tcW w:w="860" w:type="dxa"/>
            <w:vAlign w:val="bottom"/>
          </w:tcPr>
          <w:p>
            <w:pPr>
              <w:jc w:val="center"/>
              <w:spacing w:after="0"/>
              <w:rPr>
                <w:sz w:val="20"/>
                <w:szCs w:val="20"/>
                <w:color w:val="auto"/>
              </w:rPr>
            </w:pPr>
            <w:r>
              <w:rPr>
                <w:rFonts w:ascii="Arial" w:cs="Arial" w:eastAsia="Arial" w:hAnsi="Arial"/>
                <w:sz w:val="14"/>
                <w:szCs w:val="14"/>
                <w:color w:val="auto"/>
              </w:rPr>
              <w:t>748,172</w:t>
            </w:r>
          </w:p>
        </w:tc>
        <w:tc>
          <w:tcPr>
            <w:tcW w:w="0" w:type="dxa"/>
            <w:vAlign w:val="bottom"/>
          </w:tcPr>
          <w:p>
            <w:pPr>
              <w:spacing w:after="0"/>
              <w:rPr>
                <w:sz w:val="1"/>
                <w:szCs w:val="1"/>
                <w:color w:val="auto"/>
              </w:rPr>
            </w:pPr>
          </w:p>
        </w:tc>
      </w:tr>
      <w:tr>
        <w:trPr>
          <w:trHeight w:val="81"/>
        </w:trPr>
        <w:tc>
          <w:tcPr>
            <w:tcW w:w="4040" w:type="dxa"/>
            <w:vAlign w:val="bottom"/>
            <w:vMerge w:val="continue"/>
          </w:tcPr>
          <w:p>
            <w:pPr>
              <w:spacing w:after="0"/>
              <w:rPr>
                <w:sz w:val="7"/>
                <w:szCs w:val="7"/>
                <w:color w:val="auto"/>
              </w:rPr>
            </w:pPr>
          </w:p>
        </w:tc>
        <w:tc>
          <w:tcPr>
            <w:tcW w:w="94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01/09/2024</w:t>
            </w:r>
          </w:p>
        </w:tc>
        <w:tc>
          <w:tcPr>
            <w:tcW w:w="780" w:type="dxa"/>
            <w:vAlign w:val="bottom"/>
            <w:gridSpan w:val="2"/>
            <w:vMerge w:val="restart"/>
          </w:tcPr>
          <w:p>
            <w:pPr>
              <w:jc w:val="center"/>
              <w:spacing w:after="0"/>
              <w:rPr>
                <w:sz w:val="20"/>
                <w:szCs w:val="20"/>
                <w:color w:val="auto"/>
              </w:rPr>
            </w:pPr>
            <w:r>
              <w:rPr>
                <w:rFonts w:ascii="Arial" w:cs="Arial" w:eastAsia="Arial" w:hAnsi="Arial"/>
                <w:sz w:val="14"/>
                <w:szCs w:val="14"/>
                <w:color w:val="auto"/>
                <w:w w:val="84"/>
              </w:rPr>
              <w:t>-</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84"/>
              </w:rPr>
              <w:t>-</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1"/>
              </w:rPr>
              <w:t>5,236</w:t>
            </w:r>
            <w:r>
              <w:rPr>
                <w:rFonts w:ascii="Arial" w:cs="Arial" w:eastAsia="Arial" w:hAnsi="Arial"/>
                <w:sz w:val="21"/>
                <w:szCs w:val="21"/>
                <w:color w:val="auto"/>
                <w:w w:val="91"/>
                <w:vertAlign w:val="superscript"/>
              </w:rPr>
              <w:t>(4)</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w w:val="84"/>
              </w:rPr>
              <w:t>-</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498,781</w:t>
            </w:r>
          </w:p>
        </w:tc>
        <w:tc>
          <w:tcPr>
            <w:tcW w:w="0" w:type="dxa"/>
            <w:vAlign w:val="bottom"/>
          </w:tcPr>
          <w:p>
            <w:pPr>
              <w:spacing w:after="0"/>
              <w:rPr>
                <w:sz w:val="1"/>
                <w:szCs w:val="1"/>
                <w:color w:val="auto"/>
              </w:rPr>
            </w:pPr>
          </w:p>
        </w:tc>
      </w:tr>
      <w:tr>
        <w:trPr>
          <w:trHeight w:val="240"/>
        </w:trPr>
        <w:tc>
          <w:tcPr>
            <w:tcW w:w="4040" w:type="dxa"/>
            <w:vAlign w:val="bottom"/>
          </w:tcPr>
          <w:p>
            <w:pPr>
              <w:spacing w:after="0"/>
              <w:rPr>
                <w:sz w:val="20"/>
                <w:szCs w:val="20"/>
                <w:color w:val="auto"/>
              </w:rPr>
            </w:pPr>
          </w:p>
        </w:tc>
        <w:tc>
          <w:tcPr>
            <w:tcW w:w="940" w:type="dxa"/>
            <w:vAlign w:val="bottom"/>
            <w:gridSpan w:val="3"/>
            <w:vMerge w:val="continue"/>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4040" w:type="dxa"/>
            <w:vAlign w:val="bottom"/>
          </w:tcPr>
          <w:p>
            <w:pPr>
              <w:spacing w:after="0"/>
              <w:rPr>
                <w:sz w:val="24"/>
                <w:szCs w:val="24"/>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01/09/2024</w:t>
            </w:r>
          </w:p>
        </w:tc>
        <w:tc>
          <w:tcPr>
            <w:tcW w:w="780" w:type="dxa"/>
            <w:vAlign w:val="bottom"/>
            <w:gridSpan w:val="2"/>
          </w:tcPr>
          <w:p>
            <w:pPr>
              <w:jc w:val="center"/>
              <w:spacing w:after="0"/>
              <w:rPr>
                <w:sz w:val="20"/>
                <w:szCs w:val="20"/>
                <w:color w:val="auto"/>
              </w:rPr>
            </w:pPr>
            <w:r>
              <w:rPr>
                <w:rFonts w:ascii="Arial" w:cs="Arial" w:eastAsia="Arial" w:hAnsi="Arial"/>
                <w:sz w:val="14"/>
                <w:szCs w:val="14"/>
                <w:color w:val="auto"/>
                <w:w w:val="84"/>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w w:val="91"/>
              </w:rPr>
              <w:t>2,618</w:t>
            </w:r>
            <w:r>
              <w:rPr>
                <w:rFonts w:ascii="Arial" w:cs="Arial" w:eastAsia="Arial" w:hAnsi="Arial"/>
                <w:sz w:val="21"/>
                <w:szCs w:val="21"/>
                <w:color w:val="auto"/>
                <w:w w:val="91"/>
                <w:vertAlign w:val="superscript"/>
              </w:rPr>
              <w:t>(5)</w:t>
            </w:r>
          </w:p>
        </w:tc>
        <w:tc>
          <w:tcPr>
            <w:tcW w:w="680" w:type="dxa"/>
            <w:vAlign w:val="bottom"/>
          </w:tcPr>
          <w:p>
            <w:pPr>
              <w:jc w:val="center"/>
              <w:spacing w:after="0"/>
              <w:rPr>
                <w:sz w:val="20"/>
                <w:szCs w:val="20"/>
                <w:color w:val="auto"/>
              </w:rPr>
            </w:pPr>
            <w:r>
              <w:rPr>
                <w:rFonts w:ascii="Arial" w:cs="Arial" w:eastAsia="Arial" w:hAnsi="Arial"/>
                <w:sz w:val="14"/>
                <w:szCs w:val="14"/>
                <w:color w:val="auto"/>
                <w:w w:val="91"/>
              </w:rPr>
              <w:t>4,364</w:t>
            </w:r>
            <w:r>
              <w:rPr>
                <w:rFonts w:ascii="Arial" w:cs="Arial" w:eastAsia="Arial" w:hAnsi="Arial"/>
                <w:sz w:val="21"/>
                <w:szCs w:val="21"/>
                <w:color w:val="auto"/>
                <w:w w:val="91"/>
                <w:vertAlign w:val="superscript"/>
              </w:rPr>
              <w:t>(5)</w:t>
            </w:r>
          </w:p>
        </w:tc>
        <w:tc>
          <w:tcPr>
            <w:tcW w:w="660" w:type="dxa"/>
            <w:vAlign w:val="bottom"/>
          </w:tcPr>
          <w:p>
            <w:pPr>
              <w:jc w:val="center"/>
              <w:spacing w:after="0"/>
              <w:rPr>
                <w:sz w:val="20"/>
                <w:szCs w:val="20"/>
                <w:color w:val="auto"/>
              </w:rPr>
            </w:pPr>
            <w:r>
              <w:rPr>
                <w:rFonts w:ascii="Arial" w:cs="Arial" w:eastAsia="Arial" w:hAnsi="Arial"/>
                <w:sz w:val="14"/>
                <w:szCs w:val="14"/>
                <w:color w:val="auto"/>
                <w:w w:val="91"/>
              </w:rPr>
              <w:t>6,982</w:t>
            </w:r>
            <w:r>
              <w:rPr>
                <w:rFonts w:ascii="Arial" w:cs="Arial" w:eastAsia="Arial" w:hAnsi="Arial"/>
                <w:sz w:val="21"/>
                <w:szCs w:val="21"/>
                <w:color w:val="auto"/>
                <w:w w:val="91"/>
                <w:vertAlign w:val="superscript"/>
              </w:rPr>
              <w:t>(5)</w:t>
            </w:r>
          </w:p>
        </w:tc>
        <w:tc>
          <w:tcPr>
            <w:tcW w:w="760" w:type="dxa"/>
            <w:vAlign w:val="bottom"/>
          </w:tcPr>
          <w:p>
            <w:pPr>
              <w:jc w:val="center"/>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rPr>
              <w:t>481,786</w:t>
            </w:r>
          </w:p>
        </w:tc>
        <w:tc>
          <w:tcPr>
            <w:tcW w:w="0" w:type="dxa"/>
            <w:vAlign w:val="bottom"/>
          </w:tcPr>
          <w:p>
            <w:pPr>
              <w:spacing w:after="0"/>
              <w:rPr>
                <w:sz w:val="1"/>
                <w:szCs w:val="1"/>
                <w:color w:val="auto"/>
              </w:rPr>
            </w:pPr>
          </w:p>
        </w:tc>
      </w:tr>
      <w:tr>
        <w:trPr>
          <w:trHeight w:val="260"/>
        </w:trPr>
        <w:tc>
          <w:tcPr>
            <w:tcW w:w="4040" w:type="dxa"/>
            <w:vAlign w:val="bottom"/>
            <w:shd w:val="clear" w:color="auto" w:fill="D6D1D8"/>
          </w:tcPr>
          <w:p>
            <w:pPr>
              <w:spacing w:after="0"/>
              <w:rPr>
                <w:sz w:val="22"/>
                <w:szCs w:val="22"/>
                <w:color w:val="auto"/>
              </w:rPr>
            </w:pPr>
          </w:p>
        </w:tc>
        <w:tc>
          <w:tcPr>
            <w:tcW w:w="80" w:type="dxa"/>
            <w:vAlign w:val="bottom"/>
            <w:shd w:val="clear" w:color="auto" w:fill="D6D1D8"/>
          </w:tcPr>
          <w:p>
            <w:pPr>
              <w:spacing w:after="0"/>
              <w:rPr>
                <w:sz w:val="22"/>
                <w:szCs w:val="22"/>
                <w:color w:val="auto"/>
              </w:rPr>
            </w:pPr>
          </w:p>
        </w:tc>
        <w:tc>
          <w:tcPr>
            <w:tcW w:w="860" w:type="dxa"/>
            <w:vAlign w:val="bottom"/>
            <w:gridSpan w:val="2"/>
            <w:shd w:val="clear" w:color="auto" w:fill="D6D1D8"/>
          </w:tcPr>
          <w:p>
            <w:pPr>
              <w:ind w:left="520"/>
              <w:spacing w:after="0"/>
              <w:rPr>
                <w:sz w:val="20"/>
                <w:szCs w:val="20"/>
                <w:color w:val="auto"/>
              </w:rPr>
            </w:pPr>
            <w:r>
              <w:rPr>
                <w:rFonts w:ascii="Arial" w:cs="Arial" w:eastAsia="Arial" w:hAnsi="Arial"/>
                <w:sz w:val="14"/>
                <w:szCs w:val="14"/>
                <w:color w:val="auto"/>
              </w:rPr>
              <w:t>N/A</w:t>
            </w:r>
          </w:p>
        </w:tc>
        <w:tc>
          <w:tcPr>
            <w:tcW w:w="780" w:type="dxa"/>
            <w:vAlign w:val="bottom"/>
            <w:gridSpan w:val="2"/>
            <w:shd w:val="clear" w:color="auto" w:fill="D6D1D8"/>
          </w:tcPr>
          <w:p>
            <w:pPr>
              <w:jc w:val="center"/>
              <w:spacing w:after="0"/>
              <w:rPr>
                <w:sz w:val="20"/>
                <w:szCs w:val="20"/>
                <w:color w:val="auto"/>
              </w:rPr>
            </w:pPr>
            <w:r>
              <w:rPr>
                <w:rFonts w:ascii="Arial" w:cs="Arial" w:eastAsia="Arial" w:hAnsi="Arial"/>
                <w:sz w:val="14"/>
                <w:szCs w:val="14"/>
                <w:color w:val="auto"/>
              </w:rPr>
              <w:t>660,000</w:t>
            </w:r>
          </w:p>
        </w:tc>
        <w:tc>
          <w:tcPr>
            <w:tcW w:w="74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825,000</w:t>
            </w:r>
          </w:p>
        </w:tc>
        <w:tc>
          <w:tcPr>
            <w:tcW w:w="70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98"/>
              </w:rPr>
              <w:t>990,000</w:t>
            </w:r>
          </w:p>
        </w:tc>
        <w:tc>
          <w:tcPr>
            <w:tcW w:w="76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68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66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76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w:t>
            </w:r>
          </w:p>
        </w:tc>
        <w:tc>
          <w:tcPr>
            <w:tcW w:w="86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321"/>
        </w:trPr>
        <w:tc>
          <w:tcPr>
            <w:tcW w:w="4040" w:type="dxa"/>
            <w:vAlign w:val="bottom"/>
            <w:shd w:val="clear" w:color="auto" w:fill="D6D1D8"/>
          </w:tcPr>
          <w:p>
            <w:pPr>
              <w:ind w:left="80"/>
              <w:spacing w:after="0"/>
              <w:rPr>
                <w:sz w:val="20"/>
                <w:szCs w:val="20"/>
                <w:color w:val="auto"/>
              </w:rPr>
            </w:pPr>
            <w:r>
              <w:rPr>
                <w:rFonts w:ascii="Arial" w:cs="Arial" w:eastAsia="Arial" w:hAnsi="Arial"/>
                <w:sz w:val="14"/>
                <w:szCs w:val="14"/>
                <w:color w:val="auto"/>
              </w:rPr>
              <w:t>Jacqui Krum</w:t>
            </w:r>
          </w:p>
        </w:tc>
        <w:tc>
          <w:tcPr>
            <w:tcW w:w="80" w:type="dxa"/>
            <w:vAlign w:val="bottom"/>
            <w:shd w:val="clear" w:color="auto" w:fill="D6D1D8"/>
          </w:tcPr>
          <w:p>
            <w:pPr>
              <w:spacing w:after="0"/>
              <w:rPr>
                <w:sz w:val="24"/>
                <w:szCs w:val="24"/>
                <w:color w:val="auto"/>
              </w:rPr>
            </w:pPr>
          </w:p>
        </w:tc>
        <w:tc>
          <w:tcPr>
            <w:tcW w:w="860" w:type="dxa"/>
            <w:vAlign w:val="bottom"/>
            <w:gridSpan w:val="2"/>
            <w:shd w:val="clear" w:color="auto" w:fill="D6D1D8"/>
          </w:tcPr>
          <w:p>
            <w:pPr>
              <w:jc w:val="right"/>
              <w:ind w:right="100"/>
              <w:spacing w:after="0"/>
              <w:rPr>
                <w:sz w:val="20"/>
                <w:szCs w:val="20"/>
                <w:color w:val="auto"/>
              </w:rPr>
            </w:pPr>
            <w:r>
              <w:rPr>
                <w:rFonts w:ascii="Arial" w:cs="Arial" w:eastAsia="Arial" w:hAnsi="Arial"/>
                <w:sz w:val="14"/>
                <w:szCs w:val="14"/>
                <w:color w:val="auto"/>
              </w:rPr>
              <w:t>01/09/2024</w:t>
            </w:r>
          </w:p>
        </w:tc>
        <w:tc>
          <w:tcPr>
            <w:tcW w:w="780" w:type="dxa"/>
            <w:vAlign w:val="bottom"/>
            <w:gridSpan w:val="2"/>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74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w:t>
            </w:r>
          </w:p>
        </w:tc>
        <w:tc>
          <w:tcPr>
            <w:tcW w:w="70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w:t>
            </w:r>
          </w:p>
        </w:tc>
        <w:tc>
          <w:tcPr>
            <w:tcW w:w="76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68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66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76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96"/>
              </w:rPr>
              <w:t>1,848</w:t>
            </w:r>
          </w:p>
        </w:tc>
        <w:tc>
          <w:tcPr>
            <w:tcW w:w="86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176,040</w:t>
            </w:r>
          </w:p>
        </w:tc>
        <w:tc>
          <w:tcPr>
            <w:tcW w:w="0" w:type="dxa"/>
            <w:vAlign w:val="bottom"/>
          </w:tcPr>
          <w:p>
            <w:pPr>
              <w:spacing w:after="0"/>
              <w:rPr>
                <w:sz w:val="1"/>
                <w:szCs w:val="1"/>
                <w:color w:val="auto"/>
              </w:rPr>
            </w:pPr>
          </w:p>
        </w:tc>
      </w:tr>
      <w:tr>
        <w:trPr>
          <w:trHeight w:val="382"/>
        </w:trPr>
        <w:tc>
          <w:tcPr>
            <w:tcW w:w="4040" w:type="dxa"/>
            <w:vAlign w:val="bottom"/>
            <w:shd w:val="clear" w:color="auto" w:fill="D6D1D8"/>
          </w:tcPr>
          <w:p>
            <w:pPr>
              <w:spacing w:after="0"/>
              <w:rPr>
                <w:sz w:val="24"/>
                <w:szCs w:val="24"/>
                <w:color w:val="auto"/>
              </w:rPr>
            </w:pPr>
          </w:p>
        </w:tc>
        <w:tc>
          <w:tcPr>
            <w:tcW w:w="80" w:type="dxa"/>
            <w:vAlign w:val="bottom"/>
            <w:shd w:val="clear" w:color="auto" w:fill="D6D1D8"/>
          </w:tcPr>
          <w:p>
            <w:pPr>
              <w:spacing w:after="0"/>
              <w:rPr>
                <w:sz w:val="24"/>
                <w:szCs w:val="24"/>
                <w:color w:val="auto"/>
              </w:rPr>
            </w:pPr>
          </w:p>
        </w:tc>
        <w:tc>
          <w:tcPr>
            <w:tcW w:w="860" w:type="dxa"/>
            <w:vAlign w:val="bottom"/>
            <w:gridSpan w:val="2"/>
            <w:shd w:val="clear" w:color="auto" w:fill="D6D1D8"/>
          </w:tcPr>
          <w:p>
            <w:pPr>
              <w:jc w:val="right"/>
              <w:ind w:right="100"/>
              <w:spacing w:after="0"/>
              <w:rPr>
                <w:sz w:val="20"/>
                <w:szCs w:val="20"/>
                <w:color w:val="auto"/>
              </w:rPr>
            </w:pPr>
            <w:r>
              <w:rPr>
                <w:rFonts w:ascii="Arial" w:cs="Arial" w:eastAsia="Arial" w:hAnsi="Arial"/>
                <w:sz w:val="14"/>
                <w:szCs w:val="14"/>
                <w:color w:val="auto"/>
              </w:rPr>
              <w:t>11/16/2024</w:t>
            </w:r>
          </w:p>
        </w:tc>
        <w:tc>
          <w:tcPr>
            <w:tcW w:w="780" w:type="dxa"/>
            <w:vAlign w:val="bottom"/>
            <w:gridSpan w:val="2"/>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74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w:t>
            </w:r>
          </w:p>
        </w:tc>
        <w:tc>
          <w:tcPr>
            <w:tcW w:w="70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w:t>
            </w:r>
          </w:p>
        </w:tc>
        <w:tc>
          <w:tcPr>
            <w:tcW w:w="76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68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66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76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96"/>
              </w:rPr>
              <w:t>15,932</w:t>
            </w:r>
            <w:r>
              <w:rPr>
                <w:rFonts w:ascii="Arial" w:cs="Arial" w:eastAsia="Arial" w:hAnsi="Arial"/>
                <w:sz w:val="21"/>
                <w:szCs w:val="21"/>
                <w:color w:val="auto"/>
                <w:w w:val="96"/>
                <w:vertAlign w:val="superscript"/>
              </w:rPr>
              <w:t>(6)</w:t>
            </w:r>
          </w:p>
        </w:tc>
        <w:tc>
          <w:tcPr>
            <w:tcW w:w="86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1,359,318</w:t>
            </w:r>
          </w:p>
        </w:tc>
        <w:tc>
          <w:tcPr>
            <w:tcW w:w="0" w:type="dxa"/>
            <w:vAlign w:val="bottom"/>
          </w:tcPr>
          <w:p>
            <w:pPr>
              <w:spacing w:after="0"/>
              <w:rPr>
                <w:sz w:val="1"/>
                <w:szCs w:val="1"/>
                <w:color w:val="auto"/>
              </w:rPr>
            </w:pPr>
          </w:p>
        </w:tc>
      </w:tr>
      <w:tr>
        <w:trPr>
          <w:trHeight w:val="260"/>
        </w:trPr>
        <w:tc>
          <w:tcPr>
            <w:tcW w:w="4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ind w:left="520"/>
              <w:spacing w:after="0"/>
              <w:rPr>
                <w:sz w:val="20"/>
                <w:szCs w:val="20"/>
                <w:color w:val="auto"/>
              </w:rPr>
            </w:pPr>
            <w:r>
              <w:rPr>
                <w:rFonts w:ascii="Arial" w:cs="Arial" w:eastAsia="Arial" w:hAnsi="Arial"/>
                <w:sz w:val="14"/>
                <w:szCs w:val="14"/>
                <w:color w:val="auto"/>
              </w:rPr>
              <w:t>N/A</w:t>
            </w:r>
          </w:p>
        </w:tc>
        <w:tc>
          <w:tcPr>
            <w:tcW w:w="780" w:type="dxa"/>
            <w:vAlign w:val="bottom"/>
            <w:gridSpan w:val="2"/>
          </w:tcPr>
          <w:p>
            <w:pPr>
              <w:jc w:val="center"/>
              <w:spacing w:after="0"/>
              <w:rPr>
                <w:sz w:val="20"/>
                <w:szCs w:val="20"/>
                <w:color w:val="auto"/>
              </w:rPr>
            </w:pPr>
            <w:r>
              <w:rPr>
                <w:rFonts w:ascii="Arial" w:cs="Arial" w:eastAsia="Arial" w:hAnsi="Arial"/>
                <w:sz w:val="14"/>
                <w:szCs w:val="14"/>
                <w:color w:val="auto"/>
              </w:rPr>
              <w:t>1,440,000</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1,800,000</w:t>
            </w:r>
          </w:p>
        </w:tc>
        <w:tc>
          <w:tcPr>
            <w:tcW w:w="700" w:type="dxa"/>
            <w:vAlign w:val="bottom"/>
          </w:tcPr>
          <w:p>
            <w:pPr>
              <w:jc w:val="center"/>
              <w:spacing w:after="0"/>
              <w:rPr>
                <w:sz w:val="20"/>
                <w:szCs w:val="20"/>
                <w:color w:val="auto"/>
              </w:rPr>
            </w:pPr>
            <w:r>
              <w:rPr>
                <w:rFonts w:ascii="Arial" w:cs="Arial" w:eastAsia="Arial" w:hAnsi="Arial"/>
                <w:sz w:val="14"/>
                <w:szCs w:val="14"/>
                <w:color w:val="auto"/>
                <w:w w:val="99"/>
              </w:rPr>
              <w:t>2,160,000</w:t>
            </w:r>
          </w:p>
        </w:tc>
        <w:tc>
          <w:tcPr>
            <w:tcW w:w="7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68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401"/>
        </w:trPr>
        <w:tc>
          <w:tcPr>
            <w:tcW w:w="4040" w:type="dxa"/>
            <w:vAlign w:val="bottom"/>
          </w:tcPr>
          <w:p>
            <w:pPr>
              <w:ind w:left="80"/>
              <w:spacing w:after="0"/>
              <w:rPr>
                <w:sz w:val="20"/>
                <w:szCs w:val="20"/>
                <w:color w:val="auto"/>
              </w:rPr>
            </w:pPr>
            <w:r>
              <w:rPr>
                <w:rFonts w:ascii="Arial" w:cs="Arial" w:eastAsia="Arial" w:hAnsi="Arial"/>
                <w:sz w:val="14"/>
                <w:szCs w:val="14"/>
                <w:color w:val="auto"/>
              </w:rPr>
              <w:t>Ellen F. Whittemore</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01/09/2024</w:t>
            </w:r>
          </w:p>
        </w:tc>
        <w:tc>
          <w:tcPr>
            <w:tcW w:w="780" w:type="dxa"/>
            <w:vAlign w:val="bottom"/>
            <w:gridSpan w:val="2"/>
          </w:tcPr>
          <w:p>
            <w:pPr>
              <w:jc w:val="center"/>
              <w:spacing w:after="0"/>
              <w:rPr>
                <w:sz w:val="20"/>
                <w:szCs w:val="20"/>
                <w:color w:val="auto"/>
              </w:rPr>
            </w:pPr>
            <w:r>
              <w:rPr>
                <w:rFonts w:ascii="Arial" w:cs="Arial" w:eastAsia="Arial" w:hAnsi="Arial"/>
                <w:sz w:val="14"/>
                <w:szCs w:val="14"/>
                <w:color w:val="auto"/>
                <w:w w:val="84"/>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68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7,441</w:t>
            </w:r>
            <w:r>
              <w:rPr>
                <w:rFonts w:ascii="Arial" w:cs="Arial" w:eastAsia="Arial" w:hAnsi="Arial"/>
                <w:sz w:val="21"/>
                <w:szCs w:val="21"/>
                <w:color w:val="auto"/>
                <w:w w:val="95"/>
                <w:vertAlign w:val="superscript"/>
              </w:rPr>
              <w:t>(3)</w:t>
            </w:r>
          </w:p>
        </w:tc>
        <w:tc>
          <w:tcPr>
            <w:tcW w:w="860" w:type="dxa"/>
            <w:vAlign w:val="bottom"/>
          </w:tcPr>
          <w:p>
            <w:pPr>
              <w:jc w:val="center"/>
              <w:spacing w:after="0"/>
              <w:rPr>
                <w:sz w:val="20"/>
                <w:szCs w:val="20"/>
                <w:color w:val="auto"/>
              </w:rPr>
            </w:pPr>
            <w:r>
              <w:rPr>
                <w:rFonts w:ascii="Arial" w:cs="Arial" w:eastAsia="Arial" w:hAnsi="Arial"/>
                <w:sz w:val="14"/>
                <w:szCs w:val="14"/>
                <w:color w:val="auto"/>
              </w:rPr>
              <w:t>708,830</w:t>
            </w:r>
          </w:p>
        </w:tc>
        <w:tc>
          <w:tcPr>
            <w:tcW w:w="0" w:type="dxa"/>
            <w:vAlign w:val="bottom"/>
          </w:tcPr>
          <w:p>
            <w:pPr>
              <w:spacing w:after="0"/>
              <w:rPr>
                <w:sz w:val="1"/>
                <w:szCs w:val="1"/>
                <w:color w:val="auto"/>
              </w:rPr>
            </w:pPr>
          </w:p>
        </w:tc>
      </w:tr>
      <w:tr>
        <w:trPr>
          <w:trHeight w:val="321"/>
        </w:trPr>
        <w:tc>
          <w:tcPr>
            <w:tcW w:w="4040" w:type="dxa"/>
            <w:vAlign w:val="bottom"/>
          </w:tcPr>
          <w:p>
            <w:pPr>
              <w:spacing w:after="0"/>
              <w:rPr>
                <w:sz w:val="24"/>
                <w:szCs w:val="24"/>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01/09/2024</w:t>
            </w:r>
          </w:p>
        </w:tc>
        <w:tc>
          <w:tcPr>
            <w:tcW w:w="780" w:type="dxa"/>
            <w:vAlign w:val="bottom"/>
            <w:gridSpan w:val="2"/>
          </w:tcPr>
          <w:p>
            <w:pPr>
              <w:jc w:val="center"/>
              <w:spacing w:after="0"/>
              <w:rPr>
                <w:sz w:val="20"/>
                <w:szCs w:val="20"/>
                <w:color w:val="auto"/>
              </w:rPr>
            </w:pPr>
            <w:r>
              <w:rPr>
                <w:rFonts w:ascii="Arial" w:cs="Arial" w:eastAsia="Arial" w:hAnsi="Arial"/>
                <w:sz w:val="14"/>
                <w:szCs w:val="14"/>
                <w:color w:val="auto"/>
                <w:w w:val="84"/>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680" w:type="dxa"/>
            <w:vAlign w:val="bottom"/>
          </w:tcPr>
          <w:p>
            <w:pPr>
              <w:jc w:val="center"/>
              <w:spacing w:after="0"/>
              <w:rPr>
                <w:sz w:val="20"/>
                <w:szCs w:val="20"/>
                <w:color w:val="auto"/>
              </w:rPr>
            </w:pPr>
            <w:r>
              <w:rPr>
                <w:rFonts w:ascii="Arial" w:cs="Arial" w:eastAsia="Arial" w:hAnsi="Arial"/>
                <w:sz w:val="14"/>
                <w:szCs w:val="14"/>
                <w:color w:val="auto"/>
                <w:w w:val="91"/>
              </w:rPr>
              <w:t>9,094</w:t>
            </w:r>
            <w:r>
              <w:rPr>
                <w:rFonts w:ascii="Arial" w:cs="Arial" w:eastAsia="Arial" w:hAnsi="Arial"/>
                <w:sz w:val="21"/>
                <w:szCs w:val="21"/>
                <w:color w:val="auto"/>
                <w:w w:val="91"/>
                <w:vertAlign w:val="superscript"/>
              </w:rPr>
              <w:t>(4)</w:t>
            </w:r>
          </w:p>
        </w:tc>
        <w:tc>
          <w:tcPr>
            <w:tcW w:w="6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rPr>
              <w:t>866,294</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160" w:right="220" w:firstLine="7"/>
        <w:spacing w:after="0" w:line="243" w:lineRule="auto"/>
        <w:tabs>
          <w:tab w:leader="none" w:pos="347"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potential 2024 performance-based annual incentive awards that could have been earned by our NEOs for fiscal year 2024 were subject to (a) the limitations set forth in the Omnibus Plan, including the cash and stock grant limits and continued employment through the end of the performance period; (b) the Compensation Committee’s ability to reduce awards in its discretion; and</w:t>
      </w:r>
    </w:p>
    <w:p>
      <w:pPr>
        <w:ind w:left="160"/>
        <w:spacing w:after="0" w:line="232" w:lineRule="auto"/>
        <w:rPr>
          <w:rFonts w:ascii="Arial" w:cs="Arial" w:eastAsia="Arial" w:hAnsi="Arial"/>
          <w:sz w:val="12"/>
          <w:szCs w:val="12"/>
          <w:color w:val="auto"/>
        </w:rPr>
      </w:pPr>
      <w:r>
        <w:rPr>
          <w:rFonts w:ascii="Arial" w:cs="Arial" w:eastAsia="Arial" w:hAnsi="Arial"/>
          <w:sz w:val="12"/>
          <w:szCs w:val="12"/>
          <w:color w:val="auto"/>
        </w:rPr>
        <w:t>(c) the Compensation Committee’s discretion to pay a portion of the awards in shares of Common Stock. Actual awards were based upon achievement of the following 2024 performance criteria:</w:t>
      </w:r>
    </w:p>
    <w:p>
      <w:pPr>
        <w:ind w:left="160" w:right="40"/>
        <w:spacing w:after="0" w:line="238" w:lineRule="auto"/>
        <w:rPr>
          <w:rFonts w:ascii="Arial" w:cs="Arial" w:eastAsia="Arial" w:hAnsi="Arial"/>
          <w:sz w:val="12"/>
          <w:szCs w:val="12"/>
          <w:color w:val="auto"/>
        </w:rPr>
      </w:pPr>
      <w:r>
        <w:rPr>
          <w:rFonts w:ascii="Arial" w:cs="Arial" w:eastAsia="Arial" w:hAnsi="Arial"/>
          <w:sz w:val="12"/>
          <w:szCs w:val="12"/>
          <w:color w:val="auto"/>
        </w:rPr>
        <w:t>(i) achievement of a 2024 North America Adjusted Property EBITDAR goal; (ii) achievement of a 2024 Macau Operations Adjusted Property EBITDAR goal; (iii) achievement of Wynn Las Vegas GGR market share goal; (iv) achievement of Macau Operations GGR market share goal; (v) achievement of Forbes Five-Star at Wynn Las Vegas; and (vi) advancement of Design &amp; Development of Wynn Al Marjan Island. Please refer to “Compensation Discussion and Analysis-How We Designed Incentives for 2024” for a description of each of the goals and achievement of performance against those goals. As described in the section above titled “2024 Annual incentive payout“, in January 2025, the Compensation Committee exercised its discretion to pay the applicable NEO the actual earned annual incentive award 50% in shares of restricted stock and 50% in cash. Further, Ms. Krum’s 2024 annual incentive award payout was prorated by 50% based on her partial year of service as the Company’s Executive Vice President, General Counsel and Secretary.</w:t>
      </w:r>
    </w:p>
    <w:p>
      <w:pPr>
        <w:spacing w:after="0" w:line="76" w:lineRule="exact"/>
        <w:rPr>
          <w:rFonts w:ascii="Arial" w:cs="Arial" w:eastAsia="Arial" w:hAnsi="Arial"/>
          <w:sz w:val="12"/>
          <w:szCs w:val="12"/>
          <w:color w:val="auto"/>
        </w:rPr>
      </w:pPr>
    </w:p>
    <w:p>
      <w:pPr>
        <w:ind w:left="160" w:right="80" w:firstLine="7"/>
        <w:spacing w:after="0" w:line="279" w:lineRule="auto"/>
        <w:tabs>
          <w:tab w:leader="none" w:pos="347"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amounts set forth in this column reflect the aggregate grant date fair value of stock awards granted to our NEOs, as computed in accordance with FASB ASC Topic 718. See our Annual Report on Form 10-K for the year ended December 31, 2024, Item 8, Note 13 -“Stock-Based Compensation” to our Consolidated Financial Statements for assumptions used in computing fair value.</w:t>
      </w:r>
    </w:p>
    <w:p>
      <w:pPr>
        <w:spacing w:after="0" w:line="53" w:lineRule="exact"/>
        <w:rPr>
          <w:rFonts w:ascii="Arial" w:cs="Arial" w:eastAsia="Arial" w:hAnsi="Arial"/>
          <w:sz w:val="12"/>
          <w:szCs w:val="12"/>
          <w:color w:val="auto"/>
        </w:rPr>
      </w:pPr>
    </w:p>
    <w:p>
      <w:pPr>
        <w:ind w:left="360" w:hanging="193"/>
        <w:spacing w:after="0"/>
        <w:tabs>
          <w:tab w:leader="none" w:pos="360" w:val="left"/>
        </w:tabs>
        <w:numPr>
          <w:ilvl w:val="0"/>
          <w:numId w:val="41"/>
        </w:numPr>
        <w:rPr>
          <w:rFonts w:ascii="Arial" w:cs="Arial" w:eastAsia="Arial" w:hAnsi="Arial"/>
          <w:sz w:val="12"/>
          <w:szCs w:val="12"/>
          <w:color w:val="auto"/>
        </w:rPr>
      </w:pPr>
      <w:r>
        <w:rPr>
          <w:rFonts w:ascii="Arial" w:cs="Arial" w:eastAsia="Arial" w:hAnsi="Arial"/>
          <w:sz w:val="12"/>
          <w:szCs w:val="12"/>
          <w:color w:val="auto"/>
        </w:rPr>
        <w:t>Restricted stock award vests ratably on January 9, 2025, 2026 and 2027, subject to continued employment through each such vesting date.</w:t>
      </w:r>
    </w:p>
    <w:p>
      <w:pPr>
        <w:spacing w:after="0" w:line="102" w:lineRule="exact"/>
        <w:rPr>
          <w:rFonts w:ascii="Arial" w:cs="Arial" w:eastAsia="Arial" w:hAnsi="Arial"/>
          <w:sz w:val="12"/>
          <w:szCs w:val="12"/>
          <w:color w:val="auto"/>
        </w:rPr>
      </w:pPr>
    </w:p>
    <w:p>
      <w:pPr>
        <w:ind w:left="160" w:right="280" w:firstLine="7"/>
        <w:spacing w:after="0" w:line="279" w:lineRule="auto"/>
        <w:tabs>
          <w:tab w:leader="none" w:pos="347" w:val="left"/>
        </w:tabs>
        <w:numPr>
          <w:ilvl w:val="0"/>
          <w:numId w:val="41"/>
        </w:numPr>
        <w:rPr>
          <w:rFonts w:ascii="Arial" w:cs="Arial" w:eastAsia="Arial" w:hAnsi="Arial"/>
          <w:sz w:val="12"/>
          <w:szCs w:val="12"/>
          <w:color w:val="auto"/>
        </w:rPr>
      </w:pPr>
      <w:r>
        <w:rPr>
          <w:rFonts w:ascii="Arial" w:cs="Arial" w:eastAsia="Arial" w:hAnsi="Arial"/>
          <w:sz w:val="12"/>
          <w:szCs w:val="12"/>
          <w:color w:val="auto"/>
        </w:rPr>
        <w:t>Restricted stock award vests ratably on February 28, 2025, 2026 and 2027, subject to the achievement of pre-established Las Vegas property-level revenue and Adjusted Property EBITDAR performance goals over a one-, two-, and three-year period, respectively, and in the case of Mr. Billings and Ms. Cameron-Doe, subject to continued</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2"/>
          <w:szCs w:val="12"/>
          <w:color w:val="351B3D"/>
        </w:rPr>
        <w:t>54</w:t>
      </w:r>
    </w:p>
    <w:p>
      <w:pPr>
        <w:sectPr>
          <w:pgSz w:w="11900" w:h="16838" w:orient="portrait"/>
          <w:cols w:equalWidth="0" w:num="1">
            <w:col w:w="11080"/>
          </w:cols>
          <w:pgMar w:left="320" w:top="478"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0" w:right="300"/>
        <w:spacing w:after="0" w:line="279" w:lineRule="auto"/>
        <w:rPr>
          <w:sz w:val="20"/>
          <w:szCs w:val="20"/>
          <w:color w:val="auto"/>
        </w:rPr>
      </w:pPr>
      <w:r>
        <w:rPr>
          <w:rFonts w:ascii="Arial" w:cs="Arial" w:eastAsia="Arial" w:hAnsi="Arial"/>
          <w:sz w:val="12"/>
          <w:szCs w:val="12"/>
          <w:color w:val="auto"/>
        </w:rPr>
        <w:t>employment, and in the case of Ms. Whittemore, subject to performing service during any performance period and will continue to vest on the original vesting date if performance criteria are met even if Ms. Whittemore is no longer employed by the Company under certain conditions.</w:t>
      </w:r>
    </w:p>
    <w:p>
      <w:pPr>
        <w:spacing w:after="0" w:line="54" w:lineRule="exact"/>
        <w:rPr>
          <w:sz w:val="20"/>
          <w:szCs w:val="20"/>
          <w:color w:val="auto"/>
        </w:rPr>
      </w:pPr>
    </w:p>
    <w:p>
      <w:pPr>
        <w:ind w:left="360" w:hanging="193"/>
        <w:spacing w:after="0"/>
        <w:tabs>
          <w:tab w:leader="none" w:pos="360" w:val="left"/>
        </w:tabs>
        <w:numPr>
          <w:ilvl w:val="0"/>
          <w:numId w:val="42"/>
        </w:numPr>
        <w:rPr>
          <w:rFonts w:ascii="Arial" w:cs="Arial" w:eastAsia="Arial" w:hAnsi="Arial"/>
          <w:sz w:val="12"/>
          <w:szCs w:val="12"/>
          <w:color w:val="auto"/>
        </w:rPr>
      </w:pPr>
      <w:r>
        <w:rPr>
          <w:rFonts w:ascii="Arial" w:cs="Arial" w:eastAsia="Arial" w:hAnsi="Arial"/>
          <w:sz w:val="12"/>
          <w:szCs w:val="12"/>
          <w:color w:val="auto"/>
        </w:rPr>
        <w:t>Refer to the “2024 Summary Compensation Table” for further information. PSU awards scheduled to vest on January 1, 2026 are subject to the level of performance achievement.</w:t>
      </w:r>
    </w:p>
    <w:p>
      <w:pPr>
        <w:spacing w:after="0" w:line="102" w:lineRule="exact"/>
        <w:rPr>
          <w:rFonts w:ascii="Arial" w:cs="Arial" w:eastAsia="Arial" w:hAnsi="Arial"/>
          <w:sz w:val="12"/>
          <w:szCs w:val="12"/>
          <w:color w:val="auto"/>
        </w:rPr>
      </w:pPr>
    </w:p>
    <w:p>
      <w:pPr>
        <w:ind w:left="160" w:right="200" w:firstLine="7"/>
        <w:spacing w:after="0" w:line="279" w:lineRule="auto"/>
        <w:tabs>
          <w:tab w:leader="none" w:pos="347" w:val="left"/>
        </w:tabs>
        <w:numPr>
          <w:ilvl w:val="0"/>
          <w:numId w:val="42"/>
        </w:numPr>
        <w:rPr>
          <w:rFonts w:ascii="Arial" w:cs="Arial" w:eastAsia="Arial" w:hAnsi="Arial"/>
          <w:sz w:val="12"/>
          <w:szCs w:val="12"/>
          <w:color w:val="auto"/>
        </w:rPr>
      </w:pPr>
      <w:r>
        <w:rPr>
          <w:rFonts w:ascii="Arial" w:cs="Arial" w:eastAsia="Arial" w:hAnsi="Arial"/>
          <w:sz w:val="12"/>
          <w:szCs w:val="12"/>
          <w:color w:val="auto"/>
        </w:rPr>
        <w:t>Ms. Krum received a one-time grant of time-based restricted stock upon her promotion to the Executive Vice President, General Counsel and Secretary of the Company, which vests ratably on September 15 of each of the three successive years from the date of grant, subject to continued employment through each such vesting date.</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45"/>
          <w:szCs w:val="45"/>
          <w:color w:val="140F21"/>
        </w:rPr>
        <w:t>Outstanding Equity Awards at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252730</wp:posOffset>
            </wp:positionV>
            <wp:extent cx="6929755" cy="38811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29755" cy="3881120"/>
                    </a:xfrm>
                    <a:prstGeom prst="rect">
                      <a:avLst/>
                    </a:prstGeom>
                    <a:noFill/>
                  </pic:spPr>
                </pic:pic>
              </a:graphicData>
            </a:graphic>
          </wp:anchor>
        </w:drawing>
      </w:r>
    </w:p>
    <w:p>
      <w:pPr>
        <w:spacing w:after="0" w:line="358" w:lineRule="exact"/>
        <w:rPr>
          <w:sz w:val="20"/>
          <w:szCs w:val="20"/>
          <w:color w:val="auto"/>
        </w:rPr>
      </w:pPr>
    </w:p>
    <w:tbl>
      <w:tblPr>
        <w:tblLayout w:type="fixed"/>
        <w:tblInd w:w="160" w:type="dxa"/>
        <w:tblCellMar>
          <w:top w:w="0" w:type="dxa"/>
          <w:left w:w="0" w:type="dxa"/>
          <w:bottom w:w="0" w:type="dxa"/>
          <w:right w:w="0" w:type="dxa"/>
        </w:tblCellMar>
      </w:tblPr>
      <w:tr>
        <w:trPr>
          <w:trHeight w:val="194"/>
        </w:trPr>
        <w:tc>
          <w:tcPr>
            <w:tcW w:w="3560" w:type="dxa"/>
            <w:vAlign w:val="bottom"/>
            <w:tcBorders>
              <w:top w:val="single" w:sz="8" w:color="351B3D"/>
            </w:tcBorders>
            <w:shd w:val="clear" w:color="auto" w:fill="351B3D"/>
          </w:tcPr>
          <w:p>
            <w:pPr>
              <w:spacing w:after="0"/>
              <w:rPr>
                <w:sz w:val="16"/>
                <w:szCs w:val="16"/>
                <w:color w:val="auto"/>
              </w:rPr>
            </w:pPr>
          </w:p>
        </w:tc>
        <w:tc>
          <w:tcPr>
            <w:tcW w:w="960" w:type="dxa"/>
            <w:vAlign w:val="bottom"/>
            <w:tcBorders>
              <w:top w:val="single" w:sz="8" w:color="351B3D"/>
            </w:tcBorders>
          </w:tcPr>
          <w:p>
            <w:pPr>
              <w:spacing w:after="0"/>
              <w:rPr>
                <w:sz w:val="16"/>
                <w:szCs w:val="16"/>
                <w:color w:val="auto"/>
              </w:rPr>
            </w:pPr>
          </w:p>
        </w:tc>
        <w:tc>
          <w:tcPr>
            <w:tcW w:w="1880" w:type="dxa"/>
            <w:vAlign w:val="bottom"/>
            <w:tcBorders>
              <w:top w:val="single" w:sz="8" w:color="351B3D"/>
            </w:tcBorders>
            <w:gridSpan w:val="2"/>
          </w:tcPr>
          <w:p>
            <w:pPr>
              <w:ind w:left="480"/>
              <w:spacing w:after="0"/>
              <w:rPr>
                <w:sz w:val="20"/>
                <w:szCs w:val="20"/>
                <w:color w:val="auto"/>
              </w:rPr>
            </w:pPr>
            <w:r>
              <w:rPr>
                <w:rFonts w:ascii="Arial" w:cs="Arial" w:eastAsia="Arial" w:hAnsi="Arial"/>
                <w:sz w:val="11"/>
                <w:szCs w:val="11"/>
                <w:color w:val="FFFFFF"/>
              </w:rPr>
              <w:t>OPTION AWARDS</w:t>
            </w:r>
          </w:p>
        </w:tc>
        <w:tc>
          <w:tcPr>
            <w:tcW w:w="920" w:type="dxa"/>
            <w:vAlign w:val="bottom"/>
            <w:tcBorders>
              <w:top w:val="single" w:sz="8" w:color="351B3D"/>
            </w:tcBorders>
          </w:tcPr>
          <w:p>
            <w:pPr>
              <w:spacing w:after="0"/>
              <w:rPr>
                <w:sz w:val="16"/>
                <w:szCs w:val="16"/>
                <w:color w:val="auto"/>
              </w:rPr>
            </w:pPr>
          </w:p>
        </w:tc>
        <w:tc>
          <w:tcPr>
            <w:tcW w:w="820" w:type="dxa"/>
            <w:vAlign w:val="bottom"/>
            <w:tcBorders>
              <w:top w:val="single" w:sz="8" w:color="351B3D"/>
            </w:tcBorders>
          </w:tcPr>
          <w:p>
            <w:pPr>
              <w:spacing w:after="0"/>
              <w:rPr>
                <w:sz w:val="16"/>
                <w:szCs w:val="16"/>
                <w:color w:val="auto"/>
              </w:rPr>
            </w:pPr>
          </w:p>
        </w:tc>
        <w:tc>
          <w:tcPr>
            <w:tcW w:w="1880" w:type="dxa"/>
            <w:vAlign w:val="bottom"/>
            <w:tcBorders>
              <w:top w:val="single" w:sz="8" w:color="351B3D"/>
            </w:tcBorders>
            <w:gridSpan w:val="2"/>
          </w:tcPr>
          <w:p>
            <w:pPr>
              <w:ind w:left="580"/>
              <w:spacing w:after="0"/>
              <w:rPr>
                <w:sz w:val="20"/>
                <w:szCs w:val="20"/>
                <w:color w:val="auto"/>
              </w:rPr>
            </w:pPr>
            <w:r>
              <w:rPr>
                <w:rFonts w:ascii="Arial" w:cs="Arial" w:eastAsia="Arial" w:hAnsi="Arial"/>
                <w:sz w:val="11"/>
                <w:szCs w:val="11"/>
                <w:color w:val="FFFFFF"/>
              </w:rPr>
              <w:t>STOCK AWARDS</w:t>
            </w:r>
          </w:p>
        </w:tc>
        <w:tc>
          <w:tcPr>
            <w:tcW w:w="900" w:type="dxa"/>
            <w:vAlign w:val="bottom"/>
            <w:tcBorders>
              <w:top w:val="single" w:sz="8" w:color="351B3D"/>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60" w:type="dxa"/>
            <w:vAlign w:val="bottom"/>
            <w:shd w:val="clear" w:color="auto" w:fill="351B3D"/>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80" w:type="dxa"/>
            <w:vAlign w:val="bottom"/>
            <w:gridSpan w:val="2"/>
          </w:tcPr>
          <w:p>
            <w:pPr>
              <w:jc w:val="center"/>
              <w:ind w:left="34"/>
              <w:spacing w:after="0"/>
              <w:rPr>
                <w:sz w:val="20"/>
                <w:szCs w:val="20"/>
                <w:color w:val="auto"/>
              </w:rPr>
            </w:pPr>
            <w:r>
              <w:rPr>
                <w:rFonts w:ascii="Arial" w:cs="Arial" w:eastAsia="Arial" w:hAnsi="Arial"/>
                <w:sz w:val="11"/>
                <w:szCs w:val="11"/>
                <w:color w:val="FFFFFF"/>
                <w:w w:val="96"/>
              </w:rPr>
              <w:t>EQUITY INCENTIVE PLAN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3560" w:type="dxa"/>
            <w:vAlign w:val="bottom"/>
            <w:shd w:val="clear" w:color="auto" w:fill="351B3D"/>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80" w:type="dxa"/>
            <w:vAlign w:val="bottom"/>
            <w:gridSpan w:val="2"/>
          </w:tcPr>
          <w:p>
            <w:pPr>
              <w:jc w:val="center"/>
              <w:ind w:left="34"/>
              <w:spacing w:after="0" w:line="121" w:lineRule="exact"/>
              <w:rPr>
                <w:sz w:val="20"/>
                <w:szCs w:val="20"/>
                <w:color w:val="auto"/>
              </w:rPr>
            </w:pPr>
            <w:r>
              <w:rPr>
                <w:rFonts w:ascii="Arial" w:cs="Arial" w:eastAsia="Arial" w:hAnsi="Arial"/>
                <w:sz w:val="11"/>
                <w:szCs w:val="11"/>
                <w:color w:val="FFFFFF"/>
                <w:w w:val="97"/>
              </w:rPr>
              <w:t>AWARDS: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60" w:type="dxa"/>
            <w:vAlign w:val="bottom"/>
            <w:vMerge w:val="restart"/>
            <w:shd w:val="clear" w:color="auto" w:fill="351B3D"/>
          </w:tcPr>
          <w:p>
            <w:pPr>
              <w:ind w:left="80"/>
              <w:spacing w:after="0"/>
              <w:rPr>
                <w:sz w:val="20"/>
                <w:szCs w:val="20"/>
                <w:color w:val="auto"/>
              </w:rPr>
            </w:pPr>
            <w:r>
              <w:rPr>
                <w:rFonts w:ascii="Arial" w:cs="Arial" w:eastAsia="Arial" w:hAnsi="Arial"/>
                <w:sz w:val="11"/>
                <w:szCs w:val="11"/>
                <w:color w:val="FFFFFF"/>
              </w:rPr>
              <w:t>NAMED EXECUTIVE</w:t>
            </w:r>
          </w:p>
        </w:tc>
        <w:tc>
          <w:tcPr>
            <w:tcW w:w="2040" w:type="dxa"/>
            <w:vAlign w:val="bottom"/>
            <w:gridSpan w:val="2"/>
          </w:tcPr>
          <w:p>
            <w:pPr>
              <w:jc w:val="center"/>
              <w:spacing w:after="0" w:line="121" w:lineRule="exact"/>
              <w:rPr>
                <w:sz w:val="20"/>
                <w:szCs w:val="20"/>
                <w:color w:val="auto"/>
              </w:rPr>
            </w:pPr>
            <w:r>
              <w:rPr>
                <w:rFonts w:ascii="Arial" w:cs="Arial" w:eastAsia="Arial" w:hAnsi="Arial"/>
                <w:sz w:val="11"/>
                <w:szCs w:val="11"/>
                <w:color w:val="FFFFFF"/>
                <w:w w:val="97"/>
              </w:rPr>
              <w:t>NUMBER OF SECURITIES</w:t>
            </w:r>
          </w:p>
        </w:tc>
        <w:tc>
          <w:tcPr>
            <w:tcW w:w="800" w:type="dxa"/>
            <w:vAlign w:val="bottom"/>
          </w:tcPr>
          <w:p>
            <w:pPr>
              <w:jc w:val="center"/>
              <w:spacing w:after="0" w:line="121" w:lineRule="exact"/>
              <w:rPr>
                <w:sz w:val="20"/>
                <w:szCs w:val="20"/>
                <w:color w:val="auto"/>
              </w:rPr>
            </w:pPr>
            <w:r>
              <w:rPr>
                <w:rFonts w:ascii="Arial" w:cs="Arial" w:eastAsia="Arial" w:hAnsi="Arial"/>
                <w:sz w:val="11"/>
                <w:szCs w:val="11"/>
                <w:color w:val="FFFFFF"/>
                <w:w w:val="99"/>
              </w:rPr>
              <w:t>OPTION</w:t>
            </w:r>
          </w:p>
        </w:tc>
        <w:tc>
          <w:tcPr>
            <w:tcW w:w="920" w:type="dxa"/>
            <w:vAlign w:val="bottom"/>
          </w:tcPr>
          <w:p>
            <w:pPr>
              <w:jc w:val="center"/>
              <w:spacing w:after="0" w:line="121" w:lineRule="exact"/>
              <w:rPr>
                <w:sz w:val="20"/>
                <w:szCs w:val="20"/>
                <w:color w:val="auto"/>
              </w:rPr>
            </w:pPr>
            <w:r>
              <w:rPr>
                <w:rFonts w:ascii="Arial" w:cs="Arial" w:eastAsia="Arial" w:hAnsi="Arial"/>
                <w:sz w:val="11"/>
                <w:szCs w:val="11"/>
                <w:color w:val="FFFFFF"/>
                <w:w w:val="99"/>
              </w:rPr>
              <w:t>OPTION</w:t>
            </w:r>
          </w:p>
        </w:tc>
        <w:tc>
          <w:tcPr>
            <w:tcW w:w="1720" w:type="dxa"/>
            <w:vAlign w:val="bottom"/>
            <w:gridSpan w:val="2"/>
          </w:tcPr>
          <w:p>
            <w:pPr>
              <w:jc w:val="center"/>
              <w:spacing w:after="0" w:line="121" w:lineRule="exact"/>
              <w:rPr>
                <w:sz w:val="20"/>
                <w:szCs w:val="20"/>
                <w:color w:val="auto"/>
              </w:rPr>
            </w:pPr>
            <w:r>
              <w:rPr>
                <w:rFonts w:ascii="Arial" w:cs="Arial" w:eastAsia="Arial" w:hAnsi="Arial"/>
                <w:sz w:val="11"/>
                <w:szCs w:val="11"/>
                <w:color w:val="FFFFFF"/>
                <w:w w:val="97"/>
              </w:rPr>
              <w:t>SHARES OR UNITS OF</w:t>
            </w:r>
          </w:p>
        </w:tc>
        <w:tc>
          <w:tcPr>
            <w:tcW w:w="1900" w:type="dxa"/>
            <w:vAlign w:val="bottom"/>
            <w:gridSpan w:val="3"/>
          </w:tcPr>
          <w:p>
            <w:pPr>
              <w:jc w:val="center"/>
              <w:ind w:left="34"/>
              <w:spacing w:after="0" w:line="121" w:lineRule="exact"/>
              <w:rPr>
                <w:sz w:val="20"/>
                <w:szCs w:val="20"/>
                <w:color w:val="auto"/>
              </w:rPr>
            </w:pPr>
            <w:r>
              <w:rPr>
                <w:rFonts w:ascii="Arial" w:cs="Arial" w:eastAsia="Arial" w:hAnsi="Arial"/>
                <w:sz w:val="11"/>
                <w:szCs w:val="11"/>
                <w:color w:val="FFFFFF"/>
                <w:w w:val="97"/>
              </w:rPr>
              <w:t xml:space="preserve">      UNEARNED SHARES, UNITS      </w:t>
            </w:r>
          </w:p>
        </w:tc>
        <w:tc>
          <w:tcPr>
            <w:tcW w:w="0" w:type="dxa"/>
            <w:vAlign w:val="bottom"/>
          </w:tcPr>
          <w:p>
            <w:pPr>
              <w:spacing w:after="0"/>
              <w:rPr>
                <w:sz w:val="1"/>
                <w:szCs w:val="1"/>
                <w:color w:val="auto"/>
              </w:rPr>
            </w:pPr>
          </w:p>
        </w:tc>
      </w:tr>
      <w:tr>
        <w:trPr>
          <w:trHeight w:val="107"/>
        </w:trPr>
        <w:tc>
          <w:tcPr>
            <w:tcW w:w="3560" w:type="dxa"/>
            <w:vAlign w:val="bottom"/>
            <w:vMerge w:val="continue"/>
            <w:shd w:val="clear" w:color="auto" w:fill="351B3D"/>
          </w:tcPr>
          <w:p>
            <w:pPr>
              <w:spacing w:after="0"/>
              <w:rPr>
                <w:sz w:val="9"/>
                <w:szCs w:val="9"/>
                <w:color w:val="auto"/>
              </w:rPr>
            </w:pPr>
          </w:p>
        </w:tc>
        <w:tc>
          <w:tcPr>
            <w:tcW w:w="2040" w:type="dxa"/>
            <w:vAlign w:val="bottom"/>
            <w:gridSpan w:val="2"/>
          </w:tcPr>
          <w:p>
            <w:pPr>
              <w:jc w:val="center"/>
              <w:spacing w:after="0" w:line="107" w:lineRule="exact"/>
              <w:rPr>
                <w:sz w:val="20"/>
                <w:szCs w:val="20"/>
                <w:color w:val="auto"/>
              </w:rPr>
            </w:pPr>
            <w:r>
              <w:rPr>
                <w:rFonts w:ascii="Arial" w:cs="Arial" w:eastAsia="Arial" w:hAnsi="Arial"/>
                <w:sz w:val="11"/>
                <w:szCs w:val="11"/>
                <w:color w:val="FFFFFF"/>
                <w:w w:val="95"/>
              </w:rPr>
              <w:t>UNDERLYING UNEXERCISED</w:t>
            </w:r>
          </w:p>
        </w:tc>
        <w:tc>
          <w:tcPr>
            <w:tcW w:w="800" w:type="dxa"/>
            <w:vAlign w:val="bottom"/>
          </w:tcPr>
          <w:p>
            <w:pPr>
              <w:jc w:val="center"/>
              <w:spacing w:after="0" w:line="107" w:lineRule="exact"/>
              <w:rPr>
                <w:sz w:val="20"/>
                <w:szCs w:val="20"/>
                <w:color w:val="auto"/>
              </w:rPr>
            </w:pPr>
            <w:r>
              <w:rPr>
                <w:rFonts w:ascii="Arial" w:cs="Arial" w:eastAsia="Arial" w:hAnsi="Arial"/>
                <w:sz w:val="11"/>
                <w:szCs w:val="11"/>
                <w:color w:val="FFFFFF"/>
                <w:w w:val="96"/>
              </w:rPr>
              <w:t xml:space="preserve">   EXERCISE   </w:t>
            </w:r>
          </w:p>
        </w:tc>
        <w:tc>
          <w:tcPr>
            <w:tcW w:w="920" w:type="dxa"/>
            <w:vAlign w:val="bottom"/>
          </w:tcPr>
          <w:p>
            <w:pPr>
              <w:jc w:val="center"/>
              <w:spacing w:after="0" w:line="107" w:lineRule="exact"/>
              <w:rPr>
                <w:sz w:val="20"/>
                <w:szCs w:val="20"/>
                <w:color w:val="auto"/>
              </w:rPr>
            </w:pPr>
            <w:r>
              <w:rPr>
                <w:rFonts w:ascii="Arial" w:cs="Arial" w:eastAsia="Arial" w:hAnsi="Arial"/>
                <w:sz w:val="11"/>
                <w:szCs w:val="11"/>
                <w:color w:val="FFFFFF"/>
                <w:w w:val="95"/>
              </w:rPr>
              <w:t xml:space="preserve">   EXPIRATION   </w:t>
            </w:r>
          </w:p>
        </w:tc>
        <w:tc>
          <w:tcPr>
            <w:tcW w:w="1720" w:type="dxa"/>
            <w:vAlign w:val="bottom"/>
            <w:gridSpan w:val="2"/>
          </w:tcPr>
          <w:p>
            <w:pPr>
              <w:jc w:val="center"/>
              <w:spacing w:after="0" w:line="107" w:lineRule="exact"/>
              <w:rPr>
                <w:sz w:val="20"/>
                <w:szCs w:val="20"/>
                <w:color w:val="auto"/>
              </w:rPr>
            </w:pPr>
            <w:r>
              <w:rPr>
                <w:rFonts w:ascii="Arial" w:cs="Arial" w:eastAsia="Arial" w:hAnsi="Arial"/>
                <w:sz w:val="11"/>
                <w:szCs w:val="11"/>
                <w:color w:val="FFFFFF"/>
                <w:w w:val="97"/>
              </w:rPr>
              <w:t xml:space="preserve">      STOCK THAT HAVE NOT      </w:t>
            </w:r>
          </w:p>
        </w:tc>
        <w:tc>
          <w:tcPr>
            <w:tcW w:w="1900" w:type="dxa"/>
            <w:vAlign w:val="bottom"/>
            <w:gridSpan w:val="3"/>
          </w:tcPr>
          <w:p>
            <w:pPr>
              <w:jc w:val="center"/>
              <w:ind w:left="14"/>
              <w:spacing w:after="0" w:line="107" w:lineRule="exact"/>
              <w:rPr>
                <w:sz w:val="20"/>
                <w:szCs w:val="20"/>
                <w:color w:val="auto"/>
              </w:rPr>
            </w:pPr>
            <w:r>
              <w:rPr>
                <w:rFonts w:ascii="Arial" w:cs="Arial" w:eastAsia="Arial" w:hAnsi="Arial"/>
                <w:sz w:val="11"/>
                <w:szCs w:val="11"/>
                <w:color w:val="FFFFFF"/>
                <w:w w:val="96"/>
              </w:rPr>
              <w:t>OR OTHER RIGHTS THAT</w:t>
            </w:r>
          </w:p>
        </w:tc>
        <w:tc>
          <w:tcPr>
            <w:tcW w:w="0" w:type="dxa"/>
            <w:vAlign w:val="bottom"/>
          </w:tcPr>
          <w:p>
            <w:pPr>
              <w:spacing w:after="0"/>
              <w:rPr>
                <w:sz w:val="1"/>
                <w:szCs w:val="1"/>
                <w:color w:val="auto"/>
              </w:rPr>
            </w:pPr>
          </w:p>
        </w:tc>
      </w:tr>
      <w:tr>
        <w:trPr>
          <w:trHeight w:val="154"/>
        </w:trPr>
        <w:tc>
          <w:tcPr>
            <w:tcW w:w="3560" w:type="dxa"/>
            <w:vAlign w:val="bottom"/>
            <w:shd w:val="clear" w:color="auto" w:fill="351B3D"/>
          </w:tcPr>
          <w:p>
            <w:pPr>
              <w:ind w:left="80"/>
              <w:spacing w:after="0"/>
              <w:rPr>
                <w:sz w:val="20"/>
                <w:szCs w:val="20"/>
                <w:color w:val="auto"/>
              </w:rPr>
            </w:pPr>
            <w:r>
              <w:rPr>
                <w:rFonts w:ascii="Arial" w:cs="Arial" w:eastAsia="Arial" w:hAnsi="Arial"/>
                <w:sz w:val="11"/>
                <w:szCs w:val="11"/>
                <w:color w:val="FFFFFF"/>
              </w:rPr>
              <w:t>OFFICER</w:t>
            </w:r>
          </w:p>
        </w:tc>
        <w:tc>
          <w:tcPr>
            <w:tcW w:w="2040" w:type="dxa"/>
            <w:vAlign w:val="bottom"/>
            <w:gridSpan w:val="2"/>
          </w:tcPr>
          <w:p>
            <w:pPr>
              <w:jc w:val="center"/>
              <w:spacing w:after="0"/>
              <w:rPr>
                <w:sz w:val="20"/>
                <w:szCs w:val="20"/>
                <w:color w:val="auto"/>
              </w:rPr>
            </w:pPr>
            <w:r>
              <w:rPr>
                <w:rFonts w:ascii="Arial" w:cs="Arial" w:eastAsia="Arial" w:hAnsi="Arial"/>
                <w:sz w:val="11"/>
                <w:szCs w:val="11"/>
                <w:color w:val="FFFFFF"/>
                <w:w w:val="96"/>
              </w:rPr>
              <w:t>OPTIONS (#)</w:t>
            </w:r>
          </w:p>
        </w:tc>
        <w:tc>
          <w:tcPr>
            <w:tcW w:w="800" w:type="dxa"/>
            <w:vAlign w:val="bottom"/>
          </w:tcPr>
          <w:p>
            <w:pPr>
              <w:jc w:val="center"/>
              <w:spacing w:after="0"/>
              <w:rPr>
                <w:sz w:val="20"/>
                <w:szCs w:val="20"/>
                <w:color w:val="auto"/>
              </w:rPr>
            </w:pPr>
            <w:r>
              <w:rPr>
                <w:rFonts w:ascii="Arial" w:cs="Arial" w:eastAsia="Arial" w:hAnsi="Arial"/>
                <w:sz w:val="11"/>
                <w:szCs w:val="11"/>
                <w:color w:val="FFFFFF"/>
                <w:w w:val="95"/>
              </w:rPr>
              <w:t>PRICE ($)</w:t>
            </w:r>
          </w:p>
        </w:tc>
        <w:tc>
          <w:tcPr>
            <w:tcW w:w="920" w:type="dxa"/>
            <w:vAlign w:val="bottom"/>
          </w:tcPr>
          <w:p>
            <w:pPr>
              <w:jc w:val="center"/>
              <w:spacing w:after="0"/>
              <w:rPr>
                <w:sz w:val="20"/>
                <w:szCs w:val="20"/>
                <w:color w:val="auto"/>
              </w:rPr>
            </w:pPr>
            <w:r>
              <w:rPr>
                <w:rFonts w:ascii="Arial" w:cs="Arial" w:eastAsia="Arial" w:hAnsi="Arial"/>
                <w:sz w:val="11"/>
                <w:szCs w:val="11"/>
                <w:color w:val="FFFFFF"/>
                <w:w w:val="95"/>
              </w:rPr>
              <w:t>DATE</w:t>
            </w:r>
          </w:p>
        </w:tc>
        <w:tc>
          <w:tcPr>
            <w:tcW w:w="1720" w:type="dxa"/>
            <w:vAlign w:val="bottom"/>
            <w:gridSpan w:val="2"/>
          </w:tcPr>
          <w:p>
            <w:pPr>
              <w:jc w:val="center"/>
              <w:spacing w:after="0"/>
              <w:rPr>
                <w:sz w:val="20"/>
                <w:szCs w:val="20"/>
                <w:color w:val="auto"/>
              </w:rPr>
            </w:pPr>
            <w:r>
              <w:rPr>
                <w:rFonts w:ascii="Arial" w:cs="Arial" w:eastAsia="Arial" w:hAnsi="Arial"/>
                <w:sz w:val="11"/>
                <w:szCs w:val="11"/>
                <w:color w:val="FFFFFF"/>
                <w:w w:val="95"/>
              </w:rPr>
              <w:t>VESTED</w:t>
            </w:r>
          </w:p>
        </w:tc>
        <w:tc>
          <w:tcPr>
            <w:tcW w:w="1900" w:type="dxa"/>
            <w:vAlign w:val="bottom"/>
            <w:gridSpan w:val="3"/>
          </w:tcPr>
          <w:p>
            <w:pPr>
              <w:jc w:val="center"/>
              <w:spacing w:after="0"/>
              <w:rPr>
                <w:sz w:val="20"/>
                <w:szCs w:val="20"/>
                <w:color w:val="auto"/>
              </w:rPr>
            </w:pPr>
            <w:r>
              <w:rPr>
                <w:rFonts w:ascii="Arial" w:cs="Arial" w:eastAsia="Arial" w:hAnsi="Arial"/>
                <w:sz w:val="11"/>
                <w:szCs w:val="11"/>
                <w:color w:val="FFFFFF"/>
                <w:w w:val="96"/>
              </w:rPr>
              <w:t>HAVE NOT VESTED</w:t>
            </w:r>
          </w:p>
        </w:tc>
        <w:tc>
          <w:tcPr>
            <w:tcW w:w="0" w:type="dxa"/>
            <w:vAlign w:val="bottom"/>
          </w:tcPr>
          <w:p>
            <w:pPr>
              <w:spacing w:after="0"/>
              <w:rPr>
                <w:sz w:val="1"/>
                <w:szCs w:val="1"/>
                <w:color w:val="auto"/>
              </w:rPr>
            </w:pPr>
          </w:p>
        </w:tc>
      </w:tr>
      <w:tr>
        <w:trPr>
          <w:trHeight w:val="207"/>
        </w:trPr>
        <w:tc>
          <w:tcPr>
            <w:tcW w:w="3560" w:type="dxa"/>
            <w:vAlign w:val="bottom"/>
            <w:shd w:val="clear" w:color="auto" w:fill="351B3D"/>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FFFFFF"/>
              </w:rPr>
              <w:t xml:space="preserve">   </w:t>
            </w:r>
          </w:p>
        </w:tc>
        <w:tc>
          <w:tcPr>
            <w:tcW w:w="1080" w:type="dxa"/>
            <w:vAlign w:val="bottom"/>
          </w:tcPr>
          <w:p>
            <w:pPr>
              <w:jc w:val="center"/>
              <w:spacing w:after="0"/>
              <w:rPr>
                <w:sz w:val="20"/>
                <w:szCs w:val="20"/>
                <w:color w:val="auto"/>
              </w:rPr>
            </w:pPr>
            <w:r>
              <w:rPr>
                <w:rFonts w:ascii="Arial" w:cs="Arial" w:eastAsia="Arial" w:hAnsi="Arial"/>
                <w:sz w:val="11"/>
                <w:szCs w:val="11"/>
                <w:color w:val="FFFFFF"/>
              </w:rPr>
              <w:t xml:space="preserve">   </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Arial" w:cs="Arial" w:eastAsia="Arial" w:hAnsi="Arial"/>
                <w:sz w:val="11"/>
                <w:szCs w:val="11"/>
                <w:color w:val="FFFFFF"/>
              </w:rPr>
              <w:t xml:space="preserve">   NUMBER   </w:t>
            </w:r>
          </w:p>
        </w:tc>
        <w:tc>
          <w:tcPr>
            <w:tcW w:w="900" w:type="dxa"/>
            <w:vAlign w:val="bottom"/>
          </w:tcPr>
          <w:p>
            <w:pPr>
              <w:ind w:left="180"/>
              <w:spacing w:after="0"/>
              <w:rPr>
                <w:sz w:val="20"/>
                <w:szCs w:val="20"/>
                <w:color w:val="auto"/>
              </w:rPr>
            </w:pPr>
            <w:r>
              <w:rPr>
                <w:rFonts w:ascii="Arial" w:cs="Arial" w:eastAsia="Arial" w:hAnsi="Arial"/>
                <w:sz w:val="11"/>
                <w:szCs w:val="11"/>
                <w:color w:val="FFFFFF"/>
              </w:rPr>
              <w:t xml:space="preserve">   VALUE   </w:t>
            </w:r>
          </w:p>
        </w:tc>
        <w:tc>
          <w:tcPr>
            <w:tcW w:w="980" w:type="dxa"/>
            <w:vAlign w:val="bottom"/>
          </w:tcPr>
          <w:p>
            <w:pPr>
              <w:ind w:left="180"/>
              <w:spacing w:after="0"/>
              <w:rPr>
                <w:sz w:val="20"/>
                <w:szCs w:val="20"/>
                <w:color w:val="auto"/>
              </w:rPr>
            </w:pPr>
            <w:r>
              <w:rPr>
                <w:rFonts w:ascii="Arial" w:cs="Arial" w:eastAsia="Arial" w:hAnsi="Arial"/>
                <w:sz w:val="11"/>
                <w:szCs w:val="11"/>
                <w:color w:val="FFFFFF"/>
              </w:rPr>
              <w:t xml:space="preserve">   NUMBER   </w:t>
            </w:r>
          </w:p>
        </w:tc>
        <w:tc>
          <w:tcPr>
            <w:tcW w:w="920" w:type="dxa"/>
            <w:vAlign w:val="bottom"/>
            <w:gridSpan w:val="2"/>
          </w:tcPr>
          <w:p>
            <w:pPr>
              <w:jc w:val="right"/>
              <w:ind w:right="200"/>
              <w:spacing w:after="0"/>
              <w:rPr>
                <w:sz w:val="20"/>
                <w:szCs w:val="20"/>
                <w:color w:val="auto"/>
              </w:rPr>
            </w:pPr>
            <w:r>
              <w:rPr>
                <w:rFonts w:ascii="Arial" w:cs="Arial" w:eastAsia="Arial" w:hAnsi="Arial"/>
                <w:sz w:val="11"/>
                <w:szCs w:val="11"/>
                <w:color w:val="FFFFFF"/>
              </w:rPr>
              <w:t xml:space="preserve">   VALUE   </w:t>
            </w:r>
          </w:p>
        </w:tc>
        <w:tc>
          <w:tcPr>
            <w:tcW w:w="0" w:type="dxa"/>
            <w:vAlign w:val="bottom"/>
          </w:tcPr>
          <w:p>
            <w:pPr>
              <w:spacing w:after="0"/>
              <w:rPr>
                <w:sz w:val="1"/>
                <w:szCs w:val="1"/>
                <w:color w:val="auto"/>
              </w:rPr>
            </w:pPr>
          </w:p>
        </w:tc>
      </w:tr>
      <w:tr>
        <w:trPr>
          <w:trHeight w:val="167"/>
        </w:trPr>
        <w:tc>
          <w:tcPr>
            <w:tcW w:w="3560" w:type="dxa"/>
            <w:vAlign w:val="bottom"/>
            <w:tcBorders>
              <w:bottom w:val="single" w:sz="8" w:color="351B3D"/>
            </w:tcBorders>
            <w:shd w:val="clear" w:color="auto" w:fill="351B3D"/>
          </w:tcPr>
          <w:p>
            <w:pPr>
              <w:spacing w:after="0"/>
              <w:rPr>
                <w:sz w:val="14"/>
                <w:szCs w:val="14"/>
                <w:color w:val="auto"/>
              </w:rPr>
            </w:pPr>
          </w:p>
        </w:tc>
        <w:tc>
          <w:tcPr>
            <w:tcW w:w="960" w:type="dxa"/>
            <w:vAlign w:val="bottom"/>
          </w:tcPr>
          <w:p>
            <w:pPr>
              <w:ind w:left="80"/>
              <w:spacing w:after="0"/>
              <w:rPr>
                <w:sz w:val="20"/>
                <w:szCs w:val="20"/>
                <w:color w:val="auto"/>
              </w:rPr>
            </w:pPr>
            <w:r>
              <w:rPr>
                <w:rFonts w:ascii="Arial" w:cs="Arial" w:eastAsia="Arial" w:hAnsi="Arial"/>
                <w:sz w:val="11"/>
                <w:szCs w:val="11"/>
                <w:color w:val="FFFFFF"/>
              </w:rPr>
              <w:t xml:space="preserve">EXERCISABLE   </w:t>
            </w:r>
          </w:p>
        </w:tc>
        <w:tc>
          <w:tcPr>
            <w:tcW w:w="1080" w:type="dxa"/>
            <w:vAlign w:val="bottom"/>
          </w:tcPr>
          <w:p>
            <w:pPr>
              <w:ind w:left="60"/>
              <w:spacing w:after="0"/>
              <w:rPr>
                <w:sz w:val="20"/>
                <w:szCs w:val="20"/>
                <w:color w:val="auto"/>
              </w:rPr>
            </w:pPr>
            <w:r>
              <w:rPr>
                <w:rFonts w:ascii="Arial" w:cs="Arial" w:eastAsia="Arial" w:hAnsi="Arial"/>
                <w:sz w:val="11"/>
                <w:szCs w:val="11"/>
                <w:color w:val="FFFFFF"/>
              </w:rPr>
              <w:t xml:space="preserve">UNEXERCISABLE   </w:t>
            </w: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FFFFFF"/>
                <w:w w:val="88"/>
              </w:rPr>
              <w:t>(#)</w:t>
            </w:r>
          </w:p>
        </w:tc>
        <w:tc>
          <w:tcPr>
            <w:tcW w:w="900" w:type="dxa"/>
            <w:vAlign w:val="bottom"/>
          </w:tcPr>
          <w:p>
            <w:pPr>
              <w:jc w:val="center"/>
              <w:spacing w:after="0"/>
              <w:rPr>
                <w:sz w:val="20"/>
                <w:szCs w:val="20"/>
                <w:color w:val="auto"/>
              </w:rPr>
            </w:pPr>
            <w:r>
              <w:rPr>
                <w:rFonts w:ascii="Arial" w:cs="Arial" w:eastAsia="Arial" w:hAnsi="Arial"/>
                <w:sz w:val="11"/>
                <w:szCs w:val="11"/>
                <w:color w:val="FFFFFF"/>
                <w:w w:val="96"/>
              </w:rPr>
              <w:t>($)(18)</w:t>
            </w:r>
          </w:p>
        </w:tc>
        <w:tc>
          <w:tcPr>
            <w:tcW w:w="980" w:type="dxa"/>
            <w:vAlign w:val="bottom"/>
          </w:tcPr>
          <w:p>
            <w:pPr>
              <w:jc w:val="center"/>
              <w:spacing w:after="0"/>
              <w:rPr>
                <w:sz w:val="20"/>
                <w:szCs w:val="20"/>
                <w:color w:val="auto"/>
              </w:rPr>
            </w:pPr>
            <w:r>
              <w:rPr>
                <w:rFonts w:ascii="Arial" w:cs="Arial" w:eastAsia="Arial" w:hAnsi="Arial"/>
                <w:sz w:val="11"/>
                <w:szCs w:val="11"/>
                <w:color w:val="FFFFFF"/>
                <w:w w:val="88"/>
              </w:rPr>
              <w:t>(#)</w:t>
            </w:r>
          </w:p>
        </w:tc>
        <w:tc>
          <w:tcPr>
            <w:tcW w:w="900" w:type="dxa"/>
            <w:vAlign w:val="bottom"/>
          </w:tcPr>
          <w:p>
            <w:pPr>
              <w:jc w:val="center"/>
              <w:spacing w:after="0"/>
              <w:rPr>
                <w:sz w:val="20"/>
                <w:szCs w:val="20"/>
                <w:color w:val="auto"/>
              </w:rPr>
            </w:pPr>
            <w:r>
              <w:rPr>
                <w:rFonts w:ascii="Arial" w:cs="Arial" w:eastAsia="Arial" w:hAnsi="Arial"/>
                <w:sz w:val="11"/>
                <w:szCs w:val="11"/>
                <w:color w:val="FFFFFF"/>
                <w:w w:val="96"/>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3560" w:type="dxa"/>
            <w:vAlign w:val="bottom"/>
            <w:shd w:val="clear" w:color="auto" w:fill="D6D1D8"/>
          </w:tcPr>
          <w:p>
            <w:pPr>
              <w:spacing w:after="0"/>
              <w:rPr>
                <w:sz w:val="23"/>
                <w:szCs w:val="23"/>
                <w:color w:val="auto"/>
              </w:rPr>
            </w:pPr>
          </w:p>
        </w:tc>
        <w:tc>
          <w:tcPr>
            <w:tcW w:w="96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80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93"/>
              </w:rPr>
              <w:t>17,483</w:t>
            </w:r>
            <w:r>
              <w:rPr>
                <w:rFonts w:ascii="Arial" w:cs="Arial" w:eastAsia="Arial" w:hAnsi="Arial"/>
                <w:sz w:val="21"/>
                <w:szCs w:val="21"/>
                <w:color w:val="auto"/>
                <w:w w:val="93"/>
                <w:vertAlign w:val="superscript"/>
              </w:rPr>
              <w:t>(2)</w:t>
            </w:r>
          </w:p>
        </w:tc>
        <w:tc>
          <w:tcPr>
            <w:tcW w:w="90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1,506,335</w:t>
            </w:r>
          </w:p>
        </w:tc>
        <w:tc>
          <w:tcPr>
            <w:tcW w:w="98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60" w:type="dxa"/>
            <w:vAlign w:val="bottom"/>
            <w:shd w:val="clear" w:color="auto" w:fill="D6D1D8"/>
          </w:tcPr>
          <w:p>
            <w:pPr>
              <w:spacing w:after="0"/>
              <w:rPr>
                <w:sz w:val="23"/>
                <w:szCs w:val="23"/>
                <w:color w:val="auto"/>
              </w:rPr>
            </w:pPr>
          </w:p>
        </w:tc>
        <w:tc>
          <w:tcPr>
            <w:tcW w:w="96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80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w:t>
            </w:r>
          </w:p>
        </w:tc>
        <w:tc>
          <w:tcPr>
            <w:tcW w:w="98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91"/>
              </w:rPr>
              <w:t>8,742</w:t>
            </w:r>
            <w:r>
              <w:rPr>
                <w:rFonts w:ascii="Arial" w:cs="Arial" w:eastAsia="Arial" w:hAnsi="Arial"/>
                <w:sz w:val="21"/>
                <w:szCs w:val="21"/>
                <w:color w:val="auto"/>
                <w:w w:val="91"/>
                <w:vertAlign w:val="superscript"/>
              </w:rPr>
              <w:t>(3)</w:t>
            </w:r>
          </w:p>
        </w:tc>
        <w:tc>
          <w:tcPr>
            <w:tcW w:w="90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98"/>
              </w:rPr>
              <w:t>753,211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60" w:type="dxa"/>
            <w:vAlign w:val="bottom"/>
            <w:shd w:val="clear" w:color="auto" w:fill="D6D1D8"/>
          </w:tcPr>
          <w:p>
            <w:pPr>
              <w:spacing w:after="0"/>
              <w:rPr>
                <w:sz w:val="23"/>
                <w:szCs w:val="23"/>
                <w:color w:val="auto"/>
              </w:rPr>
            </w:pPr>
          </w:p>
        </w:tc>
        <w:tc>
          <w:tcPr>
            <w:tcW w:w="96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80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93"/>
              </w:rPr>
              <w:t>25,099</w:t>
            </w:r>
            <w:r>
              <w:rPr>
                <w:rFonts w:ascii="Arial" w:cs="Arial" w:eastAsia="Arial" w:hAnsi="Arial"/>
                <w:sz w:val="21"/>
                <w:szCs w:val="21"/>
                <w:color w:val="auto"/>
                <w:w w:val="93"/>
                <w:vertAlign w:val="superscript"/>
              </w:rPr>
              <w:t>(4)</w:t>
            </w:r>
          </w:p>
        </w:tc>
        <w:tc>
          <w:tcPr>
            <w:tcW w:w="90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2,162,530</w:t>
            </w:r>
          </w:p>
        </w:tc>
        <w:tc>
          <w:tcPr>
            <w:tcW w:w="98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60" w:type="dxa"/>
            <w:vAlign w:val="bottom"/>
            <w:shd w:val="clear" w:color="auto" w:fill="D6D1D8"/>
          </w:tcPr>
          <w:p>
            <w:pPr>
              <w:spacing w:after="0"/>
              <w:rPr>
                <w:sz w:val="23"/>
                <w:szCs w:val="23"/>
                <w:color w:val="auto"/>
              </w:rPr>
            </w:pPr>
          </w:p>
        </w:tc>
        <w:tc>
          <w:tcPr>
            <w:tcW w:w="96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80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w:t>
            </w:r>
          </w:p>
        </w:tc>
        <w:tc>
          <w:tcPr>
            <w:tcW w:w="98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93"/>
              </w:rPr>
              <w:t>16,732</w:t>
            </w:r>
            <w:r>
              <w:rPr>
                <w:rFonts w:ascii="Arial" w:cs="Arial" w:eastAsia="Arial" w:hAnsi="Arial"/>
                <w:sz w:val="21"/>
                <w:szCs w:val="21"/>
                <w:color w:val="auto"/>
                <w:w w:val="93"/>
                <w:vertAlign w:val="superscript"/>
              </w:rPr>
              <w:t>(5)</w:t>
            </w:r>
          </w:p>
        </w:tc>
        <w:tc>
          <w:tcPr>
            <w:tcW w:w="90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99"/>
              </w:rPr>
              <w:t>1,441,629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60" w:type="dxa"/>
            <w:vAlign w:val="bottom"/>
            <w:shd w:val="clear" w:color="auto" w:fill="D6D1D8"/>
          </w:tcPr>
          <w:p>
            <w:pPr>
              <w:ind w:left="80"/>
              <w:spacing w:after="0"/>
              <w:rPr>
                <w:sz w:val="20"/>
                <w:szCs w:val="20"/>
                <w:color w:val="auto"/>
              </w:rPr>
            </w:pPr>
            <w:r>
              <w:rPr>
                <w:rFonts w:ascii="Arial" w:cs="Arial" w:eastAsia="Arial" w:hAnsi="Arial"/>
                <w:sz w:val="14"/>
                <w:szCs w:val="14"/>
                <w:color w:val="auto"/>
              </w:rPr>
              <w:t>Craig S. Billings</w:t>
            </w:r>
          </w:p>
        </w:tc>
        <w:tc>
          <w:tcPr>
            <w:tcW w:w="96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80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w:t>
            </w:r>
          </w:p>
        </w:tc>
        <w:tc>
          <w:tcPr>
            <w:tcW w:w="98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93"/>
              </w:rPr>
              <w:t>20,916</w:t>
            </w:r>
            <w:r>
              <w:rPr>
                <w:rFonts w:ascii="Arial" w:cs="Arial" w:eastAsia="Arial" w:hAnsi="Arial"/>
                <w:sz w:val="21"/>
                <w:szCs w:val="21"/>
                <w:color w:val="auto"/>
                <w:w w:val="93"/>
                <w:vertAlign w:val="superscript"/>
              </w:rPr>
              <w:t>(6)</w:t>
            </w:r>
          </w:p>
        </w:tc>
        <w:tc>
          <w:tcPr>
            <w:tcW w:w="90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99"/>
              </w:rPr>
              <w:t>1,802,123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60" w:type="dxa"/>
            <w:vAlign w:val="bottom"/>
            <w:shd w:val="clear" w:color="auto" w:fill="D6D1D8"/>
          </w:tcPr>
          <w:p>
            <w:pPr>
              <w:spacing w:after="0"/>
              <w:rPr>
                <w:sz w:val="23"/>
                <w:szCs w:val="23"/>
                <w:color w:val="auto"/>
              </w:rPr>
            </w:pPr>
          </w:p>
        </w:tc>
        <w:tc>
          <w:tcPr>
            <w:tcW w:w="96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80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93"/>
              </w:rPr>
              <w:t>38,737</w:t>
            </w:r>
            <w:r>
              <w:rPr>
                <w:rFonts w:ascii="Arial" w:cs="Arial" w:eastAsia="Arial" w:hAnsi="Arial"/>
                <w:sz w:val="21"/>
                <w:szCs w:val="21"/>
                <w:color w:val="auto"/>
                <w:w w:val="93"/>
                <w:vertAlign w:val="superscript"/>
              </w:rPr>
              <w:t>(7)</w:t>
            </w:r>
          </w:p>
        </w:tc>
        <w:tc>
          <w:tcPr>
            <w:tcW w:w="90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3,337,580</w:t>
            </w:r>
          </w:p>
        </w:tc>
        <w:tc>
          <w:tcPr>
            <w:tcW w:w="98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60" w:type="dxa"/>
            <w:vAlign w:val="bottom"/>
            <w:shd w:val="clear" w:color="auto" w:fill="D6D1D8"/>
          </w:tcPr>
          <w:p>
            <w:pPr>
              <w:spacing w:after="0"/>
              <w:rPr>
                <w:sz w:val="23"/>
                <w:szCs w:val="23"/>
                <w:color w:val="auto"/>
              </w:rPr>
            </w:pPr>
          </w:p>
        </w:tc>
        <w:tc>
          <w:tcPr>
            <w:tcW w:w="96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80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w:t>
            </w:r>
          </w:p>
        </w:tc>
        <w:tc>
          <w:tcPr>
            <w:tcW w:w="98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93"/>
              </w:rPr>
              <w:t>25,825</w:t>
            </w:r>
            <w:r>
              <w:rPr>
                <w:rFonts w:ascii="Arial" w:cs="Arial" w:eastAsia="Arial" w:hAnsi="Arial"/>
                <w:sz w:val="21"/>
                <w:szCs w:val="21"/>
                <w:color w:val="auto"/>
                <w:w w:val="93"/>
                <w:vertAlign w:val="superscript"/>
              </w:rPr>
              <w:t>(8)</w:t>
            </w:r>
          </w:p>
        </w:tc>
        <w:tc>
          <w:tcPr>
            <w:tcW w:w="90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99"/>
              </w:rPr>
              <w:t>2,225,082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60" w:type="dxa"/>
            <w:vAlign w:val="bottom"/>
            <w:shd w:val="clear" w:color="auto" w:fill="D6D1D8"/>
          </w:tcPr>
          <w:p>
            <w:pPr>
              <w:spacing w:after="0"/>
              <w:rPr>
                <w:sz w:val="23"/>
                <w:szCs w:val="23"/>
                <w:color w:val="auto"/>
              </w:rPr>
            </w:pPr>
          </w:p>
        </w:tc>
        <w:tc>
          <w:tcPr>
            <w:tcW w:w="96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80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w:t>
            </w:r>
          </w:p>
        </w:tc>
        <w:tc>
          <w:tcPr>
            <w:tcW w:w="98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93"/>
              </w:rPr>
              <w:t>21,521</w:t>
            </w:r>
            <w:r>
              <w:rPr>
                <w:rFonts w:ascii="Arial" w:cs="Arial" w:eastAsia="Arial" w:hAnsi="Arial"/>
                <w:sz w:val="21"/>
                <w:szCs w:val="21"/>
                <w:color w:val="auto"/>
                <w:w w:val="93"/>
                <w:vertAlign w:val="superscript"/>
              </w:rPr>
              <w:t>(9)</w:t>
            </w:r>
          </w:p>
        </w:tc>
        <w:tc>
          <w:tcPr>
            <w:tcW w:w="90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99"/>
              </w:rPr>
              <w:t>1,854,219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60" w:type="dxa"/>
            <w:vAlign w:val="bottom"/>
            <w:shd w:val="clear" w:color="auto" w:fill="D6D1D8"/>
          </w:tcPr>
          <w:p>
            <w:pPr>
              <w:spacing w:after="0"/>
              <w:rPr>
                <w:sz w:val="23"/>
                <w:szCs w:val="23"/>
                <w:color w:val="auto"/>
              </w:rPr>
            </w:pPr>
          </w:p>
        </w:tc>
        <w:tc>
          <w:tcPr>
            <w:tcW w:w="96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91"/>
              </w:rPr>
              <w:t>3,650</w:t>
            </w:r>
            <w:r>
              <w:rPr>
                <w:rFonts w:ascii="Arial" w:cs="Arial" w:eastAsia="Arial" w:hAnsi="Arial"/>
                <w:sz w:val="21"/>
                <w:szCs w:val="21"/>
                <w:color w:val="auto"/>
                <w:w w:val="91"/>
                <w:vertAlign w:val="superscript"/>
              </w:rPr>
              <w:t>(1)</w:t>
            </w:r>
          </w:p>
        </w:tc>
        <w:tc>
          <w:tcPr>
            <w:tcW w:w="108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80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78.62</w:t>
            </w:r>
          </w:p>
        </w:tc>
        <w:tc>
          <w:tcPr>
            <w:tcW w:w="92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99"/>
              </w:rPr>
              <w:t>12/11/2030</w:t>
            </w:r>
          </w:p>
        </w:tc>
        <w:tc>
          <w:tcPr>
            <w:tcW w:w="82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w:t>
            </w:r>
          </w:p>
        </w:tc>
        <w:tc>
          <w:tcPr>
            <w:tcW w:w="98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60" w:type="dxa"/>
            <w:vAlign w:val="bottom"/>
            <w:shd w:val="clear" w:color="auto" w:fill="F2F2F2"/>
          </w:tcPr>
          <w:p>
            <w:pPr>
              <w:spacing w:after="0"/>
              <w:rPr>
                <w:sz w:val="23"/>
                <w:szCs w:val="23"/>
                <w:color w:val="auto"/>
              </w:rPr>
            </w:pPr>
          </w:p>
        </w:tc>
        <w:tc>
          <w:tcPr>
            <w:tcW w:w="96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8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1"/>
              </w:rPr>
              <w:t>3,497</w:t>
            </w:r>
            <w:r>
              <w:rPr>
                <w:rFonts w:ascii="Arial" w:cs="Arial" w:eastAsia="Arial" w:hAnsi="Arial"/>
                <w:sz w:val="21"/>
                <w:szCs w:val="21"/>
                <w:color w:val="auto"/>
                <w:w w:val="91"/>
                <w:vertAlign w:val="superscript"/>
              </w:rPr>
              <w:t>(2)</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301,302</w:t>
            </w:r>
          </w:p>
        </w:tc>
        <w:tc>
          <w:tcPr>
            <w:tcW w:w="98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60" w:type="dxa"/>
            <w:vAlign w:val="bottom"/>
            <w:shd w:val="clear" w:color="auto" w:fill="F2F2F2"/>
          </w:tcPr>
          <w:p>
            <w:pPr>
              <w:spacing w:after="0"/>
              <w:rPr>
                <w:sz w:val="23"/>
                <w:szCs w:val="23"/>
                <w:color w:val="auto"/>
              </w:rPr>
            </w:pPr>
          </w:p>
        </w:tc>
        <w:tc>
          <w:tcPr>
            <w:tcW w:w="96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8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98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1"/>
              </w:rPr>
              <w:t>1,749</w:t>
            </w:r>
            <w:r>
              <w:rPr>
                <w:rFonts w:ascii="Arial" w:cs="Arial" w:eastAsia="Arial" w:hAnsi="Arial"/>
                <w:sz w:val="21"/>
                <w:szCs w:val="21"/>
                <w:color w:val="auto"/>
                <w:w w:val="91"/>
                <w:vertAlign w:val="superscript"/>
              </w:rPr>
              <w:t>(3)</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150,694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60" w:type="dxa"/>
            <w:vAlign w:val="bottom"/>
            <w:shd w:val="clear" w:color="auto" w:fill="F2F2F2"/>
          </w:tcPr>
          <w:p>
            <w:pPr>
              <w:spacing w:after="0"/>
              <w:rPr>
                <w:sz w:val="23"/>
                <w:szCs w:val="23"/>
                <w:color w:val="auto"/>
              </w:rPr>
            </w:pPr>
          </w:p>
        </w:tc>
        <w:tc>
          <w:tcPr>
            <w:tcW w:w="96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8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1"/>
              </w:rPr>
              <w:t>11,345</w:t>
            </w:r>
            <w:r>
              <w:rPr>
                <w:rFonts w:ascii="Arial" w:cs="Arial" w:eastAsia="Arial" w:hAnsi="Arial"/>
                <w:sz w:val="21"/>
                <w:szCs w:val="21"/>
                <w:color w:val="auto"/>
                <w:w w:val="91"/>
                <w:vertAlign w:val="superscript"/>
              </w:rPr>
              <w:t>(10)</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977,485</w:t>
            </w:r>
          </w:p>
        </w:tc>
        <w:tc>
          <w:tcPr>
            <w:tcW w:w="98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60" w:type="dxa"/>
            <w:vAlign w:val="bottom"/>
            <w:shd w:val="clear" w:color="auto" w:fill="F2F2F2"/>
          </w:tcPr>
          <w:p>
            <w:pPr>
              <w:spacing w:after="0"/>
              <w:rPr>
                <w:sz w:val="23"/>
                <w:szCs w:val="23"/>
                <w:color w:val="auto"/>
              </w:rPr>
            </w:pPr>
          </w:p>
        </w:tc>
        <w:tc>
          <w:tcPr>
            <w:tcW w:w="96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8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1"/>
              </w:rPr>
              <w:t>4,792</w:t>
            </w:r>
            <w:r>
              <w:rPr>
                <w:rFonts w:ascii="Arial" w:cs="Arial" w:eastAsia="Arial" w:hAnsi="Arial"/>
                <w:sz w:val="21"/>
                <w:szCs w:val="21"/>
                <w:color w:val="auto"/>
                <w:w w:val="91"/>
                <w:vertAlign w:val="superscript"/>
              </w:rPr>
              <w:t>(4)</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412,879</w:t>
            </w:r>
          </w:p>
        </w:tc>
        <w:tc>
          <w:tcPr>
            <w:tcW w:w="98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60" w:type="dxa"/>
            <w:vAlign w:val="bottom"/>
            <w:shd w:val="clear" w:color="auto" w:fill="F2F2F2"/>
          </w:tcPr>
          <w:p>
            <w:pPr>
              <w:ind w:left="80"/>
              <w:spacing w:after="0"/>
              <w:rPr>
                <w:sz w:val="20"/>
                <w:szCs w:val="20"/>
                <w:color w:val="auto"/>
              </w:rPr>
            </w:pPr>
            <w:r>
              <w:rPr>
                <w:rFonts w:ascii="Arial" w:cs="Arial" w:eastAsia="Arial" w:hAnsi="Arial"/>
                <w:sz w:val="14"/>
                <w:szCs w:val="14"/>
                <w:color w:val="auto"/>
              </w:rPr>
              <w:t>Julie M. Cameron-Doe</w:t>
            </w:r>
          </w:p>
        </w:tc>
        <w:tc>
          <w:tcPr>
            <w:tcW w:w="96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8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98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1"/>
              </w:rPr>
              <w:t>3,194</w:t>
            </w:r>
            <w:r>
              <w:rPr>
                <w:rFonts w:ascii="Arial" w:cs="Arial" w:eastAsia="Arial" w:hAnsi="Arial"/>
                <w:sz w:val="21"/>
                <w:szCs w:val="21"/>
                <w:color w:val="auto"/>
                <w:w w:val="91"/>
                <w:vertAlign w:val="superscript"/>
              </w:rPr>
              <w:t>(5)</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275,195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60" w:type="dxa"/>
            <w:vAlign w:val="bottom"/>
            <w:shd w:val="clear" w:color="auto" w:fill="F2F2F2"/>
          </w:tcPr>
          <w:p>
            <w:pPr>
              <w:spacing w:after="0"/>
              <w:rPr>
                <w:sz w:val="23"/>
                <w:szCs w:val="23"/>
                <w:color w:val="auto"/>
              </w:rPr>
            </w:pPr>
          </w:p>
        </w:tc>
        <w:tc>
          <w:tcPr>
            <w:tcW w:w="96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8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98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1"/>
              </w:rPr>
              <w:t>3,994</w:t>
            </w:r>
            <w:r>
              <w:rPr>
                <w:rFonts w:ascii="Arial" w:cs="Arial" w:eastAsia="Arial" w:hAnsi="Arial"/>
                <w:sz w:val="21"/>
                <w:szCs w:val="21"/>
                <w:color w:val="auto"/>
                <w:w w:val="91"/>
                <w:vertAlign w:val="superscript"/>
              </w:rPr>
              <w:t>(6)</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344,123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60" w:type="dxa"/>
            <w:vAlign w:val="bottom"/>
            <w:shd w:val="clear" w:color="auto" w:fill="F2F2F2"/>
          </w:tcPr>
          <w:p>
            <w:pPr>
              <w:spacing w:after="0"/>
              <w:rPr>
                <w:sz w:val="23"/>
                <w:szCs w:val="23"/>
                <w:color w:val="auto"/>
              </w:rPr>
            </w:pPr>
          </w:p>
        </w:tc>
        <w:tc>
          <w:tcPr>
            <w:tcW w:w="96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8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1"/>
              </w:rPr>
              <w:t>7,854</w:t>
            </w:r>
            <w:r>
              <w:rPr>
                <w:rFonts w:ascii="Arial" w:cs="Arial" w:eastAsia="Arial" w:hAnsi="Arial"/>
                <w:sz w:val="21"/>
                <w:szCs w:val="21"/>
                <w:color w:val="auto"/>
                <w:w w:val="91"/>
                <w:vertAlign w:val="superscript"/>
              </w:rPr>
              <w:t>(7)</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676,701</w:t>
            </w:r>
          </w:p>
        </w:tc>
        <w:tc>
          <w:tcPr>
            <w:tcW w:w="98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60" w:type="dxa"/>
            <w:vAlign w:val="bottom"/>
            <w:shd w:val="clear" w:color="auto" w:fill="F2F2F2"/>
          </w:tcPr>
          <w:p>
            <w:pPr>
              <w:spacing w:after="0"/>
              <w:rPr>
                <w:sz w:val="23"/>
                <w:szCs w:val="23"/>
                <w:color w:val="auto"/>
              </w:rPr>
            </w:pPr>
          </w:p>
        </w:tc>
        <w:tc>
          <w:tcPr>
            <w:tcW w:w="96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8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98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1"/>
              </w:rPr>
              <w:t>5,236</w:t>
            </w:r>
            <w:r>
              <w:rPr>
                <w:rFonts w:ascii="Arial" w:cs="Arial" w:eastAsia="Arial" w:hAnsi="Arial"/>
                <w:sz w:val="21"/>
                <w:szCs w:val="21"/>
                <w:color w:val="auto"/>
                <w:w w:val="91"/>
                <w:vertAlign w:val="superscript"/>
              </w:rPr>
              <w:t>(8)</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451,134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60" w:type="dxa"/>
            <w:vAlign w:val="bottom"/>
            <w:shd w:val="clear" w:color="auto" w:fill="F2F2F2"/>
          </w:tcPr>
          <w:p>
            <w:pPr>
              <w:spacing w:after="0"/>
              <w:rPr>
                <w:sz w:val="23"/>
                <w:szCs w:val="23"/>
                <w:color w:val="auto"/>
              </w:rPr>
            </w:pPr>
          </w:p>
        </w:tc>
        <w:tc>
          <w:tcPr>
            <w:tcW w:w="96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8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98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1"/>
              </w:rPr>
              <w:t>4,364</w:t>
            </w:r>
            <w:r>
              <w:rPr>
                <w:rFonts w:ascii="Arial" w:cs="Arial" w:eastAsia="Arial" w:hAnsi="Arial"/>
                <w:sz w:val="21"/>
                <w:szCs w:val="21"/>
                <w:color w:val="auto"/>
                <w:w w:val="91"/>
                <w:vertAlign w:val="superscript"/>
              </w:rPr>
              <w:t>(9)</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376,002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7"/>
        </w:trPr>
        <w:tc>
          <w:tcPr>
            <w:tcW w:w="3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bl>
    <w:p>
      <w:pPr>
        <w:sectPr>
          <w:pgSz w:w="11900" w:h="16838" w:orient="portrait"/>
          <w:cols w:equalWidth="0" w:num="1">
            <w:col w:w="11100"/>
          </w:cols>
          <w:pgMar w:left="320" w:top="478"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40081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29755" cy="4008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60" w:type="dxa"/>
        <w:tblCellMar>
          <w:top w:w="0" w:type="dxa"/>
          <w:left w:w="0" w:type="dxa"/>
          <w:bottom w:w="0" w:type="dxa"/>
          <w:right w:w="0" w:type="dxa"/>
        </w:tblCellMar>
      </w:tblPr>
      <w:tr>
        <w:trPr>
          <w:trHeight w:val="194"/>
        </w:trPr>
        <w:tc>
          <w:tcPr>
            <w:tcW w:w="3480" w:type="dxa"/>
            <w:vAlign w:val="bottom"/>
            <w:tcBorders>
              <w:top w:val="single" w:sz="8" w:color="351B3D"/>
            </w:tcBorders>
            <w:shd w:val="clear" w:color="auto" w:fill="351B3D"/>
          </w:tcPr>
          <w:p>
            <w:pPr>
              <w:spacing w:after="0"/>
              <w:rPr>
                <w:sz w:val="16"/>
                <w:szCs w:val="16"/>
                <w:color w:val="auto"/>
              </w:rPr>
            </w:pPr>
          </w:p>
        </w:tc>
        <w:tc>
          <w:tcPr>
            <w:tcW w:w="120" w:type="dxa"/>
            <w:vAlign w:val="bottom"/>
            <w:tcBorders>
              <w:top w:val="single" w:sz="8" w:color="351B3D"/>
            </w:tcBorders>
          </w:tcPr>
          <w:p>
            <w:pPr>
              <w:spacing w:after="0"/>
              <w:rPr>
                <w:sz w:val="16"/>
                <w:szCs w:val="16"/>
                <w:color w:val="auto"/>
              </w:rPr>
            </w:pPr>
          </w:p>
        </w:tc>
        <w:tc>
          <w:tcPr>
            <w:tcW w:w="820" w:type="dxa"/>
            <w:vAlign w:val="bottom"/>
            <w:tcBorders>
              <w:top w:val="single" w:sz="8" w:color="351B3D"/>
            </w:tcBorders>
          </w:tcPr>
          <w:p>
            <w:pPr>
              <w:spacing w:after="0"/>
              <w:rPr>
                <w:sz w:val="16"/>
                <w:szCs w:val="16"/>
                <w:color w:val="auto"/>
              </w:rPr>
            </w:pPr>
          </w:p>
        </w:tc>
        <w:tc>
          <w:tcPr>
            <w:tcW w:w="60" w:type="dxa"/>
            <w:vAlign w:val="bottom"/>
            <w:tcBorders>
              <w:top w:val="single" w:sz="8" w:color="351B3D"/>
            </w:tcBorders>
          </w:tcPr>
          <w:p>
            <w:pPr>
              <w:spacing w:after="0"/>
              <w:rPr>
                <w:sz w:val="16"/>
                <w:szCs w:val="16"/>
                <w:color w:val="auto"/>
              </w:rPr>
            </w:pPr>
          </w:p>
        </w:tc>
        <w:tc>
          <w:tcPr>
            <w:tcW w:w="1900" w:type="dxa"/>
            <w:vAlign w:val="bottom"/>
            <w:tcBorders>
              <w:top w:val="single" w:sz="8" w:color="351B3D"/>
            </w:tcBorders>
            <w:gridSpan w:val="2"/>
          </w:tcPr>
          <w:p>
            <w:pPr>
              <w:ind w:left="480"/>
              <w:spacing w:after="0"/>
              <w:rPr>
                <w:sz w:val="20"/>
                <w:szCs w:val="20"/>
                <w:color w:val="auto"/>
              </w:rPr>
            </w:pPr>
            <w:r>
              <w:rPr>
                <w:rFonts w:ascii="Arial" w:cs="Arial" w:eastAsia="Arial" w:hAnsi="Arial"/>
                <w:sz w:val="11"/>
                <w:szCs w:val="11"/>
                <w:color w:val="FFFFFF"/>
              </w:rPr>
              <w:t>OPTION AWARDS</w:t>
            </w:r>
          </w:p>
        </w:tc>
        <w:tc>
          <w:tcPr>
            <w:tcW w:w="920" w:type="dxa"/>
            <w:vAlign w:val="bottom"/>
            <w:tcBorders>
              <w:top w:val="single" w:sz="8" w:color="351B3D"/>
            </w:tcBorders>
          </w:tcPr>
          <w:p>
            <w:pPr>
              <w:spacing w:after="0"/>
              <w:rPr>
                <w:sz w:val="16"/>
                <w:szCs w:val="16"/>
                <w:color w:val="auto"/>
              </w:rPr>
            </w:pPr>
          </w:p>
        </w:tc>
        <w:tc>
          <w:tcPr>
            <w:tcW w:w="840" w:type="dxa"/>
            <w:vAlign w:val="bottom"/>
            <w:tcBorders>
              <w:top w:val="single" w:sz="8" w:color="351B3D"/>
            </w:tcBorders>
          </w:tcPr>
          <w:p>
            <w:pPr>
              <w:spacing w:after="0"/>
              <w:rPr>
                <w:sz w:val="16"/>
                <w:szCs w:val="16"/>
                <w:color w:val="auto"/>
              </w:rPr>
            </w:pPr>
          </w:p>
        </w:tc>
        <w:tc>
          <w:tcPr>
            <w:tcW w:w="2140" w:type="dxa"/>
            <w:vAlign w:val="bottom"/>
            <w:tcBorders>
              <w:top w:val="single" w:sz="8" w:color="351B3D"/>
            </w:tcBorders>
            <w:gridSpan w:val="2"/>
          </w:tcPr>
          <w:p>
            <w:pPr>
              <w:ind w:left="560"/>
              <w:spacing w:after="0"/>
              <w:rPr>
                <w:sz w:val="20"/>
                <w:szCs w:val="20"/>
                <w:color w:val="auto"/>
              </w:rPr>
            </w:pPr>
            <w:r>
              <w:rPr>
                <w:rFonts w:ascii="Arial" w:cs="Arial" w:eastAsia="Arial" w:hAnsi="Arial"/>
                <w:sz w:val="11"/>
                <w:szCs w:val="11"/>
                <w:color w:val="FFFFFF"/>
              </w:rPr>
              <w:t>STOCK AWARDS</w:t>
            </w:r>
          </w:p>
        </w:tc>
        <w:tc>
          <w:tcPr>
            <w:tcW w:w="640" w:type="dxa"/>
            <w:vAlign w:val="bottom"/>
            <w:tcBorders>
              <w:top w:val="single" w:sz="8" w:color="351B3D"/>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80" w:type="dxa"/>
            <w:vAlign w:val="bottom"/>
            <w:shd w:val="clear" w:color="auto" w:fill="351B3D"/>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80" w:type="dxa"/>
            <w:vAlign w:val="bottom"/>
            <w:gridSpan w:val="2"/>
          </w:tcPr>
          <w:p>
            <w:pPr>
              <w:jc w:val="center"/>
              <w:ind w:left="36"/>
              <w:spacing w:after="0"/>
              <w:rPr>
                <w:sz w:val="20"/>
                <w:szCs w:val="20"/>
                <w:color w:val="auto"/>
              </w:rPr>
            </w:pPr>
            <w:r>
              <w:rPr>
                <w:rFonts w:ascii="Arial" w:cs="Arial" w:eastAsia="Arial" w:hAnsi="Arial"/>
                <w:sz w:val="11"/>
                <w:szCs w:val="11"/>
                <w:color w:val="FFFFFF"/>
                <w:w w:val="96"/>
              </w:rPr>
              <w:t>EQUITY INCENTIVE PLAN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3480" w:type="dxa"/>
            <w:vAlign w:val="bottom"/>
            <w:shd w:val="clear" w:color="auto" w:fill="351B3D"/>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tcPr>
          <w:p>
            <w:pPr>
              <w:jc w:val="center"/>
              <w:ind w:left="676"/>
              <w:spacing w:after="0" w:line="121" w:lineRule="exact"/>
              <w:rPr>
                <w:sz w:val="20"/>
                <w:szCs w:val="20"/>
                <w:color w:val="auto"/>
              </w:rPr>
            </w:pPr>
            <w:r>
              <w:rPr>
                <w:rFonts w:ascii="Arial" w:cs="Arial" w:eastAsia="Arial" w:hAnsi="Arial"/>
                <w:sz w:val="11"/>
                <w:szCs w:val="11"/>
                <w:color w:val="FFFFFF"/>
                <w:w w:val="97"/>
              </w:rPr>
              <w:t>AWARDS:</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80" w:type="dxa"/>
            <w:vAlign w:val="bottom"/>
            <w:vMerge w:val="restart"/>
            <w:shd w:val="clear" w:color="auto" w:fill="351B3D"/>
          </w:tcPr>
          <w:p>
            <w:pPr>
              <w:ind w:left="80"/>
              <w:spacing w:after="0"/>
              <w:rPr>
                <w:sz w:val="20"/>
                <w:szCs w:val="20"/>
                <w:color w:val="auto"/>
              </w:rPr>
            </w:pPr>
            <w:r>
              <w:rPr>
                <w:rFonts w:ascii="Arial" w:cs="Arial" w:eastAsia="Arial" w:hAnsi="Arial"/>
                <w:sz w:val="11"/>
                <w:szCs w:val="11"/>
                <w:color w:val="FFFFFF"/>
              </w:rPr>
              <w:t>NAMED EXECUTIVE</w:t>
            </w:r>
          </w:p>
        </w:tc>
        <w:tc>
          <w:tcPr>
            <w:tcW w:w="120" w:type="dxa"/>
            <w:vAlign w:val="bottom"/>
          </w:tcPr>
          <w:p>
            <w:pPr>
              <w:spacing w:after="0"/>
              <w:rPr>
                <w:sz w:val="10"/>
                <w:szCs w:val="10"/>
                <w:color w:val="auto"/>
              </w:rPr>
            </w:pPr>
          </w:p>
        </w:tc>
        <w:tc>
          <w:tcPr>
            <w:tcW w:w="1920" w:type="dxa"/>
            <w:vAlign w:val="bottom"/>
            <w:gridSpan w:val="3"/>
          </w:tcPr>
          <w:p>
            <w:pPr>
              <w:jc w:val="center"/>
              <w:spacing w:after="0" w:line="121" w:lineRule="exact"/>
              <w:rPr>
                <w:sz w:val="20"/>
                <w:szCs w:val="20"/>
                <w:color w:val="auto"/>
              </w:rPr>
            </w:pPr>
            <w:r>
              <w:rPr>
                <w:rFonts w:ascii="Arial" w:cs="Arial" w:eastAsia="Arial" w:hAnsi="Arial"/>
                <w:sz w:val="11"/>
                <w:szCs w:val="11"/>
                <w:color w:val="FFFFFF"/>
                <w:w w:val="97"/>
              </w:rPr>
              <w:t>NUMBER OF SECURITIES</w:t>
            </w:r>
          </w:p>
        </w:tc>
        <w:tc>
          <w:tcPr>
            <w:tcW w:w="860" w:type="dxa"/>
            <w:vAlign w:val="bottom"/>
          </w:tcPr>
          <w:p>
            <w:pPr>
              <w:jc w:val="center"/>
              <w:spacing w:after="0" w:line="121" w:lineRule="exact"/>
              <w:rPr>
                <w:sz w:val="20"/>
                <w:szCs w:val="20"/>
                <w:color w:val="auto"/>
              </w:rPr>
            </w:pPr>
            <w:r>
              <w:rPr>
                <w:rFonts w:ascii="Arial" w:cs="Arial" w:eastAsia="Arial" w:hAnsi="Arial"/>
                <w:sz w:val="11"/>
                <w:szCs w:val="11"/>
                <w:color w:val="FFFFFF"/>
                <w:w w:val="94"/>
              </w:rPr>
              <w:t>OPTION</w:t>
            </w:r>
          </w:p>
        </w:tc>
        <w:tc>
          <w:tcPr>
            <w:tcW w:w="920" w:type="dxa"/>
            <w:vAlign w:val="bottom"/>
          </w:tcPr>
          <w:p>
            <w:pPr>
              <w:jc w:val="center"/>
              <w:spacing w:after="0" w:line="121" w:lineRule="exact"/>
              <w:rPr>
                <w:sz w:val="20"/>
                <w:szCs w:val="20"/>
                <w:color w:val="auto"/>
              </w:rPr>
            </w:pPr>
            <w:r>
              <w:rPr>
                <w:rFonts w:ascii="Arial" w:cs="Arial" w:eastAsia="Arial" w:hAnsi="Arial"/>
                <w:sz w:val="11"/>
                <w:szCs w:val="11"/>
                <w:color w:val="FFFFFF"/>
                <w:w w:val="94"/>
              </w:rPr>
              <w:t>OPTION</w:t>
            </w:r>
          </w:p>
        </w:tc>
        <w:tc>
          <w:tcPr>
            <w:tcW w:w="1740" w:type="dxa"/>
            <w:vAlign w:val="bottom"/>
            <w:gridSpan w:val="2"/>
          </w:tcPr>
          <w:p>
            <w:pPr>
              <w:jc w:val="center"/>
              <w:spacing w:after="0" w:line="121" w:lineRule="exact"/>
              <w:rPr>
                <w:sz w:val="20"/>
                <w:szCs w:val="20"/>
                <w:color w:val="auto"/>
              </w:rPr>
            </w:pPr>
            <w:r>
              <w:rPr>
                <w:rFonts w:ascii="Arial" w:cs="Arial" w:eastAsia="Arial" w:hAnsi="Arial"/>
                <w:sz w:val="11"/>
                <w:szCs w:val="11"/>
                <w:color w:val="FFFFFF"/>
                <w:w w:val="97"/>
              </w:rPr>
              <w:t>SHARES OR UNITS OF</w:t>
            </w:r>
          </w:p>
        </w:tc>
        <w:tc>
          <w:tcPr>
            <w:tcW w:w="1900" w:type="dxa"/>
            <w:vAlign w:val="bottom"/>
            <w:gridSpan w:val="3"/>
          </w:tcPr>
          <w:p>
            <w:pPr>
              <w:jc w:val="center"/>
              <w:ind w:left="36"/>
              <w:spacing w:after="0" w:line="121" w:lineRule="exact"/>
              <w:rPr>
                <w:sz w:val="20"/>
                <w:szCs w:val="20"/>
                <w:color w:val="auto"/>
              </w:rPr>
            </w:pPr>
            <w:r>
              <w:rPr>
                <w:rFonts w:ascii="Arial" w:cs="Arial" w:eastAsia="Arial" w:hAnsi="Arial"/>
                <w:sz w:val="11"/>
                <w:szCs w:val="11"/>
                <w:color w:val="FFFFFF"/>
                <w:w w:val="97"/>
              </w:rPr>
              <w:t xml:space="preserve">      UNEARNED SHARES, UNITS      </w:t>
            </w:r>
          </w:p>
        </w:tc>
        <w:tc>
          <w:tcPr>
            <w:tcW w:w="0" w:type="dxa"/>
            <w:vAlign w:val="bottom"/>
          </w:tcPr>
          <w:p>
            <w:pPr>
              <w:spacing w:after="0"/>
              <w:rPr>
                <w:sz w:val="1"/>
                <w:szCs w:val="1"/>
                <w:color w:val="auto"/>
              </w:rPr>
            </w:pPr>
          </w:p>
        </w:tc>
      </w:tr>
      <w:tr>
        <w:trPr>
          <w:trHeight w:val="107"/>
        </w:trPr>
        <w:tc>
          <w:tcPr>
            <w:tcW w:w="3480" w:type="dxa"/>
            <w:vAlign w:val="bottom"/>
            <w:vMerge w:val="continue"/>
            <w:shd w:val="clear" w:color="auto" w:fill="351B3D"/>
          </w:tcPr>
          <w:p>
            <w:pPr>
              <w:spacing w:after="0"/>
              <w:rPr>
                <w:sz w:val="9"/>
                <w:szCs w:val="9"/>
                <w:color w:val="auto"/>
              </w:rPr>
            </w:pPr>
          </w:p>
        </w:tc>
        <w:tc>
          <w:tcPr>
            <w:tcW w:w="120" w:type="dxa"/>
            <w:vAlign w:val="bottom"/>
          </w:tcPr>
          <w:p>
            <w:pPr>
              <w:spacing w:after="0"/>
              <w:rPr>
                <w:sz w:val="9"/>
                <w:szCs w:val="9"/>
                <w:color w:val="auto"/>
              </w:rPr>
            </w:pPr>
          </w:p>
        </w:tc>
        <w:tc>
          <w:tcPr>
            <w:tcW w:w="1920" w:type="dxa"/>
            <w:vAlign w:val="bottom"/>
            <w:gridSpan w:val="3"/>
          </w:tcPr>
          <w:p>
            <w:pPr>
              <w:jc w:val="center"/>
              <w:spacing w:after="0" w:line="107" w:lineRule="exact"/>
              <w:rPr>
                <w:sz w:val="20"/>
                <w:szCs w:val="20"/>
                <w:color w:val="auto"/>
              </w:rPr>
            </w:pPr>
            <w:r>
              <w:rPr>
                <w:rFonts w:ascii="Arial" w:cs="Arial" w:eastAsia="Arial" w:hAnsi="Arial"/>
                <w:sz w:val="11"/>
                <w:szCs w:val="11"/>
                <w:color w:val="FFFFFF"/>
                <w:w w:val="96"/>
              </w:rPr>
              <w:t>UNDERLYING UNEXERCISED</w:t>
            </w:r>
          </w:p>
        </w:tc>
        <w:tc>
          <w:tcPr>
            <w:tcW w:w="860" w:type="dxa"/>
            <w:vAlign w:val="bottom"/>
          </w:tcPr>
          <w:p>
            <w:pPr>
              <w:jc w:val="center"/>
              <w:spacing w:after="0" w:line="107" w:lineRule="exact"/>
              <w:rPr>
                <w:sz w:val="20"/>
                <w:szCs w:val="20"/>
                <w:color w:val="auto"/>
              </w:rPr>
            </w:pPr>
            <w:r>
              <w:rPr>
                <w:rFonts w:ascii="Arial" w:cs="Arial" w:eastAsia="Arial" w:hAnsi="Arial"/>
                <w:sz w:val="11"/>
                <w:szCs w:val="11"/>
                <w:color w:val="FFFFFF"/>
                <w:w w:val="99"/>
              </w:rPr>
              <w:t xml:space="preserve">   EXERCISE   </w:t>
            </w:r>
          </w:p>
        </w:tc>
        <w:tc>
          <w:tcPr>
            <w:tcW w:w="920" w:type="dxa"/>
            <w:vAlign w:val="bottom"/>
          </w:tcPr>
          <w:p>
            <w:pPr>
              <w:jc w:val="center"/>
              <w:spacing w:after="0" w:line="107" w:lineRule="exact"/>
              <w:rPr>
                <w:sz w:val="20"/>
                <w:szCs w:val="20"/>
                <w:color w:val="auto"/>
              </w:rPr>
            </w:pPr>
            <w:r>
              <w:rPr>
                <w:rFonts w:ascii="Arial" w:cs="Arial" w:eastAsia="Arial" w:hAnsi="Arial"/>
                <w:sz w:val="11"/>
                <w:szCs w:val="11"/>
                <w:color w:val="FFFFFF"/>
                <w:w w:val="95"/>
              </w:rPr>
              <w:t xml:space="preserve">   EXPIRATION   </w:t>
            </w:r>
          </w:p>
        </w:tc>
        <w:tc>
          <w:tcPr>
            <w:tcW w:w="1740" w:type="dxa"/>
            <w:vAlign w:val="bottom"/>
            <w:gridSpan w:val="2"/>
          </w:tcPr>
          <w:p>
            <w:pPr>
              <w:jc w:val="center"/>
              <w:spacing w:after="0" w:line="107" w:lineRule="exact"/>
              <w:rPr>
                <w:sz w:val="20"/>
                <w:szCs w:val="20"/>
                <w:color w:val="auto"/>
              </w:rPr>
            </w:pPr>
            <w:r>
              <w:rPr>
                <w:rFonts w:ascii="Arial" w:cs="Arial" w:eastAsia="Arial" w:hAnsi="Arial"/>
                <w:sz w:val="11"/>
                <w:szCs w:val="11"/>
                <w:color w:val="FFFFFF"/>
                <w:w w:val="96"/>
              </w:rPr>
              <w:t xml:space="preserve">      STOCK THAT HAVE NOT      </w:t>
            </w:r>
          </w:p>
        </w:tc>
        <w:tc>
          <w:tcPr>
            <w:tcW w:w="1900" w:type="dxa"/>
            <w:vAlign w:val="bottom"/>
            <w:gridSpan w:val="3"/>
          </w:tcPr>
          <w:p>
            <w:pPr>
              <w:jc w:val="center"/>
              <w:ind w:left="16"/>
              <w:spacing w:after="0" w:line="107" w:lineRule="exact"/>
              <w:rPr>
                <w:sz w:val="20"/>
                <w:szCs w:val="20"/>
                <w:color w:val="auto"/>
              </w:rPr>
            </w:pPr>
            <w:r>
              <w:rPr>
                <w:rFonts w:ascii="Arial" w:cs="Arial" w:eastAsia="Arial" w:hAnsi="Arial"/>
                <w:sz w:val="11"/>
                <w:szCs w:val="11"/>
                <w:color w:val="FFFFFF"/>
                <w:w w:val="96"/>
              </w:rPr>
              <w:t>OR OTHER RIGHTS THAT</w:t>
            </w:r>
          </w:p>
        </w:tc>
        <w:tc>
          <w:tcPr>
            <w:tcW w:w="0" w:type="dxa"/>
            <w:vAlign w:val="bottom"/>
          </w:tcPr>
          <w:p>
            <w:pPr>
              <w:spacing w:after="0"/>
              <w:rPr>
                <w:sz w:val="1"/>
                <w:szCs w:val="1"/>
                <w:color w:val="auto"/>
              </w:rPr>
            </w:pPr>
          </w:p>
        </w:tc>
      </w:tr>
      <w:tr>
        <w:trPr>
          <w:trHeight w:val="154"/>
        </w:trPr>
        <w:tc>
          <w:tcPr>
            <w:tcW w:w="3480" w:type="dxa"/>
            <w:vAlign w:val="bottom"/>
            <w:shd w:val="clear" w:color="auto" w:fill="351B3D"/>
          </w:tcPr>
          <w:p>
            <w:pPr>
              <w:ind w:left="80"/>
              <w:spacing w:after="0"/>
              <w:rPr>
                <w:sz w:val="20"/>
                <w:szCs w:val="20"/>
                <w:color w:val="auto"/>
              </w:rPr>
            </w:pPr>
            <w:r>
              <w:rPr>
                <w:rFonts w:ascii="Arial" w:cs="Arial" w:eastAsia="Arial" w:hAnsi="Arial"/>
                <w:sz w:val="11"/>
                <w:szCs w:val="11"/>
                <w:color w:val="FFFFFF"/>
              </w:rPr>
              <w:t>OFFICER</w:t>
            </w:r>
          </w:p>
        </w:tc>
        <w:tc>
          <w:tcPr>
            <w:tcW w:w="120" w:type="dxa"/>
            <w:vAlign w:val="bottom"/>
          </w:tcPr>
          <w:p>
            <w:pPr>
              <w:spacing w:after="0"/>
              <w:rPr>
                <w:sz w:val="13"/>
                <w:szCs w:val="13"/>
                <w:color w:val="auto"/>
              </w:rPr>
            </w:pPr>
          </w:p>
        </w:tc>
        <w:tc>
          <w:tcPr>
            <w:tcW w:w="1920" w:type="dxa"/>
            <w:vAlign w:val="bottom"/>
            <w:gridSpan w:val="3"/>
          </w:tcPr>
          <w:p>
            <w:pPr>
              <w:jc w:val="center"/>
              <w:spacing w:after="0"/>
              <w:rPr>
                <w:sz w:val="20"/>
                <w:szCs w:val="20"/>
                <w:color w:val="auto"/>
              </w:rPr>
            </w:pPr>
            <w:r>
              <w:rPr>
                <w:rFonts w:ascii="Arial" w:cs="Arial" w:eastAsia="Arial" w:hAnsi="Arial"/>
                <w:sz w:val="11"/>
                <w:szCs w:val="11"/>
                <w:color w:val="FFFFFF"/>
                <w:w w:val="96"/>
              </w:rPr>
              <w:t>OPTIONS (#)</w:t>
            </w:r>
          </w:p>
        </w:tc>
        <w:tc>
          <w:tcPr>
            <w:tcW w:w="860" w:type="dxa"/>
            <w:vAlign w:val="bottom"/>
          </w:tcPr>
          <w:p>
            <w:pPr>
              <w:jc w:val="center"/>
              <w:spacing w:after="0"/>
              <w:rPr>
                <w:sz w:val="20"/>
                <w:szCs w:val="20"/>
                <w:color w:val="auto"/>
              </w:rPr>
            </w:pPr>
            <w:r>
              <w:rPr>
                <w:rFonts w:ascii="Arial" w:cs="Arial" w:eastAsia="Arial" w:hAnsi="Arial"/>
                <w:sz w:val="11"/>
                <w:szCs w:val="11"/>
                <w:color w:val="FFFFFF"/>
                <w:w w:val="95"/>
              </w:rPr>
              <w:t>PRICE ($)</w:t>
            </w:r>
          </w:p>
        </w:tc>
        <w:tc>
          <w:tcPr>
            <w:tcW w:w="920" w:type="dxa"/>
            <w:vAlign w:val="bottom"/>
          </w:tcPr>
          <w:p>
            <w:pPr>
              <w:jc w:val="center"/>
              <w:spacing w:after="0"/>
              <w:rPr>
                <w:sz w:val="20"/>
                <w:szCs w:val="20"/>
                <w:color w:val="auto"/>
              </w:rPr>
            </w:pPr>
            <w:r>
              <w:rPr>
                <w:rFonts w:ascii="Arial" w:cs="Arial" w:eastAsia="Arial" w:hAnsi="Arial"/>
                <w:sz w:val="11"/>
                <w:szCs w:val="11"/>
                <w:color w:val="FFFFFF"/>
                <w:w w:val="95"/>
              </w:rPr>
              <w:t>DATE</w:t>
            </w:r>
          </w:p>
        </w:tc>
        <w:tc>
          <w:tcPr>
            <w:tcW w:w="1740" w:type="dxa"/>
            <w:vAlign w:val="bottom"/>
            <w:gridSpan w:val="2"/>
          </w:tcPr>
          <w:p>
            <w:pPr>
              <w:jc w:val="center"/>
              <w:spacing w:after="0"/>
              <w:rPr>
                <w:sz w:val="20"/>
                <w:szCs w:val="20"/>
                <w:color w:val="auto"/>
              </w:rPr>
            </w:pPr>
            <w:r>
              <w:rPr>
                <w:rFonts w:ascii="Arial" w:cs="Arial" w:eastAsia="Arial" w:hAnsi="Arial"/>
                <w:sz w:val="11"/>
                <w:szCs w:val="11"/>
                <w:color w:val="FFFFFF"/>
                <w:w w:val="99"/>
              </w:rPr>
              <w:t>VESTED</w:t>
            </w:r>
          </w:p>
        </w:tc>
        <w:tc>
          <w:tcPr>
            <w:tcW w:w="1900" w:type="dxa"/>
            <w:vAlign w:val="bottom"/>
            <w:gridSpan w:val="3"/>
          </w:tcPr>
          <w:p>
            <w:pPr>
              <w:jc w:val="center"/>
              <w:spacing w:after="0"/>
              <w:rPr>
                <w:sz w:val="20"/>
                <w:szCs w:val="20"/>
                <w:color w:val="auto"/>
              </w:rPr>
            </w:pPr>
            <w:r>
              <w:rPr>
                <w:rFonts w:ascii="Arial" w:cs="Arial" w:eastAsia="Arial" w:hAnsi="Arial"/>
                <w:sz w:val="11"/>
                <w:szCs w:val="11"/>
                <w:color w:val="FFFFFF"/>
                <w:w w:val="96"/>
              </w:rPr>
              <w:t>HAVE NOT VESTED</w:t>
            </w:r>
          </w:p>
        </w:tc>
        <w:tc>
          <w:tcPr>
            <w:tcW w:w="0" w:type="dxa"/>
            <w:vAlign w:val="bottom"/>
          </w:tcPr>
          <w:p>
            <w:pPr>
              <w:spacing w:after="0"/>
              <w:rPr>
                <w:sz w:val="1"/>
                <w:szCs w:val="1"/>
                <w:color w:val="auto"/>
              </w:rPr>
            </w:pPr>
          </w:p>
        </w:tc>
      </w:tr>
      <w:tr>
        <w:trPr>
          <w:trHeight w:val="207"/>
        </w:trPr>
        <w:tc>
          <w:tcPr>
            <w:tcW w:w="3480" w:type="dxa"/>
            <w:vAlign w:val="bottom"/>
            <w:shd w:val="clear" w:color="auto" w:fill="351B3D"/>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1"/>
                <w:szCs w:val="11"/>
                <w:color w:val="FFFFFF"/>
              </w:rPr>
              <w:t xml:space="preserve">   </w:t>
            </w:r>
          </w:p>
        </w:tc>
        <w:tc>
          <w:tcPr>
            <w:tcW w:w="1040" w:type="dxa"/>
            <w:vAlign w:val="bottom"/>
          </w:tcPr>
          <w:p>
            <w:pPr>
              <w:jc w:val="center"/>
              <w:spacing w:after="0"/>
              <w:rPr>
                <w:sz w:val="20"/>
                <w:szCs w:val="20"/>
                <w:color w:val="auto"/>
              </w:rPr>
            </w:pPr>
            <w:r>
              <w:rPr>
                <w:rFonts w:ascii="Arial" w:cs="Arial" w:eastAsia="Arial" w:hAnsi="Arial"/>
                <w:sz w:val="11"/>
                <w:szCs w:val="11"/>
                <w:color w:val="FFFFFF"/>
              </w:rPr>
              <w:t xml:space="preserve">   </w:t>
            </w: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tcPr>
          <w:p>
            <w:pPr>
              <w:ind w:left="100"/>
              <w:spacing w:after="0"/>
              <w:rPr>
                <w:sz w:val="20"/>
                <w:szCs w:val="20"/>
                <w:color w:val="auto"/>
              </w:rPr>
            </w:pPr>
            <w:r>
              <w:rPr>
                <w:rFonts w:ascii="Arial" w:cs="Arial" w:eastAsia="Arial" w:hAnsi="Arial"/>
                <w:sz w:val="11"/>
                <w:szCs w:val="11"/>
                <w:color w:val="FFFFFF"/>
              </w:rPr>
              <w:t xml:space="preserve">   NUMBER   </w:t>
            </w:r>
          </w:p>
        </w:tc>
        <w:tc>
          <w:tcPr>
            <w:tcW w:w="900" w:type="dxa"/>
            <w:vAlign w:val="bottom"/>
          </w:tcPr>
          <w:p>
            <w:pPr>
              <w:ind w:left="160"/>
              <w:spacing w:after="0"/>
              <w:rPr>
                <w:sz w:val="20"/>
                <w:szCs w:val="20"/>
                <w:color w:val="auto"/>
              </w:rPr>
            </w:pPr>
            <w:r>
              <w:rPr>
                <w:rFonts w:ascii="Arial" w:cs="Arial" w:eastAsia="Arial" w:hAnsi="Arial"/>
                <w:sz w:val="11"/>
                <w:szCs w:val="11"/>
                <w:color w:val="FFFFFF"/>
              </w:rPr>
              <w:t xml:space="preserve">   VALUE   </w:t>
            </w:r>
          </w:p>
        </w:tc>
        <w:tc>
          <w:tcPr>
            <w:tcW w:w="1240" w:type="dxa"/>
            <w:vAlign w:val="bottom"/>
          </w:tcPr>
          <w:p>
            <w:pPr>
              <w:ind w:left="220"/>
              <w:spacing w:after="0"/>
              <w:rPr>
                <w:sz w:val="20"/>
                <w:szCs w:val="20"/>
                <w:color w:val="auto"/>
              </w:rPr>
            </w:pPr>
            <w:r>
              <w:rPr>
                <w:rFonts w:ascii="Arial" w:cs="Arial" w:eastAsia="Arial" w:hAnsi="Arial"/>
                <w:sz w:val="11"/>
                <w:szCs w:val="11"/>
                <w:color w:val="FFFFFF"/>
              </w:rPr>
              <w:t xml:space="preserve">   NUMBER   </w:t>
            </w:r>
          </w:p>
        </w:tc>
        <w:tc>
          <w:tcPr>
            <w:tcW w:w="660" w:type="dxa"/>
            <w:vAlign w:val="bottom"/>
            <w:gridSpan w:val="2"/>
          </w:tcPr>
          <w:p>
            <w:pPr>
              <w:spacing w:after="0"/>
              <w:rPr>
                <w:sz w:val="20"/>
                <w:szCs w:val="20"/>
                <w:color w:val="auto"/>
              </w:rPr>
            </w:pPr>
            <w:r>
              <w:rPr>
                <w:rFonts w:ascii="Arial" w:cs="Arial" w:eastAsia="Arial" w:hAnsi="Arial"/>
                <w:sz w:val="11"/>
                <w:szCs w:val="11"/>
                <w:color w:val="FFFFFF"/>
              </w:rPr>
              <w:t xml:space="preserve">   VALUE   </w:t>
            </w:r>
          </w:p>
        </w:tc>
        <w:tc>
          <w:tcPr>
            <w:tcW w:w="0" w:type="dxa"/>
            <w:vAlign w:val="bottom"/>
          </w:tcPr>
          <w:p>
            <w:pPr>
              <w:spacing w:after="0"/>
              <w:rPr>
                <w:sz w:val="1"/>
                <w:szCs w:val="1"/>
                <w:color w:val="auto"/>
              </w:rPr>
            </w:pPr>
          </w:p>
        </w:tc>
      </w:tr>
      <w:tr>
        <w:trPr>
          <w:trHeight w:val="167"/>
        </w:trPr>
        <w:tc>
          <w:tcPr>
            <w:tcW w:w="3480" w:type="dxa"/>
            <w:vAlign w:val="bottom"/>
            <w:tcBorders>
              <w:bottom w:val="single" w:sz="8" w:color="351B3D"/>
            </w:tcBorders>
            <w:shd w:val="clear" w:color="auto" w:fill="351B3D"/>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1"/>
                <w:szCs w:val="11"/>
                <w:color w:val="FFFFFF"/>
              </w:rPr>
              <w:t xml:space="preserve">EXERCISABLE   </w:t>
            </w:r>
          </w:p>
        </w:tc>
        <w:tc>
          <w:tcPr>
            <w:tcW w:w="1040" w:type="dxa"/>
            <w:vAlign w:val="bottom"/>
          </w:tcPr>
          <w:p>
            <w:pPr>
              <w:ind w:left="60"/>
              <w:spacing w:after="0"/>
              <w:rPr>
                <w:sz w:val="20"/>
                <w:szCs w:val="20"/>
                <w:color w:val="auto"/>
              </w:rPr>
            </w:pPr>
            <w:r>
              <w:rPr>
                <w:rFonts w:ascii="Arial" w:cs="Arial" w:eastAsia="Arial" w:hAnsi="Arial"/>
                <w:sz w:val="11"/>
                <w:szCs w:val="11"/>
                <w:color w:val="FFFFFF"/>
                <w:w w:val="98"/>
              </w:rPr>
              <w:t xml:space="preserve">UNEXERCISABLE   </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FFFFFF"/>
              </w:rPr>
              <w:t>(#)</w:t>
            </w:r>
          </w:p>
        </w:tc>
        <w:tc>
          <w:tcPr>
            <w:tcW w:w="900" w:type="dxa"/>
            <w:vAlign w:val="bottom"/>
          </w:tcPr>
          <w:p>
            <w:pPr>
              <w:jc w:val="center"/>
              <w:spacing w:after="0"/>
              <w:rPr>
                <w:sz w:val="20"/>
                <w:szCs w:val="20"/>
                <w:color w:val="auto"/>
              </w:rPr>
            </w:pPr>
            <w:r>
              <w:rPr>
                <w:rFonts w:ascii="Arial" w:cs="Arial" w:eastAsia="Arial" w:hAnsi="Arial"/>
                <w:sz w:val="11"/>
                <w:szCs w:val="11"/>
                <w:color w:val="FFFFFF"/>
                <w:w w:val="96"/>
              </w:rPr>
              <w:t>($)(18)</w:t>
            </w:r>
          </w:p>
        </w:tc>
        <w:tc>
          <w:tcPr>
            <w:tcW w:w="1240" w:type="dxa"/>
            <w:vAlign w:val="bottom"/>
          </w:tcPr>
          <w:p>
            <w:pPr>
              <w:jc w:val="center"/>
              <w:ind w:right="96"/>
              <w:spacing w:after="0"/>
              <w:rPr>
                <w:sz w:val="20"/>
                <w:szCs w:val="20"/>
                <w:color w:val="auto"/>
              </w:rPr>
            </w:pPr>
            <w:r>
              <w:rPr>
                <w:rFonts w:ascii="Arial" w:cs="Arial" w:eastAsia="Arial" w:hAnsi="Arial"/>
                <w:sz w:val="11"/>
                <w:szCs w:val="11"/>
                <w:color w:val="FFFFFF"/>
                <w:w w:val="88"/>
              </w:rPr>
              <w:t>(#)</w:t>
            </w:r>
          </w:p>
        </w:tc>
        <w:tc>
          <w:tcPr>
            <w:tcW w:w="640" w:type="dxa"/>
            <w:vAlign w:val="bottom"/>
          </w:tcPr>
          <w:p>
            <w:pPr>
              <w:jc w:val="center"/>
              <w:ind w:right="51"/>
              <w:spacing w:after="0"/>
              <w:rPr>
                <w:sz w:val="20"/>
                <w:szCs w:val="20"/>
                <w:color w:val="auto"/>
              </w:rPr>
            </w:pPr>
            <w:r>
              <w:rPr>
                <w:rFonts w:ascii="Arial" w:cs="Arial" w:eastAsia="Arial" w:hAnsi="Arial"/>
                <w:sz w:val="11"/>
                <w:szCs w:val="11"/>
                <w:color w:val="FFFFFF"/>
                <w:w w:val="96"/>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3480" w:type="dxa"/>
            <w:vAlign w:val="bottom"/>
            <w:shd w:val="clear" w:color="auto" w:fill="D6D1D8"/>
          </w:tcPr>
          <w:p>
            <w:pPr>
              <w:spacing w:after="0"/>
              <w:rPr>
                <w:sz w:val="23"/>
                <w:szCs w:val="23"/>
                <w:color w:val="auto"/>
              </w:rPr>
            </w:pPr>
          </w:p>
        </w:tc>
        <w:tc>
          <w:tcPr>
            <w:tcW w:w="940" w:type="dxa"/>
            <w:vAlign w:val="bottom"/>
            <w:gridSpan w:val="2"/>
            <w:shd w:val="clear" w:color="auto" w:fill="D6D1D8"/>
          </w:tcPr>
          <w:p>
            <w:pPr>
              <w:jc w:val="center"/>
              <w:ind w:left="49"/>
              <w:spacing w:after="0"/>
              <w:rPr>
                <w:sz w:val="20"/>
                <w:szCs w:val="20"/>
                <w:color w:val="auto"/>
              </w:rPr>
            </w:pPr>
            <w:r>
              <w:rPr>
                <w:rFonts w:ascii="Arial" w:cs="Arial" w:eastAsia="Arial" w:hAnsi="Arial"/>
                <w:sz w:val="14"/>
                <w:szCs w:val="14"/>
                <w:color w:val="auto"/>
              </w:rPr>
              <w:t>-</w:t>
            </w:r>
          </w:p>
        </w:tc>
        <w:tc>
          <w:tcPr>
            <w:tcW w:w="60" w:type="dxa"/>
            <w:vAlign w:val="bottom"/>
            <w:shd w:val="clear" w:color="auto" w:fill="D6D1D8"/>
          </w:tcPr>
          <w:p>
            <w:pPr>
              <w:spacing w:after="0"/>
              <w:rPr>
                <w:sz w:val="23"/>
                <w:szCs w:val="23"/>
                <w:color w:val="auto"/>
              </w:rPr>
            </w:pPr>
          </w:p>
        </w:tc>
        <w:tc>
          <w:tcPr>
            <w:tcW w:w="104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86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93"/>
              </w:rPr>
              <w:t>972</w:t>
            </w:r>
            <w:r>
              <w:rPr>
                <w:rFonts w:ascii="Arial" w:cs="Arial" w:eastAsia="Arial" w:hAnsi="Arial"/>
                <w:sz w:val="21"/>
                <w:szCs w:val="21"/>
                <w:color w:val="auto"/>
                <w:w w:val="93"/>
                <w:vertAlign w:val="superscript"/>
              </w:rPr>
              <w:t>(2)</w:t>
            </w:r>
          </w:p>
        </w:tc>
        <w:tc>
          <w:tcPr>
            <w:tcW w:w="90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83,748</w:t>
            </w:r>
          </w:p>
        </w:tc>
        <w:tc>
          <w:tcPr>
            <w:tcW w:w="1240" w:type="dxa"/>
            <w:vAlign w:val="bottom"/>
            <w:shd w:val="clear" w:color="auto" w:fill="D6D1D8"/>
          </w:tcPr>
          <w:p>
            <w:pPr>
              <w:jc w:val="center"/>
              <w:ind w:right="96"/>
              <w:spacing w:after="0"/>
              <w:rPr>
                <w:sz w:val="20"/>
                <w:szCs w:val="20"/>
                <w:color w:val="auto"/>
              </w:rPr>
            </w:pPr>
            <w:r>
              <w:rPr>
                <w:rFonts w:ascii="Arial" w:cs="Arial" w:eastAsia="Arial" w:hAnsi="Arial"/>
                <w:sz w:val="14"/>
                <w:szCs w:val="14"/>
                <w:color w:val="auto"/>
                <w:w w:val="84"/>
              </w:rPr>
              <w:t>-</w:t>
            </w:r>
          </w:p>
        </w:tc>
        <w:tc>
          <w:tcPr>
            <w:tcW w:w="640" w:type="dxa"/>
            <w:vAlign w:val="bottom"/>
            <w:shd w:val="clear" w:color="auto" w:fill="D6D1D8"/>
          </w:tcPr>
          <w:p>
            <w:pPr>
              <w:jc w:val="center"/>
              <w:ind w:right="51"/>
              <w:spacing w:after="0"/>
              <w:rPr>
                <w:sz w:val="20"/>
                <w:szCs w:val="20"/>
                <w:color w:val="auto"/>
              </w:rPr>
            </w:pPr>
            <w:r>
              <w:rPr>
                <w:rFonts w:ascii="Arial" w:cs="Arial" w:eastAsia="Arial" w:hAnsi="Arial"/>
                <w:sz w:val="14"/>
                <w:szCs w:val="14"/>
                <w:color w:val="auto"/>
                <w:w w:val="84"/>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480" w:type="dxa"/>
            <w:vAlign w:val="bottom"/>
            <w:vMerge w:val="restart"/>
            <w:shd w:val="clear" w:color="auto" w:fill="D6D1D8"/>
          </w:tcPr>
          <w:p>
            <w:pPr>
              <w:ind w:left="80"/>
              <w:spacing w:after="0"/>
              <w:rPr>
                <w:sz w:val="20"/>
                <w:szCs w:val="20"/>
                <w:color w:val="auto"/>
              </w:rPr>
            </w:pPr>
            <w:r>
              <w:rPr>
                <w:rFonts w:ascii="Arial" w:cs="Arial" w:eastAsia="Arial" w:hAnsi="Arial"/>
                <w:sz w:val="14"/>
                <w:szCs w:val="14"/>
                <w:color w:val="auto"/>
              </w:rPr>
              <w:t>Jacqui Krum</w:t>
            </w:r>
          </w:p>
        </w:tc>
        <w:tc>
          <w:tcPr>
            <w:tcW w:w="120" w:type="dxa"/>
            <w:vAlign w:val="bottom"/>
            <w:shd w:val="clear" w:color="auto" w:fill="D6D1D8"/>
          </w:tcPr>
          <w:p>
            <w:pPr>
              <w:spacing w:after="0"/>
              <w:rPr>
                <w:sz w:val="23"/>
                <w:szCs w:val="23"/>
                <w:color w:val="auto"/>
              </w:rPr>
            </w:pPr>
          </w:p>
        </w:tc>
        <w:tc>
          <w:tcPr>
            <w:tcW w:w="82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w:t>
            </w:r>
          </w:p>
        </w:tc>
        <w:tc>
          <w:tcPr>
            <w:tcW w:w="60" w:type="dxa"/>
            <w:vAlign w:val="bottom"/>
            <w:shd w:val="clear" w:color="auto" w:fill="D6D1D8"/>
          </w:tcPr>
          <w:p>
            <w:pPr>
              <w:spacing w:after="0"/>
              <w:rPr>
                <w:sz w:val="23"/>
                <w:szCs w:val="23"/>
                <w:color w:val="auto"/>
              </w:rPr>
            </w:pPr>
          </w:p>
        </w:tc>
        <w:tc>
          <w:tcPr>
            <w:tcW w:w="104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86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95"/>
              </w:rPr>
              <w:t>1,691</w:t>
            </w:r>
            <w:r>
              <w:rPr>
                <w:rFonts w:ascii="Arial" w:cs="Arial" w:eastAsia="Arial" w:hAnsi="Arial"/>
                <w:sz w:val="21"/>
                <w:szCs w:val="21"/>
                <w:color w:val="auto"/>
                <w:w w:val="95"/>
                <w:vertAlign w:val="superscript"/>
              </w:rPr>
              <w:t>(4)</w:t>
            </w:r>
          </w:p>
        </w:tc>
        <w:tc>
          <w:tcPr>
            <w:tcW w:w="90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145,697</w:t>
            </w:r>
          </w:p>
        </w:tc>
        <w:tc>
          <w:tcPr>
            <w:tcW w:w="1240" w:type="dxa"/>
            <w:vAlign w:val="bottom"/>
            <w:shd w:val="clear" w:color="auto" w:fill="D6D1D8"/>
          </w:tcPr>
          <w:p>
            <w:pPr>
              <w:jc w:val="center"/>
              <w:ind w:right="96"/>
              <w:spacing w:after="0"/>
              <w:rPr>
                <w:sz w:val="20"/>
                <w:szCs w:val="20"/>
                <w:color w:val="auto"/>
              </w:rPr>
            </w:pPr>
            <w:r>
              <w:rPr>
                <w:rFonts w:ascii="Arial" w:cs="Arial" w:eastAsia="Arial" w:hAnsi="Arial"/>
                <w:sz w:val="14"/>
                <w:szCs w:val="14"/>
                <w:color w:val="auto"/>
                <w:w w:val="84"/>
              </w:rPr>
              <w:t>-</w:t>
            </w:r>
          </w:p>
        </w:tc>
        <w:tc>
          <w:tcPr>
            <w:tcW w:w="640" w:type="dxa"/>
            <w:vAlign w:val="bottom"/>
            <w:shd w:val="clear" w:color="auto" w:fill="D6D1D8"/>
          </w:tcPr>
          <w:p>
            <w:pPr>
              <w:jc w:val="center"/>
              <w:ind w:right="51"/>
              <w:spacing w:after="0"/>
              <w:rPr>
                <w:sz w:val="20"/>
                <w:szCs w:val="20"/>
                <w:color w:val="auto"/>
              </w:rPr>
            </w:pPr>
            <w:r>
              <w:rPr>
                <w:rFonts w:ascii="Arial" w:cs="Arial" w:eastAsia="Arial" w:hAnsi="Arial"/>
                <w:sz w:val="14"/>
                <w:szCs w:val="14"/>
                <w:color w:val="auto"/>
                <w:w w:val="84"/>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3480" w:type="dxa"/>
            <w:vAlign w:val="bottom"/>
            <w:vMerge w:val="continue"/>
            <w:shd w:val="clear" w:color="auto" w:fill="D6D1D8"/>
          </w:tcPr>
          <w:p>
            <w:pPr>
              <w:spacing w:after="0"/>
              <w:rPr>
                <w:sz w:val="6"/>
                <w:szCs w:val="6"/>
                <w:color w:val="auto"/>
              </w:rPr>
            </w:pPr>
          </w:p>
        </w:tc>
        <w:tc>
          <w:tcPr>
            <w:tcW w:w="120" w:type="dxa"/>
            <w:vAlign w:val="bottom"/>
            <w:shd w:val="clear" w:color="auto" w:fill="D6D1D8"/>
          </w:tcPr>
          <w:p>
            <w:pPr>
              <w:spacing w:after="0"/>
              <w:rPr>
                <w:sz w:val="6"/>
                <w:szCs w:val="6"/>
                <w:color w:val="auto"/>
              </w:rPr>
            </w:pPr>
          </w:p>
        </w:tc>
        <w:tc>
          <w:tcPr>
            <w:tcW w:w="820" w:type="dxa"/>
            <w:vAlign w:val="bottom"/>
            <w:vMerge w:val="restart"/>
            <w:shd w:val="clear" w:color="auto" w:fill="D6D1D8"/>
          </w:tcPr>
          <w:p>
            <w:pPr>
              <w:jc w:val="center"/>
              <w:spacing w:after="0"/>
              <w:rPr>
                <w:sz w:val="20"/>
                <w:szCs w:val="20"/>
                <w:color w:val="auto"/>
              </w:rPr>
            </w:pPr>
            <w:r>
              <w:rPr>
                <w:rFonts w:ascii="Arial" w:cs="Arial" w:eastAsia="Arial" w:hAnsi="Arial"/>
                <w:sz w:val="14"/>
                <w:szCs w:val="14"/>
                <w:color w:val="auto"/>
              </w:rPr>
              <w:t>-</w:t>
            </w:r>
          </w:p>
        </w:tc>
        <w:tc>
          <w:tcPr>
            <w:tcW w:w="60" w:type="dxa"/>
            <w:vAlign w:val="bottom"/>
            <w:shd w:val="clear" w:color="auto" w:fill="D6D1D8"/>
          </w:tcPr>
          <w:p>
            <w:pPr>
              <w:spacing w:after="0"/>
              <w:rPr>
                <w:sz w:val="6"/>
                <w:szCs w:val="6"/>
                <w:color w:val="auto"/>
              </w:rPr>
            </w:pPr>
          </w:p>
        </w:tc>
        <w:tc>
          <w:tcPr>
            <w:tcW w:w="1040" w:type="dxa"/>
            <w:vAlign w:val="bottom"/>
            <w:vMerge w:val="restart"/>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860" w:type="dxa"/>
            <w:vAlign w:val="bottom"/>
            <w:vMerge w:val="restart"/>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vMerge w:val="restart"/>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vMerge w:val="restart"/>
            <w:shd w:val="clear" w:color="auto" w:fill="D6D1D8"/>
          </w:tcPr>
          <w:p>
            <w:pPr>
              <w:jc w:val="center"/>
              <w:spacing w:after="0" w:line="227" w:lineRule="exact"/>
              <w:rPr>
                <w:sz w:val="20"/>
                <w:szCs w:val="20"/>
                <w:color w:val="auto"/>
              </w:rPr>
            </w:pPr>
            <w:r>
              <w:rPr>
                <w:rFonts w:ascii="Arial" w:cs="Arial" w:eastAsia="Arial" w:hAnsi="Arial"/>
                <w:sz w:val="14"/>
                <w:szCs w:val="14"/>
                <w:color w:val="auto"/>
                <w:w w:val="95"/>
              </w:rPr>
              <w:t>1,848</w:t>
            </w:r>
            <w:r>
              <w:rPr>
                <w:rFonts w:ascii="Arial" w:cs="Arial" w:eastAsia="Arial" w:hAnsi="Arial"/>
                <w:sz w:val="21"/>
                <w:szCs w:val="21"/>
                <w:color w:val="auto"/>
                <w:w w:val="95"/>
                <w:vertAlign w:val="superscript"/>
              </w:rPr>
              <w:t>(7)</w:t>
            </w:r>
          </w:p>
        </w:tc>
        <w:tc>
          <w:tcPr>
            <w:tcW w:w="900" w:type="dxa"/>
            <w:vAlign w:val="bottom"/>
            <w:vMerge w:val="restart"/>
            <w:shd w:val="clear" w:color="auto" w:fill="D6D1D8"/>
          </w:tcPr>
          <w:p>
            <w:pPr>
              <w:jc w:val="center"/>
              <w:spacing w:after="0"/>
              <w:rPr>
                <w:sz w:val="20"/>
                <w:szCs w:val="20"/>
                <w:color w:val="auto"/>
              </w:rPr>
            </w:pPr>
            <w:r>
              <w:rPr>
                <w:rFonts w:ascii="Arial" w:cs="Arial" w:eastAsia="Arial" w:hAnsi="Arial"/>
                <w:sz w:val="14"/>
                <w:szCs w:val="14"/>
                <w:color w:val="auto"/>
              </w:rPr>
              <w:t>159,224</w:t>
            </w:r>
          </w:p>
        </w:tc>
        <w:tc>
          <w:tcPr>
            <w:tcW w:w="1240" w:type="dxa"/>
            <w:vAlign w:val="bottom"/>
            <w:vMerge w:val="restart"/>
            <w:shd w:val="clear" w:color="auto" w:fill="D6D1D8"/>
          </w:tcPr>
          <w:p>
            <w:pPr>
              <w:jc w:val="center"/>
              <w:ind w:right="96"/>
              <w:spacing w:after="0"/>
              <w:rPr>
                <w:sz w:val="20"/>
                <w:szCs w:val="20"/>
                <w:color w:val="auto"/>
              </w:rPr>
            </w:pPr>
            <w:r>
              <w:rPr>
                <w:rFonts w:ascii="Arial" w:cs="Arial" w:eastAsia="Arial" w:hAnsi="Arial"/>
                <w:sz w:val="14"/>
                <w:szCs w:val="14"/>
                <w:color w:val="auto"/>
                <w:w w:val="84"/>
              </w:rPr>
              <w:t>-</w:t>
            </w:r>
          </w:p>
        </w:tc>
        <w:tc>
          <w:tcPr>
            <w:tcW w:w="640" w:type="dxa"/>
            <w:vAlign w:val="bottom"/>
            <w:vMerge w:val="restart"/>
            <w:shd w:val="clear" w:color="auto" w:fill="D6D1D8"/>
          </w:tcPr>
          <w:p>
            <w:pPr>
              <w:jc w:val="center"/>
              <w:ind w:right="51"/>
              <w:spacing w:after="0"/>
              <w:rPr>
                <w:sz w:val="20"/>
                <w:szCs w:val="20"/>
                <w:color w:val="auto"/>
              </w:rPr>
            </w:pPr>
            <w:r>
              <w:rPr>
                <w:rFonts w:ascii="Arial" w:cs="Arial" w:eastAsia="Arial" w:hAnsi="Arial"/>
                <w:sz w:val="14"/>
                <w:szCs w:val="14"/>
                <w:color w:val="auto"/>
                <w:w w:val="84"/>
              </w:rPr>
              <w:t>-</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3480" w:type="dxa"/>
            <w:vAlign w:val="bottom"/>
            <w:shd w:val="clear" w:color="auto" w:fill="D6D1D8"/>
          </w:tcPr>
          <w:p>
            <w:pPr>
              <w:spacing w:after="0"/>
              <w:rPr>
                <w:sz w:val="13"/>
                <w:szCs w:val="13"/>
                <w:color w:val="auto"/>
              </w:rPr>
            </w:pPr>
          </w:p>
        </w:tc>
        <w:tc>
          <w:tcPr>
            <w:tcW w:w="120" w:type="dxa"/>
            <w:vAlign w:val="bottom"/>
            <w:shd w:val="clear" w:color="auto" w:fill="D6D1D8"/>
          </w:tcPr>
          <w:p>
            <w:pPr>
              <w:spacing w:after="0"/>
              <w:rPr>
                <w:sz w:val="13"/>
                <w:szCs w:val="13"/>
                <w:color w:val="auto"/>
              </w:rPr>
            </w:pPr>
          </w:p>
        </w:tc>
        <w:tc>
          <w:tcPr>
            <w:tcW w:w="820" w:type="dxa"/>
            <w:vAlign w:val="bottom"/>
            <w:vMerge w:val="continue"/>
            <w:shd w:val="clear" w:color="auto" w:fill="D6D1D8"/>
          </w:tcPr>
          <w:p>
            <w:pPr>
              <w:spacing w:after="0"/>
              <w:rPr>
                <w:sz w:val="13"/>
                <w:szCs w:val="13"/>
                <w:color w:val="auto"/>
              </w:rPr>
            </w:pPr>
          </w:p>
        </w:tc>
        <w:tc>
          <w:tcPr>
            <w:tcW w:w="60" w:type="dxa"/>
            <w:vAlign w:val="bottom"/>
            <w:shd w:val="clear" w:color="auto" w:fill="D6D1D8"/>
          </w:tcPr>
          <w:p>
            <w:pPr>
              <w:spacing w:after="0"/>
              <w:rPr>
                <w:sz w:val="13"/>
                <w:szCs w:val="13"/>
                <w:color w:val="auto"/>
              </w:rPr>
            </w:pPr>
          </w:p>
        </w:tc>
        <w:tc>
          <w:tcPr>
            <w:tcW w:w="1040" w:type="dxa"/>
            <w:vAlign w:val="bottom"/>
            <w:vMerge w:val="continue"/>
            <w:shd w:val="clear" w:color="auto" w:fill="D6D1D8"/>
          </w:tcPr>
          <w:p>
            <w:pPr>
              <w:spacing w:after="0"/>
              <w:rPr>
                <w:sz w:val="13"/>
                <w:szCs w:val="13"/>
                <w:color w:val="auto"/>
              </w:rPr>
            </w:pPr>
          </w:p>
        </w:tc>
        <w:tc>
          <w:tcPr>
            <w:tcW w:w="860" w:type="dxa"/>
            <w:vAlign w:val="bottom"/>
            <w:vMerge w:val="continue"/>
            <w:shd w:val="clear" w:color="auto" w:fill="D6D1D8"/>
          </w:tcPr>
          <w:p>
            <w:pPr>
              <w:spacing w:after="0"/>
              <w:rPr>
                <w:sz w:val="13"/>
                <w:szCs w:val="13"/>
                <w:color w:val="auto"/>
              </w:rPr>
            </w:pPr>
          </w:p>
        </w:tc>
        <w:tc>
          <w:tcPr>
            <w:tcW w:w="920" w:type="dxa"/>
            <w:vAlign w:val="bottom"/>
            <w:vMerge w:val="continue"/>
            <w:shd w:val="clear" w:color="auto" w:fill="D6D1D8"/>
          </w:tcPr>
          <w:p>
            <w:pPr>
              <w:spacing w:after="0"/>
              <w:rPr>
                <w:sz w:val="13"/>
                <w:szCs w:val="13"/>
                <w:color w:val="auto"/>
              </w:rPr>
            </w:pPr>
          </w:p>
        </w:tc>
        <w:tc>
          <w:tcPr>
            <w:tcW w:w="840" w:type="dxa"/>
            <w:vAlign w:val="bottom"/>
            <w:vMerge w:val="continue"/>
            <w:shd w:val="clear" w:color="auto" w:fill="D6D1D8"/>
          </w:tcPr>
          <w:p>
            <w:pPr>
              <w:spacing w:after="0"/>
              <w:rPr>
                <w:sz w:val="13"/>
                <w:szCs w:val="13"/>
                <w:color w:val="auto"/>
              </w:rPr>
            </w:pPr>
          </w:p>
        </w:tc>
        <w:tc>
          <w:tcPr>
            <w:tcW w:w="900" w:type="dxa"/>
            <w:vAlign w:val="bottom"/>
            <w:vMerge w:val="continue"/>
            <w:shd w:val="clear" w:color="auto" w:fill="D6D1D8"/>
          </w:tcPr>
          <w:p>
            <w:pPr>
              <w:spacing w:after="0"/>
              <w:rPr>
                <w:sz w:val="13"/>
                <w:szCs w:val="13"/>
                <w:color w:val="auto"/>
              </w:rPr>
            </w:pPr>
          </w:p>
        </w:tc>
        <w:tc>
          <w:tcPr>
            <w:tcW w:w="1240" w:type="dxa"/>
            <w:vAlign w:val="bottom"/>
            <w:vMerge w:val="continue"/>
            <w:shd w:val="clear" w:color="auto" w:fill="D6D1D8"/>
          </w:tcPr>
          <w:p>
            <w:pPr>
              <w:spacing w:after="0"/>
              <w:rPr>
                <w:sz w:val="13"/>
                <w:szCs w:val="13"/>
                <w:color w:val="auto"/>
              </w:rPr>
            </w:pPr>
          </w:p>
        </w:tc>
        <w:tc>
          <w:tcPr>
            <w:tcW w:w="640" w:type="dxa"/>
            <w:vAlign w:val="bottom"/>
            <w:vMerge w:val="continue"/>
            <w:shd w:val="clear" w:color="auto" w:fill="D6D1D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3480" w:type="dxa"/>
            <w:vAlign w:val="bottom"/>
            <w:shd w:val="clear" w:color="auto" w:fill="D6D1D8"/>
          </w:tcPr>
          <w:p>
            <w:pPr>
              <w:spacing w:after="0"/>
              <w:rPr>
                <w:sz w:val="23"/>
                <w:szCs w:val="23"/>
                <w:color w:val="auto"/>
              </w:rPr>
            </w:pPr>
          </w:p>
        </w:tc>
        <w:tc>
          <w:tcPr>
            <w:tcW w:w="940" w:type="dxa"/>
            <w:vAlign w:val="bottom"/>
            <w:gridSpan w:val="2"/>
            <w:shd w:val="clear" w:color="auto" w:fill="D6D1D8"/>
          </w:tcPr>
          <w:p>
            <w:pPr>
              <w:jc w:val="center"/>
              <w:ind w:left="49"/>
              <w:spacing w:after="0"/>
              <w:rPr>
                <w:sz w:val="20"/>
                <w:szCs w:val="20"/>
                <w:color w:val="auto"/>
              </w:rPr>
            </w:pPr>
            <w:r>
              <w:rPr>
                <w:rFonts w:ascii="Arial" w:cs="Arial" w:eastAsia="Arial" w:hAnsi="Arial"/>
                <w:sz w:val="14"/>
                <w:szCs w:val="14"/>
                <w:color w:val="auto"/>
              </w:rPr>
              <w:t>-</w:t>
            </w:r>
          </w:p>
        </w:tc>
        <w:tc>
          <w:tcPr>
            <w:tcW w:w="60" w:type="dxa"/>
            <w:vAlign w:val="bottom"/>
            <w:shd w:val="clear" w:color="auto" w:fill="D6D1D8"/>
          </w:tcPr>
          <w:p>
            <w:pPr>
              <w:spacing w:after="0"/>
              <w:rPr>
                <w:sz w:val="23"/>
                <w:szCs w:val="23"/>
                <w:color w:val="auto"/>
              </w:rPr>
            </w:pPr>
          </w:p>
        </w:tc>
        <w:tc>
          <w:tcPr>
            <w:tcW w:w="104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86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91"/>
              </w:rPr>
              <w:t>15,932</w:t>
            </w:r>
            <w:r>
              <w:rPr>
                <w:rFonts w:ascii="Arial" w:cs="Arial" w:eastAsia="Arial" w:hAnsi="Arial"/>
                <w:sz w:val="21"/>
                <w:szCs w:val="21"/>
                <w:color w:val="auto"/>
                <w:w w:val="91"/>
                <w:vertAlign w:val="superscript"/>
              </w:rPr>
              <w:t>(11)</w:t>
            </w:r>
          </w:p>
        </w:tc>
        <w:tc>
          <w:tcPr>
            <w:tcW w:w="90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1,372,701</w:t>
            </w:r>
          </w:p>
        </w:tc>
        <w:tc>
          <w:tcPr>
            <w:tcW w:w="1240" w:type="dxa"/>
            <w:vAlign w:val="bottom"/>
            <w:shd w:val="clear" w:color="auto" w:fill="D6D1D8"/>
          </w:tcPr>
          <w:p>
            <w:pPr>
              <w:jc w:val="center"/>
              <w:ind w:right="96"/>
              <w:spacing w:after="0"/>
              <w:rPr>
                <w:sz w:val="20"/>
                <w:szCs w:val="20"/>
                <w:color w:val="auto"/>
              </w:rPr>
            </w:pPr>
            <w:r>
              <w:rPr>
                <w:rFonts w:ascii="Arial" w:cs="Arial" w:eastAsia="Arial" w:hAnsi="Arial"/>
                <w:sz w:val="14"/>
                <w:szCs w:val="14"/>
                <w:color w:val="auto"/>
                <w:w w:val="84"/>
              </w:rPr>
              <w:t>-</w:t>
            </w:r>
          </w:p>
        </w:tc>
        <w:tc>
          <w:tcPr>
            <w:tcW w:w="640" w:type="dxa"/>
            <w:vAlign w:val="bottom"/>
            <w:shd w:val="clear" w:color="auto" w:fill="D6D1D8"/>
          </w:tcPr>
          <w:p>
            <w:pPr>
              <w:jc w:val="center"/>
              <w:ind w:right="51"/>
              <w:spacing w:after="0"/>
              <w:rPr>
                <w:sz w:val="20"/>
                <w:szCs w:val="20"/>
                <w:color w:val="auto"/>
              </w:rPr>
            </w:pPr>
            <w:r>
              <w:rPr>
                <w:rFonts w:ascii="Arial" w:cs="Arial" w:eastAsia="Arial" w:hAnsi="Arial"/>
                <w:sz w:val="14"/>
                <w:szCs w:val="14"/>
                <w:color w:val="auto"/>
                <w:w w:val="84"/>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480" w:type="dxa"/>
            <w:vAlign w:val="bottom"/>
            <w:shd w:val="clear" w:color="auto" w:fill="F2F2F2"/>
          </w:tcPr>
          <w:p>
            <w:pPr>
              <w:spacing w:after="0"/>
              <w:rPr>
                <w:sz w:val="23"/>
                <w:szCs w:val="23"/>
                <w:color w:val="auto"/>
              </w:rPr>
            </w:pPr>
          </w:p>
        </w:tc>
        <w:tc>
          <w:tcPr>
            <w:tcW w:w="940" w:type="dxa"/>
            <w:vAlign w:val="bottom"/>
            <w:gridSpan w:val="2"/>
            <w:shd w:val="clear" w:color="auto" w:fill="F2F2F2"/>
          </w:tcPr>
          <w:p>
            <w:pPr>
              <w:jc w:val="center"/>
              <w:ind w:left="49"/>
              <w:spacing w:after="0"/>
              <w:rPr>
                <w:sz w:val="20"/>
                <w:szCs w:val="20"/>
                <w:color w:val="auto"/>
              </w:rPr>
            </w:pPr>
            <w:r>
              <w:rPr>
                <w:rFonts w:ascii="Arial" w:cs="Arial" w:eastAsia="Arial" w:hAnsi="Arial"/>
                <w:sz w:val="14"/>
                <w:szCs w:val="14"/>
                <w:color w:val="auto"/>
              </w:rPr>
              <w:t>-</w:t>
            </w:r>
          </w:p>
        </w:tc>
        <w:tc>
          <w:tcPr>
            <w:tcW w:w="60" w:type="dxa"/>
            <w:vAlign w:val="bottom"/>
            <w:shd w:val="clear" w:color="auto" w:fill="F2F2F2"/>
          </w:tcPr>
          <w:p>
            <w:pPr>
              <w:spacing w:after="0"/>
              <w:rPr>
                <w:sz w:val="23"/>
                <w:szCs w:val="23"/>
                <w:color w:val="auto"/>
              </w:rPr>
            </w:pPr>
          </w:p>
        </w:tc>
        <w:tc>
          <w:tcPr>
            <w:tcW w:w="10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86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0"/>
              </w:rPr>
              <w:t>4,080</w:t>
            </w:r>
            <w:r>
              <w:rPr>
                <w:rFonts w:ascii="Arial" w:cs="Arial" w:eastAsia="Arial" w:hAnsi="Arial"/>
                <w:sz w:val="21"/>
                <w:szCs w:val="21"/>
                <w:color w:val="auto"/>
                <w:w w:val="90"/>
                <w:vertAlign w:val="superscript"/>
              </w:rPr>
              <w:t>(12)</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351,533</w:t>
            </w:r>
          </w:p>
        </w:tc>
        <w:tc>
          <w:tcPr>
            <w:tcW w:w="1240" w:type="dxa"/>
            <w:vAlign w:val="bottom"/>
            <w:shd w:val="clear" w:color="auto" w:fill="F2F2F2"/>
          </w:tcPr>
          <w:p>
            <w:pPr>
              <w:jc w:val="center"/>
              <w:ind w:right="96"/>
              <w:spacing w:after="0"/>
              <w:rPr>
                <w:sz w:val="20"/>
                <w:szCs w:val="20"/>
                <w:color w:val="auto"/>
              </w:rPr>
            </w:pPr>
            <w:r>
              <w:rPr>
                <w:rFonts w:ascii="Arial" w:cs="Arial" w:eastAsia="Arial" w:hAnsi="Arial"/>
                <w:sz w:val="14"/>
                <w:szCs w:val="14"/>
                <w:color w:val="auto"/>
                <w:w w:val="84"/>
              </w:rPr>
              <w:t>-</w:t>
            </w:r>
          </w:p>
        </w:tc>
        <w:tc>
          <w:tcPr>
            <w:tcW w:w="640" w:type="dxa"/>
            <w:vAlign w:val="bottom"/>
            <w:shd w:val="clear" w:color="auto" w:fill="F2F2F2"/>
          </w:tcPr>
          <w:p>
            <w:pPr>
              <w:jc w:val="center"/>
              <w:ind w:right="51"/>
              <w:spacing w:after="0"/>
              <w:rPr>
                <w:sz w:val="20"/>
                <w:szCs w:val="20"/>
                <w:color w:val="auto"/>
              </w:rPr>
            </w:pPr>
            <w:r>
              <w:rPr>
                <w:rFonts w:ascii="Arial" w:cs="Arial" w:eastAsia="Arial" w:hAnsi="Arial"/>
                <w:sz w:val="14"/>
                <w:szCs w:val="14"/>
                <w:color w:val="auto"/>
                <w:w w:val="84"/>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480" w:type="dxa"/>
            <w:vAlign w:val="bottom"/>
            <w:shd w:val="clear" w:color="auto" w:fill="F2F2F2"/>
          </w:tcPr>
          <w:p>
            <w:pPr>
              <w:spacing w:after="0"/>
              <w:rPr>
                <w:sz w:val="23"/>
                <w:szCs w:val="23"/>
                <w:color w:val="auto"/>
              </w:rPr>
            </w:pPr>
          </w:p>
        </w:tc>
        <w:tc>
          <w:tcPr>
            <w:tcW w:w="940" w:type="dxa"/>
            <w:vAlign w:val="bottom"/>
            <w:gridSpan w:val="2"/>
            <w:shd w:val="clear" w:color="auto" w:fill="F2F2F2"/>
          </w:tcPr>
          <w:p>
            <w:pPr>
              <w:jc w:val="center"/>
              <w:ind w:left="49"/>
              <w:spacing w:after="0"/>
              <w:rPr>
                <w:sz w:val="20"/>
                <w:szCs w:val="20"/>
                <w:color w:val="auto"/>
              </w:rPr>
            </w:pPr>
            <w:r>
              <w:rPr>
                <w:rFonts w:ascii="Arial" w:cs="Arial" w:eastAsia="Arial" w:hAnsi="Arial"/>
                <w:sz w:val="14"/>
                <w:szCs w:val="14"/>
                <w:color w:val="auto"/>
              </w:rPr>
              <w:t>-</w:t>
            </w:r>
          </w:p>
        </w:tc>
        <w:tc>
          <w:tcPr>
            <w:tcW w:w="60" w:type="dxa"/>
            <w:vAlign w:val="bottom"/>
            <w:shd w:val="clear" w:color="auto" w:fill="F2F2F2"/>
          </w:tcPr>
          <w:p>
            <w:pPr>
              <w:spacing w:after="0"/>
              <w:rPr>
                <w:sz w:val="23"/>
                <w:szCs w:val="23"/>
                <w:color w:val="auto"/>
              </w:rPr>
            </w:pPr>
          </w:p>
        </w:tc>
        <w:tc>
          <w:tcPr>
            <w:tcW w:w="10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86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900" w:type="dxa"/>
            <w:vAlign w:val="bottom"/>
            <w:shd w:val="clear" w:color="auto" w:fill="F2F2F2"/>
          </w:tcPr>
          <w:p>
            <w:pPr>
              <w:jc w:val="center"/>
              <w:ind w:right="13"/>
              <w:spacing w:after="0"/>
              <w:rPr>
                <w:sz w:val="20"/>
                <w:szCs w:val="20"/>
                <w:color w:val="auto"/>
              </w:rPr>
            </w:pPr>
            <w:r>
              <w:rPr>
                <w:rFonts w:ascii="Arial" w:cs="Arial" w:eastAsia="Arial" w:hAnsi="Arial"/>
                <w:sz w:val="14"/>
                <w:szCs w:val="14"/>
                <w:color w:val="auto"/>
              </w:rPr>
              <w:t>-</w:t>
            </w:r>
          </w:p>
        </w:tc>
        <w:tc>
          <w:tcPr>
            <w:tcW w:w="1240" w:type="dxa"/>
            <w:vAlign w:val="bottom"/>
            <w:shd w:val="clear" w:color="auto" w:fill="F2F2F2"/>
          </w:tcPr>
          <w:p>
            <w:pPr>
              <w:jc w:val="center"/>
              <w:ind w:right="116"/>
              <w:spacing w:after="0"/>
              <w:rPr>
                <w:sz w:val="20"/>
                <w:szCs w:val="20"/>
                <w:color w:val="auto"/>
              </w:rPr>
            </w:pPr>
            <w:r>
              <w:rPr>
                <w:rFonts w:ascii="Arial" w:cs="Arial" w:eastAsia="Arial" w:hAnsi="Arial"/>
                <w:sz w:val="14"/>
                <w:szCs w:val="14"/>
                <w:color w:val="auto"/>
                <w:w w:val="90"/>
              </w:rPr>
              <w:t>2,040</w:t>
            </w:r>
            <w:r>
              <w:rPr>
                <w:rFonts w:ascii="Arial" w:cs="Arial" w:eastAsia="Arial" w:hAnsi="Arial"/>
                <w:sz w:val="21"/>
                <w:szCs w:val="21"/>
                <w:color w:val="auto"/>
                <w:w w:val="90"/>
                <w:vertAlign w:val="superscript"/>
              </w:rPr>
              <w:t>(13)</w:t>
            </w:r>
          </w:p>
        </w:tc>
        <w:tc>
          <w:tcPr>
            <w:tcW w:w="640" w:type="dxa"/>
            <w:vAlign w:val="bottom"/>
            <w:shd w:val="clear" w:color="auto" w:fill="F2F2F2"/>
          </w:tcPr>
          <w:p>
            <w:pPr>
              <w:jc w:val="center"/>
              <w:ind w:right="51"/>
              <w:spacing w:after="0"/>
              <w:rPr>
                <w:sz w:val="20"/>
                <w:szCs w:val="20"/>
                <w:color w:val="auto"/>
              </w:rPr>
            </w:pPr>
            <w:r>
              <w:rPr>
                <w:rFonts w:ascii="Arial" w:cs="Arial" w:eastAsia="Arial" w:hAnsi="Arial"/>
                <w:sz w:val="14"/>
                <w:szCs w:val="14"/>
                <w:color w:val="auto"/>
              </w:rPr>
              <w:t>175,766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480" w:type="dxa"/>
            <w:vAlign w:val="bottom"/>
            <w:shd w:val="clear" w:color="auto" w:fill="F2F2F2"/>
          </w:tcPr>
          <w:p>
            <w:pPr>
              <w:spacing w:after="0"/>
              <w:rPr>
                <w:sz w:val="23"/>
                <w:szCs w:val="23"/>
                <w:color w:val="auto"/>
              </w:rPr>
            </w:pPr>
          </w:p>
        </w:tc>
        <w:tc>
          <w:tcPr>
            <w:tcW w:w="120" w:type="dxa"/>
            <w:vAlign w:val="bottom"/>
            <w:shd w:val="clear" w:color="auto" w:fill="F2F2F2"/>
          </w:tcPr>
          <w:p>
            <w:pPr>
              <w:spacing w:after="0"/>
              <w:rPr>
                <w:sz w:val="23"/>
                <w:szCs w:val="23"/>
                <w:color w:val="auto"/>
              </w:rPr>
            </w:pPr>
          </w:p>
        </w:tc>
        <w:tc>
          <w:tcPr>
            <w:tcW w:w="8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60" w:type="dxa"/>
            <w:vAlign w:val="bottom"/>
            <w:shd w:val="clear" w:color="auto" w:fill="F2F2F2"/>
          </w:tcPr>
          <w:p>
            <w:pPr>
              <w:spacing w:after="0"/>
              <w:rPr>
                <w:sz w:val="23"/>
                <w:szCs w:val="23"/>
                <w:color w:val="auto"/>
              </w:rPr>
            </w:pPr>
          </w:p>
        </w:tc>
        <w:tc>
          <w:tcPr>
            <w:tcW w:w="10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86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0"/>
              </w:rPr>
              <w:t>5,037</w:t>
            </w:r>
            <w:r>
              <w:rPr>
                <w:rFonts w:ascii="Arial" w:cs="Arial" w:eastAsia="Arial" w:hAnsi="Arial"/>
                <w:sz w:val="21"/>
                <w:szCs w:val="21"/>
                <w:color w:val="auto"/>
                <w:w w:val="90"/>
                <w:vertAlign w:val="superscript"/>
              </w:rPr>
              <w:t>(14)</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433,988</w:t>
            </w:r>
          </w:p>
        </w:tc>
        <w:tc>
          <w:tcPr>
            <w:tcW w:w="1240" w:type="dxa"/>
            <w:vAlign w:val="bottom"/>
            <w:shd w:val="clear" w:color="auto" w:fill="F2F2F2"/>
          </w:tcPr>
          <w:p>
            <w:pPr>
              <w:jc w:val="center"/>
              <w:ind w:right="96"/>
              <w:spacing w:after="0"/>
              <w:rPr>
                <w:sz w:val="20"/>
                <w:szCs w:val="20"/>
                <w:color w:val="auto"/>
              </w:rPr>
            </w:pPr>
            <w:r>
              <w:rPr>
                <w:rFonts w:ascii="Arial" w:cs="Arial" w:eastAsia="Arial" w:hAnsi="Arial"/>
                <w:sz w:val="14"/>
                <w:szCs w:val="14"/>
                <w:color w:val="auto"/>
                <w:w w:val="84"/>
              </w:rPr>
              <w:t>-</w:t>
            </w:r>
          </w:p>
        </w:tc>
        <w:tc>
          <w:tcPr>
            <w:tcW w:w="640" w:type="dxa"/>
            <w:vAlign w:val="bottom"/>
            <w:shd w:val="clear" w:color="auto" w:fill="F2F2F2"/>
          </w:tcPr>
          <w:p>
            <w:pPr>
              <w:jc w:val="center"/>
              <w:ind w:right="51"/>
              <w:spacing w:after="0"/>
              <w:rPr>
                <w:sz w:val="20"/>
                <w:szCs w:val="20"/>
                <w:color w:val="auto"/>
              </w:rPr>
            </w:pPr>
            <w:r>
              <w:rPr>
                <w:rFonts w:ascii="Arial" w:cs="Arial" w:eastAsia="Arial" w:hAnsi="Arial"/>
                <w:sz w:val="14"/>
                <w:szCs w:val="14"/>
                <w:color w:val="auto"/>
                <w:w w:val="84"/>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3480" w:type="dxa"/>
            <w:vAlign w:val="bottom"/>
            <w:shd w:val="clear" w:color="auto" w:fill="F2F2F2"/>
          </w:tcPr>
          <w:p>
            <w:pPr>
              <w:ind w:left="80"/>
              <w:spacing w:after="0"/>
              <w:rPr>
                <w:sz w:val="20"/>
                <w:szCs w:val="20"/>
                <w:color w:val="auto"/>
              </w:rPr>
            </w:pPr>
            <w:r>
              <w:rPr>
                <w:rFonts w:ascii="Arial" w:cs="Arial" w:eastAsia="Arial" w:hAnsi="Arial"/>
                <w:sz w:val="14"/>
                <w:szCs w:val="14"/>
                <w:color w:val="auto"/>
              </w:rPr>
              <w:t>Ellen F. Whittemore</w:t>
            </w:r>
          </w:p>
        </w:tc>
        <w:tc>
          <w:tcPr>
            <w:tcW w:w="120" w:type="dxa"/>
            <w:vAlign w:val="bottom"/>
            <w:shd w:val="clear" w:color="auto" w:fill="F2F2F2"/>
          </w:tcPr>
          <w:p>
            <w:pPr>
              <w:spacing w:after="0"/>
              <w:rPr>
                <w:sz w:val="19"/>
                <w:szCs w:val="19"/>
                <w:color w:val="auto"/>
              </w:rPr>
            </w:pPr>
          </w:p>
        </w:tc>
        <w:tc>
          <w:tcPr>
            <w:tcW w:w="8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60" w:type="dxa"/>
            <w:vAlign w:val="bottom"/>
            <w:shd w:val="clear" w:color="auto" w:fill="F2F2F2"/>
          </w:tcPr>
          <w:p>
            <w:pPr>
              <w:spacing w:after="0"/>
              <w:rPr>
                <w:sz w:val="19"/>
                <w:szCs w:val="19"/>
                <w:color w:val="auto"/>
              </w:rPr>
            </w:pPr>
          </w:p>
        </w:tc>
        <w:tc>
          <w:tcPr>
            <w:tcW w:w="10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86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900" w:type="dxa"/>
            <w:vAlign w:val="bottom"/>
            <w:shd w:val="clear" w:color="auto" w:fill="F2F2F2"/>
          </w:tcPr>
          <w:p>
            <w:pPr>
              <w:jc w:val="center"/>
              <w:ind w:right="13"/>
              <w:spacing w:after="0"/>
              <w:rPr>
                <w:sz w:val="20"/>
                <w:szCs w:val="20"/>
                <w:color w:val="auto"/>
              </w:rPr>
            </w:pPr>
            <w:r>
              <w:rPr>
                <w:rFonts w:ascii="Arial" w:cs="Arial" w:eastAsia="Arial" w:hAnsi="Arial"/>
                <w:sz w:val="14"/>
                <w:szCs w:val="14"/>
                <w:color w:val="auto"/>
              </w:rPr>
              <w:t>-</w:t>
            </w:r>
          </w:p>
        </w:tc>
        <w:tc>
          <w:tcPr>
            <w:tcW w:w="1240" w:type="dxa"/>
            <w:vAlign w:val="bottom"/>
            <w:shd w:val="clear" w:color="auto" w:fill="F2F2F2"/>
          </w:tcPr>
          <w:p>
            <w:pPr>
              <w:jc w:val="center"/>
              <w:ind w:right="116"/>
              <w:spacing w:after="0" w:line="227" w:lineRule="exact"/>
              <w:rPr>
                <w:sz w:val="20"/>
                <w:szCs w:val="20"/>
                <w:color w:val="auto"/>
              </w:rPr>
            </w:pPr>
            <w:r>
              <w:rPr>
                <w:rFonts w:ascii="Arial" w:cs="Arial" w:eastAsia="Arial" w:hAnsi="Arial"/>
                <w:sz w:val="14"/>
                <w:szCs w:val="14"/>
                <w:color w:val="auto"/>
                <w:w w:val="90"/>
              </w:rPr>
              <w:t>6,156</w:t>
            </w:r>
            <w:r>
              <w:rPr>
                <w:rFonts w:ascii="Arial" w:cs="Arial" w:eastAsia="Arial" w:hAnsi="Arial"/>
                <w:sz w:val="21"/>
                <w:szCs w:val="21"/>
                <w:color w:val="auto"/>
                <w:w w:val="90"/>
                <w:vertAlign w:val="superscript"/>
              </w:rPr>
              <w:t>(15)</w:t>
            </w:r>
          </w:p>
        </w:tc>
        <w:tc>
          <w:tcPr>
            <w:tcW w:w="640" w:type="dxa"/>
            <w:vAlign w:val="bottom"/>
            <w:shd w:val="clear" w:color="auto" w:fill="F2F2F2"/>
          </w:tcPr>
          <w:p>
            <w:pPr>
              <w:jc w:val="center"/>
              <w:ind w:right="51"/>
              <w:spacing w:after="0"/>
              <w:rPr>
                <w:sz w:val="20"/>
                <w:szCs w:val="20"/>
                <w:color w:val="auto"/>
              </w:rPr>
            </w:pPr>
            <w:r>
              <w:rPr>
                <w:rFonts w:ascii="Arial" w:cs="Arial" w:eastAsia="Arial" w:hAnsi="Arial"/>
                <w:sz w:val="14"/>
                <w:szCs w:val="14"/>
                <w:color w:val="auto"/>
              </w:rPr>
              <w:t>530,401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8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60" w:type="dxa"/>
            <w:vAlign w:val="bottom"/>
            <w:shd w:val="clear" w:color="auto" w:fill="F2F2F2"/>
          </w:tcPr>
          <w:p>
            <w:pPr>
              <w:spacing w:after="0"/>
              <w:rPr>
                <w:sz w:val="19"/>
                <w:szCs w:val="19"/>
                <w:color w:val="auto"/>
              </w:rPr>
            </w:pPr>
          </w:p>
        </w:tc>
        <w:tc>
          <w:tcPr>
            <w:tcW w:w="10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86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shd w:val="clear" w:color="auto" w:fill="F2F2F2"/>
          </w:tcPr>
          <w:p>
            <w:pPr>
              <w:jc w:val="center"/>
              <w:spacing w:after="0" w:line="227" w:lineRule="exact"/>
              <w:rPr>
                <w:sz w:val="20"/>
                <w:szCs w:val="20"/>
                <w:color w:val="auto"/>
              </w:rPr>
            </w:pPr>
            <w:r>
              <w:rPr>
                <w:rFonts w:ascii="Arial" w:cs="Arial" w:eastAsia="Arial" w:hAnsi="Arial"/>
                <w:sz w:val="14"/>
                <w:szCs w:val="14"/>
                <w:color w:val="auto"/>
                <w:w w:val="90"/>
              </w:rPr>
              <w:t>7,441</w:t>
            </w:r>
            <w:r>
              <w:rPr>
                <w:rFonts w:ascii="Arial" w:cs="Arial" w:eastAsia="Arial" w:hAnsi="Arial"/>
                <w:sz w:val="21"/>
                <w:szCs w:val="21"/>
                <w:color w:val="auto"/>
                <w:w w:val="90"/>
                <w:vertAlign w:val="superscript"/>
              </w:rPr>
              <w:t>(16)</w:t>
            </w:r>
          </w:p>
        </w:tc>
        <w:tc>
          <w:tcPr>
            <w:tcW w:w="900" w:type="dxa"/>
            <w:vAlign w:val="bottom"/>
            <w:shd w:val="clear" w:color="auto" w:fill="F2F2F2"/>
          </w:tcPr>
          <w:p>
            <w:pPr>
              <w:jc w:val="center"/>
              <w:ind w:right="13"/>
              <w:spacing w:after="0"/>
              <w:rPr>
                <w:sz w:val="20"/>
                <w:szCs w:val="20"/>
                <w:color w:val="auto"/>
              </w:rPr>
            </w:pPr>
            <w:r>
              <w:rPr>
                <w:rFonts w:ascii="Arial" w:cs="Arial" w:eastAsia="Arial" w:hAnsi="Arial"/>
                <w:sz w:val="14"/>
                <w:szCs w:val="14"/>
                <w:color w:val="auto"/>
                <w:w w:val="98"/>
              </w:rPr>
              <w:t>641,117</w:t>
            </w:r>
          </w:p>
        </w:tc>
        <w:tc>
          <w:tcPr>
            <w:tcW w:w="1240" w:type="dxa"/>
            <w:vAlign w:val="bottom"/>
            <w:shd w:val="clear" w:color="auto" w:fill="F2F2F2"/>
          </w:tcPr>
          <w:p>
            <w:pPr>
              <w:jc w:val="center"/>
              <w:ind w:right="96"/>
              <w:spacing w:after="0"/>
              <w:rPr>
                <w:sz w:val="20"/>
                <w:szCs w:val="20"/>
                <w:color w:val="auto"/>
              </w:rPr>
            </w:pPr>
            <w:r>
              <w:rPr>
                <w:rFonts w:ascii="Arial" w:cs="Arial" w:eastAsia="Arial" w:hAnsi="Arial"/>
                <w:sz w:val="14"/>
                <w:szCs w:val="14"/>
                <w:color w:val="auto"/>
                <w:w w:val="84"/>
              </w:rPr>
              <w:t>-</w:t>
            </w:r>
          </w:p>
        </w:tc>
        <w:tc>
          <w:tcPr>
            <w:tcW w:w="640" w:type="dxa"/>
            <w:vAlign w:val="bottom"/>
            <w:shd w:val="clear" w:color="auto" w:fill="F2F2F2"/>
          </w:tcPr>
          <w:p>
            <w:pPr>
              <w:jc w:val="center"/>
              <w:ind w:right="51"/>
              <w:spacing w:after="0"/>
              <w:rPr>
                <w:sz w:val="20"/>
                <w:szCs w:val="20"/>
                <w:color w:val="auto"/>
              </w:rPr>
            </w:pPr>
            <w:r>
              <w:rPr>
                <w:rFonts w:ascii="Arial" w:cs="Arial" w:eastAsia="Arial" w:hAnsi="Arial"/>
                <w:sz w:val="14"/>
                <w:szCs w:val="14"/>
                <w:color w:val="auto"/>
                <w:w w:val="8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3480" w:type="dxa"/>
            <w:vAlign w:val="bottom"/>
            <w:shd w:val="clear" w:color="auto" w:fill="F2F2F2"/>
          </w:tcPr>
          <w:p>
            <w:pPr>
              <w:spacing w:after="0"/>
              <w:rPr>
                <w:sz w:val="23"/>
                <w:szCs w:val="23"/>
                <w:color w:val="auto"/>
              </w:rPr>
            </w:pPr>
          </w:p>
        </w:tc>
        <w:tc>
          <w:tcPr>
            <w:tcW w:w="940" w:type="dxa"/>
            <w:vAlign w:val="bottom"/>
            <w:gridSpan w:val="2"/>
            <w:shd w:val="clear" w:color="auto" w:fill="F2F2F2"/>
          </w:tcPr>
          <w:p>
            <w:pPr>
              <w:jc w:val="center"/>
              <w:ind w:left="49"/>
              <w:spacing w:after="0"/>
              <w:rPr>
                <w:sz w:val="20"/>
                <w:szCs w:val="20"/>
                <w:color w:val="auto"/>
              </w:rPr>
            </w:pPr>
            <w:r>
              <w:rPr>
                <w:rFonts w:ascii="Arial" w:cs="Arial" w:eastAsia="Arial" w:hAnsi="Arial"/>
                <w:sz w:val="14"/>
                <w:szCs w:val="14"/>
                <w:color w:val="auto"/>
              </w:rPr>
              <w:t>-</w:t>
            </w:r>
          </w:p>
        </w:tc>
        <w:tc>
          <w:tcPr>
            <w:tcW w:w="60" w:type="dxa"/>
            <w:vAlign w:val="bottom"/>
            <w:shd w:val="clear" w:color="auto" w:fill="F2F2F2"/>
          </w:tcPr>
          <w:p>
            <w:pPr>
              <w:spacing w:after="0"/>
              <w:rPr>
                <w:sz w:val="23"/>
                <w:szCs w:val="23"/>
                <w:color w:val="auto"/>
              </w:rPr>
            </w:pPr>
          </w:p>
        </w:tc>
        <w:tc>
          <w:tcPr>
            <w:tcW w:w="10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86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900" w:type="dxa"/>
            <w:vAlign w:val="bottom"/>
            <w:shd w:val="clear" w:color="auto" w:fill="F2F2F2"/>
          </w:tcPr>
          <w:p>
            <w:pPr>
              <w:jc w:val="center"/>
              <w:ind w:right="13"/>
              <w:spacing w:after="0"/>
              <w:rPr>
                <w:sz w:val="20"/>
                <w:szCs w:val="20"/>
                <w:color w:val="auto"/>
              </w:rPr>
            </w:pPr>
            <w:r>
              <w:rPr>
                <w:rFonts w:ascii="Arial" w:cs="Arial" w:eastAsia="Arial" w:hAnsi="Arial"/>
                <w:sz w:val="14"/>
                <w:szCs w:val="14"/>
                <w:color w:val="auto"/>
              </w:rPr>
              <w:t>-</w:t>
            </w:r>
          </w:p>
        </w:tc>
        <w:tc>
          <w:tcPr>
            <w:tcW w:w="1240" w:type="dxa"/>
            <w:vAlign w:val="bottom"/>
            <w:shd w:val="clear" w:color="auto" w:fill="F2F2F2"/>
          </w:tcPr>
          <w:p>
            <w:pPr>
              <w:jc w:val="center"/>
              <w:ind w:right="116"/>
              <w:spacing w:after="0"/>
              <w:rPr>
                <w:sz w:val="20"/>
                <w:szCs w:val="20"/>
                <w:color w:val="auto"/>
              </w:rPr>
            </w:pPr>
            <w:r>
              <w:rPr>
                <w:rFonts w:ascii="Arial" w:cs="Arial" w:eastAsia="Arial" w:hAnsi="Arial"/>
                <w:sz w:val="14"/>
                <w:szCs w:val="14"/>
                <w:color w:val="auto"/>
                <w:w w:val="90"/>
              </w:rPr>
              <w:t>9,094</w:t>
            </w:r>
            <w:r>
              <w:rPr>
                <w:rFonts w:ascii="Arial" w:cs="Arial" w:eastAsia="Arial" w:hAnsi="Arial"/>
                <w:sz w:val="21"/>
                <w:szCs w:val="21"/>
                <w:color w:val="auto"/>
                <w:w w:val="90"/>
                <w:vertAlign w:val="superscript"/>
              </w:rPr>
              <w:t>(17)</w:t>
            </w:r>
          </w:p>
        </w:tc>
        <w:tc>
          <w:tcPr>
            <w:tcW w:w="640" w:type="dxa"/>
            <w:vAlign w:val="bottom"/>
            <w:shd w:val="clear" w:color="auto" w:fill="F2F2F2"/>
          </w:tcPr>
          <w:p>
            <w:pPr>
              <w:jc w:val="center"/>
              <w:ind w:right="51"/>
              <w:spacing w:after="0"/>
              <w:rPr>
                <w:sz w:val="20"/>
                <w:szCs w:val="20"/>
                <w:color w:val="auto"/>
              </w:rPr>
            </w:pPr>
            <w:r>
              <w:rPr>
                <w:rFonts w:ascii="Arial" w:cs="Arial" w:eastAsia="Arial" w:hAnsi="Arial"/>
                <w:sz w:val="14"/>
                <w:szCs w:val="14"/>
                <w:color w:val="auto"/>
              </w:rPr>
              <w:t>783,539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480" w:type="dxa"/>
            <w:vAlign w:val="bottom"/>
            <w:shd w:val="clear" w:color="auto" w:fill="F2F2F2"/>
          </w:tcPr>
          <w:p>
            <w:pPr>
              <w:spacing w:after="0"/>
              <w:rPr>
                <w:sz w:val="23"/>
                <w:szCs w:val="23"/>
                <w:color w:val="auto"/>
              </w:rPr>
            </w:pPr>
          </w:p>
        </w:tc>
        <w:tc>
          <w:tcPr>
            <w:tcW w:w="940" w:type="dxa"/>
            <w:vAlign w:val="bottom"/>
            <w:gridSpan w:val="2"/>
            <w:shd w:val="clear" w:color="auto" w:fill="F2F2F2"/>
          </w:tcPr>
          <w:p>
            <w:pPr>
              <w:jc w:val="center"/>
              <w:ind w:left="29"/>
              <w:spacing w:after="0"/>
              <w:rPr>
                <w:sz w:val="20"/>
                <w:szCs w:val="20"/>
                <w:color w:val="auto"/>
              </w:rPr>
            </w:pPr>
            <w:r>
              <w:rPr>
                <w:rFonts w:ascii="Arial" w:cs="Arial" w:eastAsia="Arial" w:hAnsi="Arial"/>
                <w:sz w:val="14"/>
                <w:szCs w:val="14"/>
                <w:color w:val="auto"/>
                <w:w w:val="91"/>
              </w:rPr>
              <w:t>3,650</w:t>
            </w:r>
            <w:r>
              <w:rPr>
                <w:rFonts w:ascii="Arial" w:cs="Arial" w:eastAsia="Arial" w:hAnsi="Arial"/>
                <w:sz w:val="21"/>
                <w:szCs w:val="21"/>
                <w:color w:val="auto"/>
                <w:w w:val="91"/>
                <w:vertAlign w:val="superscript"/>
              </w:rPr>
              <w:t>(1)</w:t>
            </w:r>
          </w:p>
        </w:tc>
        <w:tc>
          <w:tcPr>
            <w:tcW w:w="60" w:type="dxa"/>
            <w:vAlign w:val="bottom"/>
            <w:shd w:val="clear" w:color="auto" w:fill="F2F2F2"/>
          </w:tcPr>
          <w:p>
            <w:pPr>
              <w:spacing w:after="0"/>
              <w:rPr>
                <w:sz w:val="23"/>
                <w:szCs w:val="23"/>
                <w:color w:val="auto"/>
              </w:rPr>
            </w:pPr>
          </w:p>
        </w:tc>
        <w:tc>
          <w:tcPr>
            <w:tcW w:w="10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84"/>
              </w:rPr>
              <w:t>-</w:t>
            </w:r>
          </w:p>
        </w:tc>
        <w:tc>
          <w:tcPr>
            <w:tcW w:w="8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78.62</w:t>
            </w:r>
          </w:p>
        </w:tc>
        <w:tc>
          <w:tcPr>
            <w:tcW w:w="9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12/11/2030</w:t>
            </w:r>
          </w:p>
        </w:tc>
        <w:tc>
          <w:tcPr>
            <w:tcW w:w="8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900" w:type="dxa"/>
            <w:vAlign w:val="bottom"/>
            <w:shd w:val="clear" w:color="auto" w:fill="F2F2F2"/>
          </w:tcPr>
          <w:p>
            <w:pPr>
              <w:jc w:val="center"/>
              <w:ind w:right="13"/>
              <w:spacing w:after="0"/>
              <w:rPr>
                <w:sz w:val="20"/>
                <w:szCs w:val="20"/>
                <w:color w:val="auto"/>
              </w:rPr>
            </w:pPr>
            <w:r>
              <w:rPr>
                <w:rFonts w:ascii="Arial" w:cs="Arial" w:eastAsia="Arial" w:hAnsi="Arial"/>
                <w:sz w:val="14"/>
                <w:szCs w:val="14"/>
                <w:color w:val="auto"/>
              </w:rPr>
              <w:t>-</w:t>
            </w:r>
          </w:p>
        </w:tc>
        <w:tc>
          <w:tcPr>
            <w:tcW w:w="1240" w:type="dxa"/>
            <w:vAlign w:val="bottom"/>
            <w:shd w:val="clear" w:color="auto" w:fill="F2F2F2"/>
          </w:tcPr>
          <w:p>
            <w:pPr>
              <w:jc w:val="center"/>
              <w:ind w:right="96"/>
              <w:spacing w:after="0"/>
              <w:rPr>
                <w:sz w:val="20"/>
                <w:szCs w:val="20"/>
                <w:color w:val="auto"/>
              </w:rPr>
            </w:pPr>
            <w:r>
              <w:rPr>
                <w:rFonts w:ascii="Arial" w:cs="Arial" w:eastAsia="Arial" w:hAnsi="Arial"/>
                <w:sz w:val="14"/>
                <w:szCs w:val="14"/>
                <w:color w:val="auto"/>
                <w:w w:val="84"/>
              </w:rPr>
              <w:t>-</w:t>
            </w:r>
          </w:p>
        </w:tc>
        <w:tc>
          <w:tcPr>
            <w:tcW w:w="640" w:type="dxa"/>
            <w:vAlign w:val="bottom"/>
            <w:shd w:val="clear" w:color="auto" w:fill="F2F2F2"/>
          </w:tcPr>
          <w:p>
            <w:pPr>
              <w:jc w:val="center"/>
              <w:ind w:right="51"/>
              <w:spacing w:after="0"/>
              <w:rPr>
                <w:sz w:val="20"/>
                <w:szCs w:val="20"/>
                <w:color w:val="auto"/>
              </w:rPr>
            </w:pPr>
            <w:r>
              <w:rPr>
                <w:rFonts w:ascii="Arial" w:cs="Arial" w:eastAsia="Arial" w:hAnsi="Arial"/>
                <w:sz w:val="14"/>
                <w:szCs w:val="14"/>
                <w:color w:val="auto"/>
                <w:w w:val="84"/>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360" w:hanging="193"/>
        <w:spacing w:after="0"/>
        <w:tabs>
          <w:tab w:leader="none" w:pos="360" w:val="left"/>
        </w:tabs>
        <w:numPr>
          <w:ilvl w:val="0"/>
          <w:numId w:val="43"/>
        </w:numPr>
        <w:rPr>
          <w:rFonts w:ascii="Arial" w:cs="Arial" w:eastAsia="Arial" w:hAnsi="Arial"/>
          <w:sz w:val="12"/>
          <w:szCs w:val="12"/>
          <w:color w:val="auto"/>
        </w:rPr>
      </w:pPr>
      <w:r>
        <w:rPr>
          <w:rFonts w:ascii="Arial" w:cs="Arial" w:eastAsia="Arial" w:hAnsi="Arial"/>
          <w:sz w:val="12"/>
          <w:szCs w:val="12"/>
          <w:color w:val="auto"/>
        </w:rPr>
        <w:t>Options to purchase shares of Wynn Interactive Ltd., a subsidiary of the Company, all of which were fully vested and exercisable as of December 31, 2024.</w:t>
      </w:r>
    </w:p>
    <w:p>
      <w:pPr>
        <w:spacing w:after="0" w:line="102" w:lineRule="exact"/>
        <w:rPr>
          <w:rFonts w:ascii="Arial" w:cs="Arial" w:eastAsia="Arial" w:hAnsi="Arial"/>
          <w:sz w:val="12"/>
          <w:szCs w:val="12"/>
          <w:color w:val="auto"/>
        </w:rPr>
      </w:pPr>
    </w:p>
    <w:p>
      <w:pPr>
        <w:ind w:left="360" w:hanging="193"/>
        <w:spacing w:after="0"/>
        <w:tabs>
          <w:tab w:leader="none" w:pos="36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Time-based restricted stock scheduled to vest on January 12, 2025, subject to continued service through such vesting date.</w:t>
      </w:r>
    </w:p>
    <w:p>
      <w:pPr>
        <w:spacing w:after="0" w:line="102" w:lineRule="exact"/>
        <w:rPr>
          <w:rFonts w:ascii="Arial" w:cs="Arial" w:eastAsia="Arial" w:hAnsi="Arial"/>
          <w:sz w:val="12"/>
          <w:szCs w:val="12"/>
          <w:color w:val="auto"/>
        </w:rPr>
      </w:pPr>
    </w:p>
    <w:p>
      <w:pPr>
        <w:ind w:left="360" w:hanging="193"/>
        <w:spacing w:after="0"/>
        <w:tabs>
          <w:tab w:leader="none" w:pos="360" w:val="left"/>
        </w:tabs>
        <w:numPr>
          <w:ilvl w:val="0"/>
          <w:numId w:val="43"/>
        </w:numPr>
        <w:rPr>
          <w:rFonts w:ascii="Arial" w:cs="Arial" w:eastAsia="Arial" w:hAnsi="Arial"/>
          <w:sz w:val="12"/>
          <w:szCs w:val="12"/>
          <w:color w:val="auto"/>
        </w:rPr>
      </w:pPr>
      <w:r>
        <w:rPr>
          <w:rFonts w:ascii="Arial" w:cs="Arial" w:eastAsia="Arial" w:hAnsi="Arial"/>
          <w:sz w:val="12"/>
          <w:szCs w:val="12"/>
          <w:color w:val="auto"/>
        </w:rPr>
        <w:t>Performance-based restricted stock scheduled to vest on February 28, 2025, subject to continued service and the achievement of property-level performance goals.</w:t>
      </w:r>
    </w:p>
    <w:p>
      <w:pPr>
        <w:spacing w:after="0" w:line="102" w:lineRule="exact"/>
        <w:rPr>
          <w:rFonts w:ascii="Arial" w:cs="Arial" w:eastAsia="Arial" w:hAnsi="Arial"/>
          <w:sz w:val="12"/>
          <w:szCs w:val="12"/>
          <w:color w:val="auto"/>
        </w:rPr>
      </w:pPr>
    </w:p>
    <w:p>
      <w:pPr>
        <w:ind w:left="360" w:hanging="193"/>
        <w:spacing w:after="0"/>
        <w:tabs>
          <w:tab w:leader="none" w:pos="36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Time-based restricted stock scheduled to vest ratably on January 12, 2025 and 2026, subject to continued service through each such vesting date.</w:t>
      </w:r>
    </w:p>
    <w:p>
      <w:pPr>
        <w:spacing w:after="0" w:line="102" w:lineRule="exact"/>
        <w:rPr>
          <w:rFonts w:ascii="Arial" w:cs="Arial" w:eastAsia="Arial" w:hAnsi="Arial"/>
          <w:sz w:val="12"/>
          <w:szCs w:val="12"/>
          <w:color w:val="auto"/>
        </w:rPr>
      </w:pPr>
    </w:p>
    <w:p>
      <w:pPr>
        <w:ind w:left="360" w:hanging="193"/>
        <w:spacing w:after="0"/>
        <w:tabs>
          <w:tab w:leader="none" w:pos="360" w:val="left"/>
        </w:tabs>
        <w:numPr>
          <w:ilvl w:val="0"/>
          <w:numId w:val="43"/>
        </w:numPr>
        <w:rPr>
          <w:rFonts w:ascii="Arial" w:cs="Arial" w:eastAsia="Arial" w:hAnsi="Arial"/>
          <w:sz w:val="12"/>
          <w:szCs w:val="12"/>
          <w:color w:val="auto"/>
        </w:rPr>
      </w:pPr>
      <w:r>
        <w:rPr>
          <w:rFonts w:ascii="Arial" w:cs="Arial" w:eastAsia="Arial" w:hAnsi="Arial"/>
          <w:sz w:val="12"/>
          <w:szCs w:val="12"/>
          <w:color w:val="auto"/>
        </w:rPr>
        <w:t>Performance-based restricted stock scheduled to vest ratably on February 28, 2025 and 2026, subject to continued service and the achievement of property-level performance goals.</w:t>
      </w:r>
    </w:p>
    <w:p>
      <w:pPr>
        <w:spacing w:after="0" w:line="102" w:lineRule="exact"/>
        <w:rPr>
          <w:rFonts w:ascii="Arial" w:cs="Arial" w:eastAsia="Arial" w:hAnsi="Arial"/>
          <w:sz w:val="12"/>
          <w:szCs w:val="12"/>
          <w:color w:val="auto"/>
        </w:rPr>
      </w:pPr>
    </w:p>
    <w:p>
      <w:pPr>
        <w:ind w:left="160" w:right="140" w:firstLine="7"/>
        <w:spacing w:after="0" w:line="279" w:lineRule="auto"/>
        <w:tabs>
          <w:tab w:leader="none" w:pos="347" w:val="left"/>
        </w:tabs>
        <w:numPr>
          <w:ilvl w:val="0"/>
          <w:numId w:val="43"/>
        </w:numPr>
        <w:rPr>
          <w:rFonts w:ascii="Arial" w:cs="Arial" w:eastAsia="Arial" w:hAnsi="Arial"/>
          <w:sz w:val="12"/>
          <w:szCs w:val="12"/>
          <w:color w:val="auto"/>
        </w:rPr>
      </w:pPr>
      <w:r>
        <w:rPr>
          <w:rFonts w:ascii="Arial" w:cs="Arial" w:eastAsia="Arial" w:hAnsi="Arial"/>
          <w:sz w:val="12"/>
          <w:szCs w:val="12"/>
          <w:color w:val="auto"/>
        </w:rPr>
        <w:t>PSUs scheduled to vest on January 1, 2026, subject to continued service and the achievement of the applicable absolute TSR performance goal. Such PSUs are reported in this table based on target performance.</w:t>
      </w:r>
    </w:p>
    <w:p>
      <w:pPr>
        <w:spacing w:after="0" w:line="53" w:lineRule="exact"/>
        <w:rPr>
          <w:rFonts w:ascii="Arial" w:cs="Arial" w:eastAsia="Arial" w:hAnsi="Arial"/>
          <w:sz w:val="12"/>
          <w:szCs w:val="12"/>
          <w:color w:val="auto"/>
        </w:rPr>
      </w:pPr>
    </w:p>
    <w:p>
      <w:pPr>
        <w:ind w:left="360" w:hanging="193"/>
        <w:spacing w:after="0"/>
        <w:tabs>
          <w:tab w:leader="none" w:pos="36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Time-based restricted stock scheduled to vest ratably on January 9, 2025, 2026, and 2027, subject to continued service through each such vesting date.</w:t>
      </w:r>
    </w:p>
    <w:p>
      <w:pPr>
        <w:spacing w:after="0" w:line="102" w:lineRule="exact"/>
        <w:rPr>
          <w:rFonts w:ascii="Arial" w:cs="Arial" w:eastAsia="Arial" w:hAnsi="Arial"/>
          <w:sz w:val="12"/>
          <w:szCs w:val="12"/>
          <w:color w:val="auto"/>
        </w:rPr>
      </w:pPr>
    </w:p>
    <w:p>
      <w:pPr>
        <w:ind w:left="360" w:hanging="193"/>
        <w:spacing w:after="0"/>
        <w:tabs>
          <w:tab w:leader="none" w:pos="360" w:val="left"/>
        </w:tabs>
        <w:numPr>
          <w:ilvl w:val="0"/>
          <w:numId w:val="43"/>
        </w:numPr>
        <w:rPr>
          <w:rFonts w:ascii="Arial" w:cs="Arial" w:eastAsia="Arial" w:hAnsi="Arial"/>
          <w:sz w:val="12"/>
          <w:szCs w:val="12"/>
          <w:color w:val="auto"/>
        </w:rPr>
      </w:pPr>
      <w:r>
        <w:rPr>
          <w:rFonts w:ascii="Arial" w:cs="Arial" w:eastAsia="Arial" w:hAnsi="Arial"/>
          <w:sz w:val="12"/>
          <w:szCs w:val="12"/>
          <w:color w:val="auto"/>
        </w:rPr>
        <w:t>Performance-based restricted stock scheduled to vest ratably on February 28, 2025, 2026, and 2027, subject to continued service and the achievement of property-level performance goals.</w:t>
      </w:r>
    </w:p>
    <w:p>
      <w:pPr>
        <w:spacing w:after="0" w:line="102" w:lineRule="exact"/>
        <w:rPr>
          <w:rFonts w:ascii="Arial" w:cs="Arial" w:eastAsia="Arial" w:hAnsi="Arial"/>
          <w:sz w:val="12"/>
          <w:szCs w:val="12"/>
          <w:color w:val="auto"/>
        </w:rPr>
      </w:pPr>
    </w:p>
    <w:p>
      <w:pPr>
        <w:ind w:left="160" w:right="140" w:firstLine="7"/>
        <w:spacing w:after="0" w:line="279" w:lineRule="auto"/>
        <w:tabs>
          <w:tab w:leader="none" w:pos="347" w:val="left"/>
        </w:tabs>
        <w:numPr>
          <w:ilvl w:val="0"/>
          <w:numId w:val="43"/>
        </w:numPr>
        <w:rPr>
          <w:rFonts w:ascii="Arial" w:cs="Arial" w:eastAsia="Arial" w:hAnsi="Arial"/>
          <w:sz w:val="12"/>
          <w:szCs w:val="12"/>
          <w:color w:val="auto"/>
        </w:rPr>
      </w:pPr>
      <w:r>
        <w:rPr>
          <w:rFonts w:ascii="Arial" w:cs="Arial" w:eastAsia="Arial" w:hAnsi="Arial"/>
          <w:sz w:val="12"/>
          <w:szCs w:val="12"/>
          <w:color w:val="auto"/>
        </w:rPr>
        <w:t>PSUs scheduled to vest on January 1, 2027, subject to continued service and the achievement of the applicable absolute TSR performance goal. Such PSUs are reported in this table based on target performance.</w:t>
      </w:r>
    </w:p>
    <w:p>
      <w:pPr>
        <w:spacing w:after="0" w:line="53" w:lineRule="exact"/>
        <w:rPr>
          <w:rFonts w:ascii="Arial" w:cs="Arial" w:eastAsia="Arial" w:hAnsi="Arial"/>
          <w:sz w:val="12"/>
          <w:szCs w:val="12"/>
          <w:color w:val="auto"/>
        </w:rPr>
      </w:pPr>
    </w:p>
    <w:p>
      <w:pPr>
        <w:ind w:left="420" w:hanging="253"/>
        <w:spacing w:after="0"/>
        <w:tabs>
          <w:tab w:leader="none" w:pos="4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Time-based restricted stock scheduled to vest on April 18, 2025, subject to continued service through such vesting date.</w:t>
      </w:r>
    </w:p>
    <w:p>
      <w:pPr>
        <w:spacing w:after="0" w:line="102" w:lineRule="exact"/>
        <w:rPr>
          <w:rFonts w:ascii="Arial" w:cs="Arial" w:eastAsia="Arial" w:hAnsi="Arial"/>
          <w:sz w:val="12"/>
          <w:szCs w:val="12"/>
          <w:color w:val="auto"/>
        </w:rPr>
      </w:pPr>
    </w:p>
    <w:p>
      <w:pPr>
        <w:ind w:left="420" w:hanging="253"/>
        <w:spacing w:after="0"/>
        <w:tabs>
          <w:tab w:leader="none" w:pos="4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Time-based restricted stock scheduled to vest ratably on September 15, 2025, 2026, and 2027, subject to continued service through each such vesting date.</w:t>
      </w:r>
    </w:p>
    <w:p>
      <w:pPr>
        <w:spacing w:after="0" w:line="102" w:lineRule="exact"/>
        <w:rPr>
          <w:rFonts w:ascii="Arial" w:cs="Arial" w:eastAsia="Arial" w:hAnsi="Arial"/>
          <w:sz w:val="12"/>
          <w:szCs w:val="12"/>
          <w:color w:val="auto"/>
        </w:rPr>
      </w:pPr>
    </w:p>
    <w:p>
      <w:pPr>
        <w:ind w:left="420" w:hanging="253"/>
        <w:spacing w:after="0"/>
        <w:tabs>
          <w:tab w:leader="none" w:pos="4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Time-based restricted stock scheduled to vest on January 12, 2025, subject to continued service through such vesting date (or pursuant to the Retirement Plan under certain circumstances).</w:t>
      </w:r>
    </w:p>
    <w:p>
      <w:pPr>
        <w:spacing w:after="0" w:line="102" w:lineRule="exact"/>
        <w:rPr>
          <w:rFonts w:ascii="Arial" w:cs="Arial" w:eastAsia="Arial" w:hAnsi="Arial"/>
          <w:sz w:val="12"/>
          <w:szCs w:val="12"/>
          <w:color w:val="auto"/>
        </w:rPr>
      </w:pPr>
    </w:p>
    <w:p>
      <w:pPr>
        <w:ind w:left="160" w:right="620" w:firstLine="7"/>
        <w:spacing w:after="0" w:line="279" w:lineRule="auto"/>
        <w:tabs>
          <w:tab w:leader="none" w:pos="417" w:val="left"/>
        </w:tabs>
        <w:numPr>
          <w:ilvl w:val="0"/>
          <w:numId w:val="43"/>
        </w:numPr>
        <w:rPr>
          <w:rFonts w:ascii="Arial" w:cs="Arial" w:eastAsia="Arial" w:hAnsi="Arial"/>
          <w:sz w:val="12"/>
          <w:szCs w:val="12"/>
          <w:color w:val="auto"/>
        </w:rPr>
      </w:pPr>
      <w:r>
        <w:rPr>
          <w:rFonts w:ascii="Arial" w:cs="Arial" w:eastAsia="Arial" w:hAnsi="Arial"/>
          <w:sz w:val="12"/>
          <w:szCs w:val="12"/>
          <w:color w:val="auto"/>
        </w:rPr>
        <w:t>Performance-based restricted stock scheduled to vest on February 28, 2025, subject to continued service and the achievement of property-level performance goals (or pursuant to the Retirement Plan under certain circumstances).</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2"/>
          <w:szCs w:val="12"/>
          <w:color w:val="351B3D"/>
        </w:rPr>
        <w:t>56</w:t>
      </w:r>
    </w:p>
    <w:p>
      <w:pPr>
        <w:sectPr>
          <w:pgSz w:w="11900" w:h="16838" w:orient="portrait"/>
          <w:cols w:equalWidth="0" w:num="1">
            <w:col w:w="11100"/>
          </w:cols>
          <w:pgMar w:left="320" w:top="478"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0" w:right="280" w:firstLine="7"/>
        <w:spacing w:after="0" w:line="279" w:lineRule="auto"/>
        <w:tabs>
          <w:tab w:leader="none" w:pos="417" w:val="left"/>
        </w:tabs>
        <w:numPr>
          <w:ilvl w:val="0"/>
          <w:numId w:val="44"/>
        </w:numPr>
        <w:rPr>
          <w:rFonts w:ascii="Arial" w:cs="Arial" w:eastAsia="Arial" w:hAnsi="Arial"/>
          <w:sz w:val="12"/>
          <w:szCs w:val="12"/>
          <w:color w:val="auto"/>
        </w:rPr>
      </w:pPr>
      <w:r>
        <w:rPr>
          <w:rFonts w:ascii="Arial" w:cs="Arial" w:eastAsia="Arial" w:hAnsi="Arial"/>
          <w:sz w:val="12"/>
          <w:szCs w:val="12"/>
          <w:color w:val="auto"/>
        </w:rPr>
        <w:t>Time-based restricted stock scheduled to vest ratably on January 12, 2025 and 2026, subject to continued service through each such vesting date (or pursuant to the Retirement Plan under certain circumstances).</w:t>
      </w:r>
    </w:p>
    <w:p>
      <w:pPr>
        <w:spacing w:after="0" w:line="53" w:lineRule="exact"/>
        <w:rPr>
          <w:rFonts w:ascii="Arial" w:cs="Arial" w:eastAsia="Arial" w:hAnsi="Arial"/>
          <w:sz w:val="12"/>
          <w:szCs w:val="12"/>
          <w:color w:val="auto"/>
        </w:rPr>
      </w:pPr>
    </w:p>
    <w:p>
      <w:pPr>
        <w:ind w:left="160" w:right="240" w:firstLine="7"/>
        <w:spacing w:after="0" w:line="279" w:lineRule="auto"/>
        <w:tabs>
          <w:tab w:leader="none" w:pos="417" w:val="left"/>
        </w:tabs>
        <w:numPr>
          <w:ilvl w:val="0"/>
          <w:numId w:val="44"/>
        </w:numPr>
        <w:rPr>
          <w:rFonts w:ascii="Arial" w:cs="Arial" w:eastAsia="Arial" w:hAnsi="Arial"/>
          <w:sz w:val="12"/>
          <w:szCs w:val="12"/>
          <w:color w:val="auto"/>
        </w:rPr>
      </w:pPr>
      <w:r>
        <w:rPr>
          <w:rFonts w:ascii="Arial" w:cs="Arial" w:eastAsia="Arial" w:hAnsi="Arial"/>
          <w:sz w:val="12"/>
          <w:szCs w:val="12"/>
          <w:color w:val="auto"/>
        </w:rPr>
        <w:t>Performance-based restricted stock scheduled to vest ratably on February 28, 2025 and 2026, subject to continued service through each such vesting date and the achievement of property-level performance goals (or pursuant to the Retirement Plan under certain circumstances).</w:t>
      </w:r>
    </w:p>
    <w:p>
      <w:pPr>
        <w:spacing w:after="0" w:line="53" w:lineRule="exact"/>
        <w:rPr>
          <w:rFonts w:ascii="Arial" w:cs="Arial" w:eastAsia="Arial" w:hAnsi="Arial"/>
          <w:sz w:val="12"/>
          <w:szCs w:val="12"/>
          <w:color w:val="auto"/>
        </w:rPr>
      </w:pPr>
    </w:p>
    <w:p>
      <w:pPr>
        <w:ind w:left="160" w:right="340" w:firstLine="7"/>
        <w:spacing w:after="0" w:line="279" w:lineRule="auto"/>
        <w:tabs>
          <w:tab w:leader="none" w:pos="417" w:val="left"/>
        </w:tabs>
        <w:numPr>
          <w:ilvl w:val="0"/>
          <w:numId w:val="44"/>
        </w:numPr>
        <w:rPr>
          <w:rFonts w:ascii="Arial" w:cs="Arial" w:eastAsia="Arial" w:hAnsi="Arial"/>
          <w:sz w:val="12"/>
          <w:szCs w:val="12"/>
          <w:color w:val="auto"/>
        </w:rPr>
      </w:pPr>
      <w:r>
        <w:rPr>
          <w:rFonts w:ascii="Arial" w:cs="Arial" w:eastAsia="Arial" w:hAnsi="Arial"/>
          <w:sz w:val="12"/>
          <w:szCs w:val="12"/>
          <w:color w:val="auto"/>
        </w:rPr>
        <w:t>Time-based restricted stock scheduled to vest ratably on January 9, 2025, 2026, and 2027 subject to continued service through each such vesting date (or pursuant to the Retirement Plan under certain circumstances).</w:t>
      </w:r>
    </w:p>
    <w:p>
      <w:pPr>
        <w:spacing w:after="0" w:line="53" w:lineRule="exact"/>
        <w:rPr>
          <w:rFonts w:ascii="Arial" w:cs="Arial" w:eastAsia="Arial" w:hAnsi="Arial"/>
          <w:sz w:val="12"/>
          <w:szCs w:val="12"/>
          <w:color w:val="auto"/>
        </w:rPr>
      </w:pPr>
    </w:p>
    <w:p>
      <w:pPr>
        <w:ind w:left="160" w:right="400" w:firstLine="7"/>
        <w:spacing w:after="0" w:line="279" w:lineRule="auto"/>
        <w:tabs>
          <w:tab w:leader="none" w:pos="417" w:val="left"/>
        </w:tabs>
        <w:numPr>
          <w:ilvl w:val="0"/>
          <w:numId w:val="44"/>
        </w:numPr>
        <w:rPr>
          <w:rFonts w:ascii="Arial" w:cs="Arial" w:eastAsia="Arial" w:hAnsi="Arial"/>
          <w:sz w:val="12"/>
          <w:szCs w:val="12"/>
          <w:color w:val="auto"/>
        </w:rPr>
      </w:pPr>
      <w:r>
        <w:rPr>
          <w:rFonts w:ascii="Arial" w:cs="Arial" w:eastAsia="Arial" w:hAnsi="Arial"/>
          <w:sz w:val="12"/>
          <w:szCs w:val="12"/>
          <w:color w:val="auto"/>
        </w:rPr>
        <w:t>Performance-based restricted stock scheduled to vest ratably on February 28, 2025, 2026, and 2027, subject to continued service through each such vesting date and the achievement of property-level performance goals (or pursuant to the Retirement Plan under certain circumstances).</w:t>
      </w:r>
    </w:p>
    <w:p>
      <w:pPr>
        <w:spacing w:after="0" w:line="53" w:lineRule="exact"/>
        <w:rPr>
          <w:rFonts w:ascii="Arial" w:cs="Arial" w:eastAsia="Arial" w:hAnsi="Arial"/>
          <w:sz w:val="12"/>
          <w:szCs w:val="12"/>
          <w:color w:val="auto"/>
        </w:rPr>
      </w:pPr>
    </w:p>
    <w:p>
      <w:pPr>
        <w:ind w:left="420" w:hanging="253"/>
        <w:spacing w:after="0"/>
        <w:tabs>
          <w:tab w:leader="none" w:pos="4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Amounts in this column are based upon the closing price of the Company’s stock at December 31, 2024, which was $86.16.</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45"/>
          <w:szCs w:val="45"/>
          <w:color w:val="140F21"/>
        </w:rPr>
        <w:t>Option Exercises and Stock Vested in 2024</w:t>
      </w:r>
    </w:p>
    <w:p>
      <w:pPr>
        <w:spacing w:after="0" w:line="344" w:lineRule="exact"/>
        <w:rPr>
          <w:sz w:val="20"/>
          <w:szCs w:val="20"/>
          <w:color w:val="auto"/>
        </w:rPr>
      </w:pPr>
    </w:p>
    <w:p>
      <w:pPr>
        <w:ind w:left="160" w:right="220"/>
        <w:spacing w:after="0" w:line="279" w:lineRule="auto"/>
        <w:rPr>
          <w:sz w:val="20"/>
          <w:szCs w:val="20"/>
          <w:color w:val="auto"/>
        </w:rPr>
      </w:pPr>
      <w:r>
        <w:rPr>
          <w:rFonts w:ascii="Arial" w:cs="Arial" w:eastAsia="Arial" w:hAnsi="Arial"/>
          <w:sz w:val="16"/>
          <w:szCs w:val="16"/>
          <w:color w:val="auto"/>
        </w:rPr>
        <w:t>The following table sets forth certain information with respect to the vesting of stock awards and/or the exercise of stock options during fiscal year 2024 with respect to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128270</wp:posOffset>
            </wp:positionV>
            <wp:extent cx="6938010" cy="16478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38010" cy="1647825"/>
                    </a:xfrm>
                    <a:prstGeom prst="rect">
                      <a:avLst/>
                    </a:prstGeom>
                    <a:noFill/>
                  </pic:spPr>
                </pic:pic>
              </a:graphicData>
            </a:graphic>
          </wp:anchor>
        </w:drawing>
      </w:r>
    </w:p>
    <w:p>
      <w:pPr>
        <w:spacing w:after="0" w:line="182" w:lineRule="exact"/>
        <w:rPr>
          <w:sz w:val="20"/>
          <w:szCs w:val="20"/>
          <w:color w:val="auto"/>
        </w:rPr>
      </w:pPr>
    </w:p>
    <w:tbl>
      <w:tblPr>
        <w:tblLayout w:type="fixed"/>
        <w:tblInd w:w="160" w:type="dxa"/>
        <w:tblCellMar>
          <w:top w:w="0" w:type="dxa"/>
          <w:left w:w="0" w:type="dxa"/>
          <w:bottom w:w="0" w:type="dxa"/>
          <w:right w:w="0" w:type="dxa"/>
        </w:tblCellMar>
      </w:tblPr>
      <w:tr>
        <w:trPr>
          <w:trHeight w:val="344"/>
        </w:trPr>
        <w:tc>
          <w:tcPr>
            <w:tcW w:w="5120" w:type="dxa"/>
            <w:vAlign w:val="bottom"/>
            <w:shd w:val="clear" w:color="auto" w:fill="351B3D"/>
          </w:tcPr>
          <w:p>
            <w:pPr>
              <w:spacing w:after="0"/>
              <w:rPr>
                <w:sz w:val="24"/>
                <w:szCs w:val="24"/>
                <w:color w:val="auto"/>
              </w:rPr>
            </w:pPr>
          </w:p>
        </w:tc>
        <w:tc>
          <w:tcPr>
            <w:tcW w:w="2720" w:type="dxa"/>
            <w:vAlign w:val="bottom"/>
            <w:gridSpan w:val="2"/>
            <w:shd w:val="clear" w:color="auto" w:fill="351B3D"/>
          </w:tcPr>
          <w:p>
            <w:pPr>
              <w:jc w:val="right"/>
              <w:ind w:right="480"/>
              <w:spacing w:after="0"/>
              <w:rPr>
                <w:sz w:val="20"/>
                <w:szCs w:val="20"/>
                <w:color w:val="auto"/>
              </w:rPr>
            </w:pPr>
            <w:r>
              <w:rPr>
                <w:rFonts w:ascii="Arial" w:cs="Arial" w:eastAsia="Arial" w:hAnsi="Arial"/>
                <w:sz w:val="16"/>
                <w:szCs w:val="16"/>
                <w:color w:val="FFFFFF"/>
              </w:rPr>
              <w:t>OPTION AWARDS(1)</w:t>
            </w:r>
          </w:p>
        </w:tc>
        <w:tc>
          <w:tcPr>
            <w:tcW w:w="3080" w:type="dxa"/>
            <w:vAlign w:val="bottom"/>
            <w:gridSpan w:val="2"/>
            <w:shd w:val="clear" w:color="auto" w:fill="351B3D"/>
          </w:tcPr>
          <w:p>
            <w:pPr>
              <w:jc w:val="right"/>
              <w:ind w:right="700"/>
              <w:spacing w:after="0"/>
              <w:rPr>
                <w:sz w:val="20"/>
                <w:szCs w:val="20"/>
                <w:color w:val="auto"/>
              </w:rPr>
            </w:pPr>
            <w:r>
              <w:rPr>
                <w:rFonts w:ascii="Arial" w:cs="Arial" w:eastAsia="Arial" w:hAnsi="Arial"/>
                <w:sz w:val="16"/>
                <w:szCs w:val="16"/>
                <w:color w:val="FFFFFF"/>
              </w:rPr>
              <w:t>STOCK AWARDS(1)</w:t>
            </w:r>
          </w:p>
        </w:tc>
        <w:tc>
          <w:tcPr>
            <w:tcW w:w="0" w:type="dxa"/>
            <w:vAlign w:val="bottom"/>
          </w:tcPr>
          <w:p>
            <w:pPr>
              <w:spacing w:after="0"/>
              <w:rPr>
                <w:sz w:val="1"/>
                <w:szCs w:val="1"/>
                <w:color w:val="auto"/>
              </w:rPr>
            </w:pPr>
          </w:p>
        </w:tc>
      </w:tr>
      <w:tr>
        <w:trPr>
          <w:trHeight w:val="337"/>
        </w:trPr>
        <w:tc>
          <w:tcPr>
            <w:tcW w:w="5120" w:type="dxa"/>
            <w:vAlign w:val="bottom"/>
            <w:shd w:val="clear" w:color="auto" w:fill="351B3D"/>
          </w:tcPr>
          <w:p>
            <w:pPr>
              <w:spacing w:after="0"/>
              <w:rPr>
                <w:sz w:val="24"/>
                <w:szCs w:val="24"/>
                <w:color w:val="auto"/>
              </w:rPr>
            </w:pPr>
          </w:p>
        </w:tc>
        <w:tc>
          <w:tcPr>
            <w:tcW w:w="1360" w:type="dxa"/>
            <w:vAlign w:val="bottom"/>
            <w:shd w:val="clear" w:color="auto" w:fill="351B3D"/>
          </w:tcPr>
          <w:p>
            <w:pPr>
              <w:jc w:val="center"/>
              <w:spacing w:after="0"/>
              <w:rPr>
                <w:sz w:val="20"/>
                <w:szCs w:val="20"/>
                <w:color w:val="auto"/>
              </w:rPr>
            </w:pPr>
            <w:r>
              <w:rPr>
                <w:rFonts w:ascii="Arial" w:cs="Arial" w:eastAsia="Arial" w:hAnsi="Arial"/>
                <w:sz w:val="16"/>
                <w:szCs w:val="16"/>
                <w:color w:val="FFFFFF"/>
                <w:w w:val="99"/>
              </w:rPr>
              <w:t>NUMBER OF</w:t>
            </w:r>
          </w:p>
        </w:tc>
        <w:tc>
          <w:tcPr>
            <w:tcW w:w="136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w w:val="99"/>
              </w:rPr>
              <w:t>VALUE</w:t>
            </w:r>
          </w:p>
        </w:tc>
        <w:tc>
          <w:tcPr>
            <w:tcW w:w="154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w w:val="99"/>
              </w:rPr>
              <w:t>NUMBER OF</w:t>
            </w:r>
          </w:p>
        </w:tc>
        <w:tc>
          <w:tcPr>
            <w:tcW w:w="1540" w:type="dxa"/>
            <w:vAlign w:val="bottom"/>
            <w:vMerge w:val="restart"/>
            <w:shd w:val="clear" w:color="auto" w:fill="351B3D"/>
          </w:tcPr>
          <w:p>
            <w:pPr>
              <w:jc w:val="center"/>
              <w:ind w:right="20"/>
              <w:spacing w:after="0"/>
              <w:rPr>
                <w:sz w:val="20"/>
                <w:szCs w:val="20"/>
                <w:color w:val="auto"/>
              </w:rPr>
            </w:pPr>
            <w:r>
              <w:rPr>
                <w:rFonts w:ascii="Arial" w:cs="Arial" w:eastAsia="Arial" w:hAnsi="Arial"/>
                <w:sz w:val="16"/>
                <w:szCs w:val="16"/>
                <w:color w:val="FFFFFF"/>
                <w:w w:val="99"/>
              </w:rPr>
              <w:t>VALUE</w:t>
            </w:r>
          </w:p>
        </w:tc>
        <w:tc>
          <w:tcPr>
            <w:tcW w:w="0" w:type="dxa"/>
            <w:vAlign w:val="bottom"/>
          </w:tcPr>
          <w:p>
            <w:pPr>
              <w:spacing w:after="0"/>
              <w:rPr>
                <w:sz w:val="1"/>
                <w:szCs w:val="1"/>
                <w:color w:val="auto"/>
              </w:rPr>
            </w:pPr>
          </w:p>
        </w:tc>
      </w:tr>
      <w:tr>
        <w:trPr>
          <w:trHeight w:val="107"/>
        </w:trPr>
        <w:tc>
          <w:tcPr>
            <w:tcW w:w="5120" w:type="dxa"/>
            <w:vAlign w:val="bottom"/>
            <w:shd w:val="clear" w:color="auto" w:fill="351B3D"/>
          </w:tcPr>
          <w:p>
            <w:pPr>
              <w:spacing w:after="0"/>
              <w:rPr>
                <w:sz w:val="9"/>
                <w:szCs w:val="9"/>
                <w:color w:val="auto"/>
              </w:rPr>
            </w:pPr>
          </w:p>
        </w:tc>
        <w:tc>
          <w:tcPr>
            <w:tcW w:w="136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rPr>
              <w:t>SHARES</w:t>
            </w:r>
          </w:p>
        </w:tc>
        <w:tc>
          <w:tcPr>
            <w:tcW w:w="1360" w:type="dxa"/>
            <w:vAlign w:val="bottom"/>
            <w:vMerge w:val="continue"/>
            <w:shd w:val="clear" w:color="auto" w:fill="351B3D"/>
          </w:tcPr>
          <w:p>
            <w:pPr>
              <w:spacing w:after="0"/>
              <w:rPr>
                <w:sz w:val="9"/>
                <w:szCs w:val="9"/>
                <w:color w:val="auto"/>
              </w:rPr>
            </w:pPr>
          </w:p>
        </w:tc>
        <w:tc>
          <w:tcPr>
            <w:tcW w:w="1540" w:type="dxa"/>
            <w:vAlign w:val="bottom"/>
            <w:vMerge w:val="continue"/>
            <w:shd w:val="clear" w:color="auto" w:fill="351B3D"/>
          </w:tcPr>
          <w:p>
            <w:pPr>
              <w:spacing w:after="0"/>
              <w:rPr>
                <w:sz w:val="9"/>
                <w:szCs w:val="9"/>
                <w:color w:val="auto"/>
              </w:rPr>
            </w:pPr>
          </w:p>
        </w:tc>
        <w:tc>
          <w:tcPr>
            <w:tcW w:w="1540" w:type="dxa"/>
            <w:vAlign w:val="bottom"/>
            <w:vMerge w:val="continue"/>
            <w:shd w:val="clear" w:color="auto" w:fill="351B3D"/>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5120" w:type="dxa"/>
            <w:vAlign w:val="bottom"/>
            <w:vMerge w:val="restart"/>
            <w:shd w:val="clear" w:color="auto" w:fill="351B3D"/>
          </w:tcPr>
          <w:p>
            <w:pPr>
              <w:ind w:left="80"/>
              <w:spacing w:after="0"/>
              <w:rPr>
                <w:sz w:val="20"/>
                <w:szCs w:val="20"/>
                <w:color w:val="auto"/>
              </w:rPr>
            </w:pPr>
            <w:r>
              <w:rPr>
                <w:rFonts w:ascii="Arial" w:cs="Arial" w:eastAsia="Arial" w:hAnsi="Arial"/>
                <w:sz w:val="16"/>
                <w:szCs w:val="16"/>
                <w:color w:val="FFFFFF"/>
              </w:rPr>
              <w:t>NAMED EXECUTIVE</w:t>
            </w:r>
          </w:p>
        </w:tc>
        <w:tc>
          <w:tcPr>
            <w:tcW w:w="1360" w:type="dxa"/>
            <w:vAlign w:val="bottom"/>
            <w:vMerge w:val="continue"/>
            <w:shd w:val="clear" w:color="auto" w:fill="351B3D"/>
          </w:tcPr>
          <w:p>
            <w:pPr>
              <w:spacing w:after="0"/>
              <w:rPr>
                <w:sz w:val="6"/>
                <w:szCs w:val="6"/>
                <w:color w:val="auto"/>
              </w:rPr>
            </w:pPr>
          </w:p>
        </w:tc>
        <w:tc>
          <w:tcPr>
            <w:tcW w:w="136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w w:val="99"/>
              </w:rPr>
              <w:t>REALIZED</w:t>
            </w:r>
          </w:p>
        </w:tc>
        <w:tc>
          <w:tcPr>
            <w:tcW w:w="154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rPr>
              <w:t>SHARES</w:t>
            </w:r>
          </w:p>
        </w:tc>
        <w:tc>
          <w:tcPr>
            <w:tcW w:w="154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w w:val="99"/>
              </w:rPr>
              <w:t>REALIZED</w:t>
            </w:r>
          </w:p>
        </w:tc>
        <w:tc>
          <w:tcPr>
            <w:tcW w:w="0" w:type="dxa"/>
            <w:vAlign w:val="bottom"/>
          </w:tcPr>
          <w:p>
            <w:pPr>
              <w:spacing w:after="0"/>
              <w:rPr>
                <w:sz w:val="1"/>
                <w:szCs w:val="1"/>
                <w:color w:val="auto"/>
              </w:rPr>
            </w:pPr>
          </w:p>
        </w:tc>
      </w:tr>
      <w:tr>
        <w:trPr>
          <w:trHeight w:val="107"/>
        </w:trPr>
        <w:tc>
          <w:tcPr>
            <w:tcW w:w="5120" w:type="dxa"/>
            <w:vAlign w:val="bottom"/>
            <w:vMerge w:val="continue"/>
            <w:shd w:val="clear" w:color="auto" w:fill="351B3D"/>
          </w:tcPr>
          <w:p>
            <w:pPr>
              <w:spacing w:after="0"/>
              <w:rPr>
                <w:sz w:val="9"/>
                <w:szCs w:val="9"/>
                <w:color w:val="auto"/>
              </w:rPr>
            </w:pPr>
          </w:p>
        </w:tc>
        <w:tc>
          <w:tcPr>
            <w:tcW w:w="136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rPr>
              <w:t>ACQUIRED</w:t>
            </w:r>
          </w:p>
        </w:tc>
        <w:tc>
          <w:tcPr>
            <w:tcW w:w="1360" w:type="dxa"/>
            <w:vAlign w:val="bottom"/>
            <w:vMerge w:val="continue"/>
            <w:shd w:val="clear" w:color="auto" w:fill="351B3D"/>
          </w:tcPr>
          <w:p>
            <w:pPr>
              <w:spacing w:after="0"/>
              <w:rPr>
                <w:sz w:val="9"/>
                <w:szCs w:val="9"/>
                <w:color w:val="auto"/>
              </w:rPr>
            </w:pPr>
          </w:p>
        </w:tc>
        <w:tc>
          <w:tcPr>
            <w:tcW w:w="1540" w:type="dxa"/>
            <w:vAlign w:val="bottom"/>
            <w:vMerge w:val="continue"/>
            <w:shd w:val="clear" w:color="auto" w:fill="351B3D"/>
          </w:tcPr>
          <w:p>
            <w:pPr>
              <w:spacing w:after="0"/>
              <w:rPr>
                <w:sz w:val="9"/>
                <w:szCs w:val="9"/>
                <w:color w:val="auto"/>
              </w:rPr>
            </w:pPr>
          </w:p>
        </w:tc>
        <w:tc>
          <w:tcPr>
            <w:tcW w:w="1540" w:type="dxa"/>
            <w:vAlign w:val="bottom"/>
            <w:vMerge w:val="continue"/>
            <w:shd w:val="clear" w:color="auto" w:fill="351B3D"/>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5120" w:type="dxa"/>
            <w:vAlign w:val="bottom"/>
            <w:vMerge w:val="restart"/>
            <w:shd w:val="clear" w:color="auto" w:fill="351B3D"/>
          </w:tcPr>
          <w:p>
            <w:pPr>
              <w:ind w:left="80"/>
              <w:spacing w:after="0"/>
              <w:rPr>
                <w:sz w:val="20"/>
                <w:szCs w:val="20"/>
                <w:color w:val="auto"/>
              </w:rPr>
            </w:pPr>
            <w:r>
              <w:rPr>
                <w:rFonts w:ascii="Arial" w:cs="Arial" w:eastAsia="Arial" w:hAnsi="Arial"/>
                <w:sz w:val="16"/>
                <w:szCs w:val="16"/>
                <w:color w:val="FFFFFF"/>
              </w:rPr>
              <w:t>OFFICER</w:t>
            </w:r>
          </w:p>
        </w:tc>
        <w:tc>
          <w:tcPr>
            <w:tcW w:w="1360" w:type="dxa"/>
            <w:vAlign w:val="bottom"/>
            <w:vMerge w:val="continue"/>
            <w:shd w:val="clear" w:color="auto" w:fill="351B3D"/>
          </w:tcPr>
          <w:p>
            <w:pPr>
              <w:spacing w:after="0"/>
              <w:rPr>
                <w:sz w:val="6"/>
                <w:szCs w:val="6"/>
                <w:color w:val="auto"/>
              </w:rPr>
            </w:pPr>
          </w:p>
        </w:tc>
        <w:tc>
          <w:tcPr>
            <w:tcW w:w="136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rPr>
              <w:t>ON EXERCISE</w:t>
            </w:r>
          </w:p>
        </w:tc>
        <w:tc>
          <w:tcPr>
            <w:tcW w:w="154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rPr>
              <w:t>ACQUIRED</w:t>
            </w:r>
          </w:p>
        </w:tc>
        <w:tc>
          <w:tcPr>
            <w:tcW w:w="1540" w:type="dxa"/>
            <w:vAlign w:val="bottom"/>
            <w:vMerge w:val="restart"/>
            <w:shd w:val="clear" w:color="auto" w:fill="351B3D"/>
          </w:tcPr>
          <w:p>
            <w:pPr>
              <w:jc w:val="center"/>
              <w:ind w:right="60"/>
              <w:spacing w:after="0"/>
              <w:rPr>
                <w:sz w:val="20"/>
                <w:szCs w:val="20"/>
                <w:color w:val="auto"/>
              </w:rPr>
            </w:pPr>
            <w:r>
              <w:rPr>
                <w:rFonts w:ascii="Arial" w:cs="Arial" w:eastAsia="Arial" w:hAnsi="Arial"/>
                <w:sz w:val="16"/>
                <w:szCs w:val="16"/>
                <w:color w:val="FFFFFF"/>
              </w:rPr>
              <w:t>ON VESTING</w:t>
            </w:r>
          </w:p>
        </w:tc>
        <w:tc>
          <w:tcPr>
            <w:tcW w:w="0" w:type="dxa"/>
            <w:vAlign w:val="bottom"/>
          </w:tcPr>
          <w:p>
            <w:pPr>
              <w:spacing w:after="0"/>
              <w:rPr>
                <w:sz w:val="1"/>
                <w:szCs w:val="1"/>
                <w:color w:val="auto"/>
              </w:rPr>
            </w:pPr>
          </w:p>
        </w:tc>
      </w:tr>
      <w:tr>
        <w:trPr>
          <w:trHeight w:val="107"/>
        </w:trPr>
        <w:tc>
          <w:tcPr>
            <w:tcW w:w="5120" w:type="dxa"/>
            <w:vAlign w:val="bottom"/>
            <w:vMerge w:val="continue"/>
            <w:shd w:val="clear" w:color="auto" w:fill="351B3D"/>
          </w:tcPr>
          <w:p>
            <w:pPr>
              <w:spacing w:after="0"/>
              <w:rPr>
                <w:sz w:val="9"/>
                <w:szCs w:val="9"/>
                <w:color w:val="auto"/>
              </w:rPr>
            </w:pPr>
          </w:p>
        </w:tc>
        <w:tc>
          <w:tcPr>
            <w:tcW w:w="136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rPr>
              <w:t>ON EXERCISE</w:t>
            </w:r>
          </w:p>
        </w:tc>
        <w:tc>
          <w:tcPr>
            <w:tcW w:w="1360" w:type="dxa"/>
            <w:vAlign w:val="bottom"/>
            <w:vMerge w:val="continue"/>
            <w:shd w:val="clear" w:color="auto" w:fill="351B3D"/>
          </w:tcPr>
          <w:p>
            <w:pPr>
              <w:spacing w:after="0"/>
              <w:rPr>
                <w:sz w:val="9"/>
                <w:szCs w:val="9"/>
                <w:color w:val="auto"/>
              </w:rPr>
            </w:pPr>
          </w:p>
        </w:tc>
        <w:tc>
          <w:tcPr>
            <w:tcW w:w="1540" w:type="dxa"/>
            <w:vAlign w:val="bottom"/>
            <w:vMerge w:val="continue"/>
            <w:shd w:val="clear" w:color="auto" w:fill="351B3D"/>
          </w:tcPr>
          <w:p>
            <w:pPr>
              <w:spacing w:after="0"/>
              <w:rPr>
                <w:sz w:val="9"/>
                <w:szCs w:val="9"/>
                <w:color w:val="auto"/>
              </w:rPr>
            </w:pPr>
          </w:p>
        </w:tc>
        <w:tc>
          <w:tcPr>
            <w:tcW w:w="1540" w:type="dxa"/>
            <w:vAlign w:val="bottom"/>
            <w:vMerge w:val="continue"/>
            <w:shd w:val="clear" w:color="auto" w:fill="351B3D"/>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5120" w:type="dxa"/>
            <w:vAlign w:val="bottom"/>
            <w:shd w:val="clear" w:color="auto" w:fill="351B3D"/>
          </w:tcPr>
          <w:p>
            <w:pPr>
              <w:spacing w:after="0"/>
              <w:rPr>
                <w:sz w:val="6"/>
                <w:szCs w:val="6"/>
                <w:color w:val="auto"/>
              </w:rPr>
            </w:pPr>
          </w:p>
        </w:tc>
        <w:tc>
          <w:tcPr>
            <w:tcW w:w="1360" w:type="dxa"/>
            <w:vAlign w:val="bottom"/>
            <w:vMerge w:val="continue"/>
            <w:shd w:val="clear" w:color="auto" w:fill="351B3D"/>
          </w:tcPr>
          <w:p>
            <w:pPr>
              <w:spacing w:after="0"/>
              <w:rPr>
                <w:sz w:val="6"/>
                <w:szCs w:val="6"/>
                <w:color w:val="auto"/>
              </w:rPr>
            </w:pPr>
          </w:p>
        </w:tc>
        <w:tc>
          <w:tcPr>
            <w:tcW w:w="136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rPr>
              <w:t>($)</w:t>
            </w:r>
          </w:p>
        </w:tc>
        <w:tc>
          <w:tcPr>
            <w:tcW w:w="154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w w:val="99"/>
              </w:rPr>
              <w:t>ON VESTING (#)</w:t>
            </w:r>
          </w:p>
        </w:tc>
        <w:tc>
          <w:tcPr>
            <w:tcW w:w="1540" w:type="dxa"/>
            <w:vAlign w:val="bottom"/>
            <w:vMerge w:val="restart"/>
            <w:shd w:val="clear" w:color="auto" w:fill="351B3D"/>
          </w:tcPr>
          <w:p>
            <w:pPr>
              <w:jc w:val="center"/>
              <w:ind w:right="20"/>
              <w:spacing w:after="0"/>
              <w:rPr>
                <w:sz w:val="20"/>
                <w:szCs w:val="20"/>
                <w:color w:val="auto"/>
              </w:rPr>
            </w:pPr>
            <w:r>
              <w:rPr>
                <w:rFonts w:ascii="Arial" w:cs="Arial" w:eastAsia="Arial" w:hAnsi="Arial"/>
                <w:sz w:val="16"/>
                <w:szCs w:val="16"/>
                <w:color w:val="FFFFFF"/>
              </w:rPr>
              <w:t>($)</w:t>
            </w:r>
          </w:p>
        </w:tc>
        <w:tc>
          <w:tcPr>
            <w:tcW w:w="0" w:type="dxa"/>
            <w:vAlign w:val="bottom"/>
          </w:tcPr>
          <w:p>
            <w:pPr>
              <w:spacing w:after="0"/>
              <w:rPr>
                <w:sz w:val="1"/>
                <w:szCs w:val="1"/>
                <w:color w:val="auto"/>
              </w:rPr>
            </w:pPr>
          </w:p>
        </w:tc>
      </w:tr>
      <w:tr>
        <w:trPr>
          <w:trHeight w:val="131"/>
        </w:trPr>
        <w:tc>
          <w:tcPr>
            <w:tcW w:w="5120" w:type="dxa"/>
            <w:vAlign w:val="bottom"/>
            <w:shd w:val="clear" w:color="auto" w:fill="351B3D"/>
          </w:tcPr>
          <w:p>
            <w:pPr>
              <w:spacing w:after="0"/>
              <w:rPr>
                <w:sz w:val="11"/>
                <w:szCs w:val="11"/>
                <w:color w:val="auto"/>
              </w:rPr>
            </w:pPr>
          </w:p>
        </w:tc>
        <w:tc>
          <w:tcPr>
            <w:tcW w:w="1360" w:type="dxa"/>
            <w:vAlign w:val="bottom"/>
            <w:vMerge w:val="restart"/>
            <w:shd w:val="clear" w:color="auto" w:fill="351B3D"/>
          </w:tcPr>
          <w:p>
            <w:pPr>
              <w:jc w:val="center"/>
              <w:spacing w:after="0"/>
              <w:rPr>
                <w:sz w:val="20"/>
                <w:szCs w:val="20"/>
                <w:color w:val="auto"/>
              </w:rPr>
            </w:pPr>
            <w:r>
              <w:rPr>
                <w:rFonts w:ascii="Arial" w:cs="Arial" w:eastAsia="Arial" w:hAnsi="Arial"/>
                <w:sz w:val="16"/>
                <w:szCs w:val="16"/>
                <w:color w:val="FFFFFF"/>
                <w:w w:val="91"/>
              </w:rPr>
              <w:t>(#)</w:t>
            </w:r>
          </w:p>
        </w:tc>
        <w:tc>
          <w:tcPr>
            <w:tcW w:w="1360" w:type="dxa"/>
            <w:vAlign w:val="bottom"/>
            <w:vMerge w:val="continue"/>
            <w:shd w:val="clear" w:color="auto" w:fill="351B3D"/>
          </w:tcPr>
          <w:p>
            <w:pPr>
              <w:spacing w:after="0"/>
              <w:rPr>
                <w:sz w:val="11"/>
                <w:szCs w:val="11"/>
                <w:color w:val="auto"/>
              </w:rPr>
            </w:pPr>
          </w:p>
        </w:tc>
        <w:tc>
          <w:tcPr>
            <w:tcW w:w="1540" w:type="dxa"/>
            <w:vAlign w:val="bottom"/>
            <w:vMerge w:val="continue"/>
            <w:shd w:val="clear" w:color="auto" w:fill="351B3D"/>
          </w:tcPr>
          <w:p>
            <w:pPr>
              <w:spacing w:after="0"/>
              <w:rPr>
                <w:sz w:val="11"/>
                <w:szCs w:val="11"/>
                <w:color w:val="auto"/>
              </w:rPr>
            </w:pPr>
          </w:p>
        </w:tc>
        <w:tc>
          <w:tcPr>
            <w:tcW w:w="1540" w:type="dxa"/>
            <w:vAlign w:val="bottom"/>
            <w:vMerge w:val="continue"/>
            <w:shd w:val="clear" w:color="auto" w:fill="351B3D"/>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5120" w:type="dxa"/>
            <w:vAlign w:val="bottom"/>
            <w:tcBorders>
              <w:bottom w:val="single" w:sz="8" w:color="351B3D"/>
            </w:tcBorders>
            <w:shd w:val="clear" w:color="auto" w:fill="351B3D"/>
          </w:tcPr>
          <w:p>
            <w:pPr>
              <w:spacing w:after="0"/>
              <w:rPr>
                <w:sz w:val="9"/>
                <w:szCs w:val="9"/>
                <w:color w:val="auto"/>
              </w:rPr>
            </w:pPr>
          </w:p>
        </w:tc>
        <w:tc>
          <w:tcPr>
            <w:tcW w:w="1360" w:type="dxa"/>
            <w:vAlign w:val="bottom"/>
            <w:tcBorders>
              <w:bottom w:val="single" w:sz="8" w:color="351B3D"/>
            </w:tcBorders>
            <w:vMerge w:val="continue"/>
            <w:shd w:val="clear" w:color="auto" w:fill="351B3D"/>
          </w:tcPr>
          <w:p>
            <w:pPr>
              <w:spacing w:after="0"/>
              <w:rPr>
                <w:sz w:val="9"/>
                <w:szCs w:val="9"/>
                <w:color w:val="auto"/>
              </w:rPr>
            </w:pPr>
          </w:p>
        </w:tc>
        <w:tc>
          <w:tcPr>
            <w:tcW w:w="1360" w:type="dxa"/>
            <w:vAlign w:val="bottom"/>
            <w:tcBorders>
              <w:bottom w:val="single" w:sz="8" w:color="351B3D"/>
            </w:tcBorders>
            <w:shd w:val="clear" w:color="auto" w:fill="351B3D"/>
          </w:tcPr>
          <w:p>
            <w:pPr>
              <w:spacing w:after="0"/>
              <w:rPr>
                <w:sz w:val="9"/>
                <w:szCs w:val="9"/>
                <w:color w:val="auto"/>
              </w:rPr>
            </w:pPr>
          </w:p>
        </w:tc>
        <w:tc>
          <w:tcPr>
            <w:tcW w:w="1540" w:type="dxa"/>
            <w:vAlign w:val="bottom"/>
            <w:tcBorders>
              <w:bottom w:val="single" w:sz="8" w:color="351B3D"/>
            </w:tcBorders>
            <w:shd w:val="clear" w:color="auto" w:fill="351B3D"/>
          </w:tcPr>
          <w:p>
            <w:pPr>
              <w:spacing w:after="0"/>
              <w:rPr>
                <w:sz w:val="9"/>
                <w:szCs w:val="9"/>
                <w:color w:val="auto"/>
              </w:rPr>
            </w:pPr>
          </w:p>
        </w:tc>
        <w:tc>
          <w:tcPr>
            <w:tcW w:w="1540" w:type="dxa"/>
            <w:vAlign w:val="bottom"/>
            <w:tcBorders>
              <w:bottom w:val="single" w:sz="8" w:color="351B3D"/>
            </w:tcBorders>
            <w:shd w:val="clear" w:color="auto" w:fill="351B3D"/>
          </w:tcPr>
          <w:p>
            <w:pPr>
              <w:spacing w:after="0"/>
              <w:rPr>
                <w:sz w:val="9"/>
                <w:szCs w:val="9"/>
                <w:color w:val="auto"/>
              </w:rPr>
            </w:pPr>
          </w:p>
        </w:tc>
        <w:tc>
          <w:tcPr>
            <w:tcW w:w="0" w:type="dxa"/>
            <w:vAlign w:val="bottom"/>
          </w:tcPr>
          <w:p>
            <w:pPr>
              <w:spacing w:after="0"/>
              <w:rPr>
                <w:sz w:val="1"/>
                <w:szCs w:val="1"/>
                <w:color w:val="auto"/>
              </w:rPr>
            </w:pPr>
          </w:p>
        </w:tc>
      </w:tr>
      <w:tr>
        <w:trPr>
          <w:trHeight w:val="341"/>
        </w:trPr>
        <w:tc>
          <w:tcPr>
            <w:tcW w:w="5120" w:type="dxa"/>
            <w:vAlign w:val="bottom"/>
            <w:tcBorders>
              <w:bottom w:val="single" w:sz="8" w:color="D6D1D8"/>
            </w:tcBorders>
            <w:shd w:val="clear" w:color="auto" w:fill="D6D1D8"/>
          </w:tcPr>
          <w:p>
            <w:pPr>
              <w:ind w:left="80"/>
              <w:spacing w:after="0"/>
              <w:rPr>
                <w:sz w:val="20"/>
                <w:szCs w:val="20"/>
                <w:color w:val="auto"/>
              </w:rPr>
            </w:pPr>
            <w:r>
              <w:rPr>
                <w:rFonts w:ascii="Arial" w:cs="Arial" w:eastAsia="Arial" w:hAnsi="Arial"/>
                <w:sz w:val="16"/>
                <w:szCs w:val="16"/>
                <w:color w:val="auto"/>
              </w:rPr>
              <w:t>Craig S. Billings</w:t>
            </w:r>
          </w:p>
        </w:tc>
        <w:tc>
          <w:tcPr>
            <w:tcW w:w="1360" w:type="dxa"/>
            <w:vAlign w:val="bottom"/>
            <w:tcBorders>
              <w:bottom w:val="single" w:sz="8" w:color="D6D1D8"/>
            </w:tcBorders>
            <w:shd w:val="clear" w:color="auto" w:fill="D6D1D8"/>
          </w:tcPr>
          <w:p>
            <w:pPr>
              <w:jc w:val="center"/>
              <w:spacing w:after="0"/>
              <w:rPr>
                <w:sz w:val="20"/>
                <w:szCs w:val="20"/>
                <w:color w:val="auto"/>
              </w:rPr>
            </w:pPr>
            <w:r>
              <w:rPr>
                <w:rFonts w:ascii="Arial" w:cs="Arial" w:eastAsia="Arial" w:hAnsi="Arial"/>
                <w:sz w:val="16"/>
                <w:szCs w:val="16"/>
                <w:color w:val="auto"/>
              </w:rPr>
              <w:t>10,902</w:t>
            </w:r>
          </w:p>
        </w:tc>
        <w:tc>
          <w:tcPr>
            <w:tcW w:w="1360" w:type="dxa"/>
            <w:vAlign w:val="bottom"/>
            <w:tcBorders>
              <w:bottom w:val="single" w:sz="8" w:color="D6D1D8"/>
            </w:tcBorders>
            <w:shd w:val="clear" w:color="auto" w:fill="D6D1D8"/>
          </w:tcPr>
          <w:p>
            <w:pPr>
              <w:jc w:val="right"/>
              <w:ind w:right="160"/>
              <w:spacing w:after="0"/>
              <w:rPr>
                <w:sz w:val="20"/>
                <w:szCs w:val="20"/>
                <w:color w:val="auto"/>
              </w:rPr>
            </w:pPr>
            <w:r>
              <w:rPr>
                <w:rFonts w:ascii="Arial" w:cs="Arial" w:eastAsia="Arial" w:hAnsi="Arial"/>
                <w:sz w:val="16"/>
                <w:szCs w:val="16"/>
                <w:color w:val="auto"/>
              </w:rPr>
              <w:t>535,833</w:t>
            </w:r>
          </w:p>
        </w:tc>
        <w:tc>
          <w:tcPr>
            <w:tcW w:w="1540" w:type="dxa"/>
            <w:vAlign w:val="bottom"/>
            <w:tcBorders>
              <w:bottom w:val="single" w:sz="8" w:color="D6D1D8"/>
            </w:tcBorders>
            <w:shd w:val="clear" w:color="auto" w:fill="D6D1D8"/>
          </w:tcPr>
          <w:p>
            <w:pPr>
              <w:jc w:val="center"/>
              <w:spacing w:after="0"/>
              <w:rPr>
                <w:sz w:val="20"/>
                <w:szCs w:val="20"/>
                <w:color w:val="auto"/>
              </w:rPr>
            </w:pPr>
            <w:r>
              <w:rPr>
                <w:rFonts w:ascii="Arial" w:cs="Arial" w:eastAsia="Arial" w:hAnsi="Arial"/>
                <w:sz w:val="16"/>
                <w:szCs w:val="16"/>
                <w:color w:val="auto"/>
              </w:rPr>
              <w:t>71,503</w:t>
            </w:r>
          </w:p>
        </w:tc>
        <w:tc>
          <w:tcPr>
            <w:tcW w:w="1540" w:type="dxa"/>
            <w:vAlign w:val="bottom"/>
            <w:tcBorders>
              <w:bottom w:val="single" w:sz="8" w:color="D6D1D8"/>
            </w:tcBorders>
            <w:shd w:val="clear" w:color="auto" w:fill="D6D1D8"/>
          </w:tcPr>
          <w:p>
            <w:pPr>
              <w:jc w:val="right"/>
              <w:ind w:right="180"/>
              <w:spacing w:after="0"/>
              <w:rPr>
                <w:sz w:val="20"/>
                <w:szCs w:val="20"/>
                <w:color w:val="auto"/>
              </w:rPr>
            </w:pPr>
            <w:r>
              <w:rPr>
                <w:rFonts w:ascii="Arial" w:cs="Arial" w:eastAsia="Arial" w:hAnsi="Arial"/>
                <w:sz w:val="16"/>
                <w:szCs w:val="16"/>
                <w:color w:val="auto"/>
              </w:rPr>
              <w:t>6,743,399</w:t>
            </w:r>
          </w:p>
        </w:tc>
        <w:tc>
          <w:tcPr>
            <w:tcW w:w="0" w:type="dxa"/>
            <w:vAlign w:val="bottom"/>
          </w:tcPr>
          <w:p>
            <w:pPr>
              <w:spacing w:after="0"/>
              <w:rPr>
                <w:sz w:val="1"/>
                <w:szCs w:val="1"/>
                <w:color w:val="auto"/>
              </w:rPr>
            </w:pPr>
          </w:p>
        </w:tc>
      </w:tr>
      <w:tr>
        <w:trPr>
          <w:trHeight w:val="304"/>
        </w:trPr>
        <w:tc>
          <w:tcPr>
            <w:tcW w:w="5120" w:type="dxa"/>
            <w:vAlign w:val="bottom"/>
          </w:tcPr>
          <w:p>
            <w:pPr>
              <w:ind w:left="80"/>
              <w:spacing w:after="0"/>
              <w:rPr>
                <w:sz w:val="20"/>
                <w:szCs w:val="20"/>
                <w:color w:val="auto"/>
              </w:rPr>
            </w:pPr>
            <w:r>
              <w:rPr>
                <w:rFonts w:ascii="Arial" w:cs="Arial" w:eastAsia="Arial" w:hAnsi="Arial"/>
                <w:sz w:val="16"/>
                <w:szCs w:val="16"/>
                <w:color w:val="auto"/>
              </w:rPr>
              <w:t>Julie M. Cameron-Doe</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6,383</w:t>
            </w:r>
          </w:p>
        </w:tc>
        <w:tc>
          <w:tcPr>
            <w:tcW w:w="1360" w:type="dxa"/>
            <w:vAlign w:val="bottom"/>
          </w:tcPr>
          <w:p>
            <w:pPr>
              <w:jc w:val="right"/>
              <w:ind w:right="160"/>
              <w:spacing w:after="0"/>
              <w:rPr>
                <w:sz w:val="20"/>
                <w:szCs w:val="20"/>
                <w:color w:val="auto"/>
              </w:rPr>
            </w:pPr>
            <w:r>
              <w:rPr>
                <w:rFonts w:ascii="Arial" w:cs="Arial" w:eastAsia="Arial" w:hAnsi="Arial"/>
                <w:sz w:val="16"/>
                <w:szCs w:val="16"/>
                <w:color w:val="auto"/>
              </w:rPr>
              <w:t>296,300</w:t>
            </w:r>
          </w:p>
        </w:tc>
        <w:tc>
          <w:tcPr>
            <w:tcW w:w="1540" w:type="dxa"/>
            <w:vAlign w:val="bottom"/>
          </w:tcPr>
          <w:p>
            <w:pPr>
              <w:jc w:val="center"/>
              <w:spacing w:after="0"/>
              <w:rPr>
                <w:sz w:val="20"/>
                <w:szCs w:val="20"/>
                <w:color w:val="auto"/>
              </w:rPr>
            </w:pPr>
            <w:r>
              <w:rPr>
                <w:rFonts w:ascii="Arial" w:cs="Arial" w:eastAsia="Arial" w:hAnsi="Arial"/>
                <w:sz w:val="16"/>
                <w:szCs w:val="16"/>
                <w:color w:val="auto"/>
              </w:rPr>
              <w:t>20,582</w:t>
            </w:r>
          </w:p>
        </w:tc>
        <w:tc>
          <w:tcPr>
            <w:tcW w:w="1540" w:type="dxa"/>
            <w:vAlign w:val="bottom"/>
          </w:tcPr>
          <w:p>
            <w:pPr>
              <w:jc w:val="right"/>
              <w:ind w:right="180"/>
              <w:spacing w:after="0"/>
              <w:rPr>
                <w:sz w:val="20"/>
                <w:szCs w:val="20"/>
                <w:color w:val="auto"/>
              </w:rPr>
            </w:pPr>
            <w:r>
              <w:rPr>
                <w:rFonts w:ascii="Arial" w:cs="Arial" w:eastAsia="Arial" w:hAnsi="Arial"/>
                <w:sz w:val="16"/>
                <w:szCs w:val="16"/>
                <w:color w:val="auto"/>
              </w:rPr>
              <w:t>1,988,815</w:t>
            </w:r>
          </w:p>
        </w:tc>
        <w:tc>
          <w:tcPr>
            <w:tcW w:w="0" w:type="dxa"/>
            <w:vAlign w:val="bottom"/>
          </w:tcPr>
          <w:p>
            <w:pPr>
              <w:spacing w:after="0"/>
              <w:rPr>
                <w:sz w:val="1"/>
                <w:szCs w:val="1"/>
                <w:color w:val="auto"/>
              </w:rPr>
            </w:pPr>
          </w:p>
        </w:tc>
      </w:tr>
      <w:tr>
        <w:trPr>
          <w:trHeight w:val="57"/>
        </w:trPr>
        <w:tc>
          <w:tcPr>
            <w:tcW w:w="5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1"/>
        </w:trPr>
        <w:tc>
          <w:tcPr>
            <w:tcW w:w="5120" w:type="dxa"/>
            <w:vAlign w:val="bottom"/>
            <w:tcBorders>
              <w:bottom w:val="single" w:sz="8" w:color="D6D1D8"/>
            </w:tcBorders>
            <w:shd w:val="clear" w:color="auto" w:fill="D6D1D8"/>
          </w:tcPr>
          <w:p>
            <w:pPr>
              <w:ind w:left="80"/>
              <w:spacing w:after="0"/>
              <w:rPr>
                <w:sz w:val="20"/>
                <w:szCs w:val="20"/>
                <w:color w:val="auto"/>
              </w:rPr>
            </w:pPr>
            <w:r>
              <w:rPr>
                <w:rFonts w:ascii="Arial" w:cs="Arial" w:eastAsia="Arial" w:hAnsi="Arial"/>
                <w:sz w:val="16"/>
                <w:szCs w:val="16"/>
                <w:color w:val="auto"/>
              </w:rPr>
              <w:t>Jacqui Krum</w:t>
            </w:r>
          </w:p>
        </w:tc>
        <w:tc>
          <w:tcPr>
            <w:tcW w:w="1360" w:type="dxa"/>
            <w:vAlign w:val="bottom"/>
            <w:tcBorders>
              <w:bottom w:val="single" w:sz="8" w:color="D6D1D8"/>
            </w:tcBorders>
            <w:shd w:val="clear" w:color="auto" w:fill="D6D1D8"/>
          </w:tcPr>
          <w:p>
            <w:pPr>
              <w:jc w:val="center"/>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D6D1D8"/>
            </w:tcBorders>
            <w:shd w:val="clear" w:color="auto" w:fill="D6D1D8"/>
          </w:tcPr>
          <w:p>
            <w:pPr>
              <w:jc w:val="right"/>
              <w:ind w:right="54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D6D1D8"/>
            </w:tcBorders>
            <w:shd w:val="clear" w:color="auto" w:fill="D6D1D8"/>
          </w:tcPr>
          <w:p>
            <w:pPr>
              <w:jc w:val="center"/>
              <w:spacing w:after="0"/>
              <w:rPr>
                <w:sz w:val="20"/>
                <w:szCs w:val="20"/>
                <w:color w:val="auto"/>
              </w:rPr>
            </w:pPr>
            <w:r>
              <w:rPr>
                <w:rFonts w:ascii="Arial" w:cs="Arial" w:eastAsia="Arial" w:hAnsi="Arial"/>
                <w:sz w:val="16"/>
                <w:szCs w:val="16"/>
                <w:color w:val="auto"/>
                <w:w w:val="99"/>
              </w:rPr>
              <w:t>2,310</w:t>
            </w:r>
          </w:p>
        </w:tc>
        <w:tc>
          <w:tcPr>
            <w:tcW w:w="1540" w:type="dxa"/>
            <w:vAlign w:val="bottom"/>
            <w:tcBorders>
              <w:bottom w:val="single" w:sz="8" w:color="D6D1D8"/>
            </w:tcBorders>
            <w:shd w:val="clear" w:color="auto" w:fill="D6D1D8"/>
          </w:tcPr>
          <w:p>
            <w:pPr>
              <w:jc w:val="right"/>
              <w:ind w:right="180"/>
              <w:spacing w:after="0"/>
              <w:rPr>
                <w:sz w:val="20"/>
                <w:szCs w:val="20"/>
                <w:color w:val="auto"/>
              </w:rPr>
            </w:pPr>
            <w:r>
              <w:rPr>
                <w:rFonts w:ascii="Arial" w:cs="Arial" w:eastAsia="Arial" w:hAnsi="Arial"/>
                <w:sz w:val="16"/>
                <w:szCs w:val="16"/>
                <w:color w:val="auto"/>
              </w:rPr>
              <w:t>217,290</w:t>
            </w:r>
          </w:p>
        </w:tc>
        <w:tc>
          <w:tcPr>
            <w:tcW w:w="0" w:type="dxa"/>
            <w:vAlign w:val="bottom"/>
          </w:tcPr>
          <w:p>
            <w:pPr>
              <w:spacing w:after="0"/>
              <w:rPr>
                <w:sz w:val="1"/>
                <w:szCs w:val="1"/>
                <w:color w:val="auto"/>
              </w:rPr>
            </w:pPr>
          </w:p>
        </w:tc>
      </w:tr>
      <w:tr>
        <w:trPr>
          <w:trHeight w:val="304"/>
        </w:trPr>
        <w:tc>
          <w:tcPr>
            <w:tcW w:w="5120" w:type="dxa"/>
            <w:vAlign w:val="bottom"/>
          </w:tcPr>
          <w:p>
            <w:pPr>
              <w:ind w:left="80"/>
              <w:spacing w:after="0"/>
              <w:rPr>
                <w:sz w:val="20"/>
                <w:szCs w:val="20"/>
                <w:color w:val="auto"/>
              </w:rPr>
            </w:pPr>
            <w:r>
              <w:rPr>
                <w:rFonts w:ascii="Arial" w:cs="Arial" w:eastAsia="Arial" w:hAnsi="Arial"/>
                <w:sz w:val="16"/>
                <w:szCs w:val="16"/>
                <w:color w:val="auto"/>
              </w:rPr>
              <w:t>Ellen F. Whittemore</w:t>
            </w:r>
          </w:p>
        </w:tc>
        <w:tc>
          <w:tcPr>
            <w:tcW w:w="1360" w:type="dxa"/>
            <w:vAlign w:val="bottom"/>
          </w:tcPr>
          <w:p>
            <w:pPr>
              <w:jc w:val="center"/>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540"/>
              <w:spacing w:after="0"/>
              <w:rPr>
                <w:sz w:val="20"/>
                <w:szCs w:val="20"/>
                <w:color w:val="auto"/>
              </w:rPr>
            </w:pPr>
            <w:r>
              <w:rPr>
                <w:rFonts w:ascii="Arial" w:cs="Arial" w:eastAsia="Arial" w:hAnsi="Arial"/>
                <w:sz w:val="16"/>
                <w:szCs w:val="16"/>
                <w:color w:val="auto"/>
              </w:rPr>
              <w:t>-</w:t>
            </w:r>
          </w:p>
        </w:tc>
        <w:tc>
          <w:tcPr>
            <w:tcW w:w="1540" w:type="dxa"/>
            <w:vAlign w:val="bottom"/>
          </w:tcPr>
          <w:p>
            <w:pPr>
              <w:jc w:val="center"/>
              <w:spacing w:after="0"/>
              <w:rPr>
                <w:sz w:val="20"/>
                <w:szCs w:val="20"/>
                <w:color w:val="auto"/>
              </w:rPr>
            </w:pPr>
            <w:r>
              <w:rPr>
                <w:rFonts w:ascii="Arial" w:cs="Arial" w:eastAsia="Arial" w:hAnsi="Arial"/>
                <w:sz w:val="16"/>
                <w:szCs w:val="16"/>
                <w:color w:val="auto"/>
              </w:rPr>
              <w:t>15,037</w:t>
            </w:r>
          </w:p>
        </w:tc>
        <w:tc>
          <w:tcPr>
            <w:tcW w:w="1540" w:type="dxa"/>
            <w:vAlign w:val="bottom"/>
          </w:tcPr>
          <w:p>
            <w:pPr>
              <w:jc w:val="right"/>
              <w:ind w:right="180"/>
              <w:spacing w:after="0"/>
              <w:rPr>
                <w:sz w:val="20"/>
                <w:szCs w:val="20"/>
                <w:color w:val="auto"/>
              </w:rPr>
            </w:pPr>
            <w:r>
              <w:rPr>
                <w:rFonts w:ascii="Arial" w:cs="Arial" w:eastAsia="Arial" w:hAnsi="Arial"/>
                <w:sz w:val="16"/>
                <w:szCs w:val="16"/>
                <w:color w:val="auto"/>
              </w:rPr>
              <w:t>1,477,984</w:t>
            </w: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left="160" w:right="280" w:firstLine="7"/>
        <w:spacing w:after="0" w:line="256" w:lineRule="auto"/>
        <w:tabs>
          <w:tab w:leader="none" w:pos="347"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amounts reported in this table are based on the closing price of the Company’s Common Stock on the date the stock award vested or the stock option was exercised (less the applicable exercise price per stock option), as applicable. Upon vesting of the stock award, the applicable NEO also was paid an amount equal to the dividends that had accrued on the shares prior to their vesting.</w:t>
      </w:r>
    </w:p>
    <w:p>
      <w:pPr>
        <w:spacing w:after="0" w:line="253" w:lineRule="exact"/>
        <w:rPr>
          <w:sz w:val="20"/>
          <w:szCs w:val="20"/>
          <w:color w:val="auto"/>
        </w:rPr>
      </w:pPr>
    </w:p>
    <w:p>
      <w:pPr>
        <w:ind w:left="160" w:right="1420"/>
        <w:spacing w:after="0" w:line="266" w:lineRule="auto"/>
        <w:rPr>
          <w:sz w:val="20"/>
          <w:szCs w:val="20"/>
          <w:color w:val="auto"/>
        </w:rPr>
      </w:pPr>
      <w:r>
        <w:rPr>
          <w:rFonts w:ascii="Times New Roman" w:cs="Times New Roman" w:eastAsia="Times New Roman" w:hAnsi="Times New Roman"/>
          <w:sz w:val="45"/>
          <w:szCs w:val="45"/>
          <w:color w:val="140F21"/>
        </w:rPr>
        <w:t>Potential Payments Upon Termination, Retirement or Change in Control</w:t>
      </w:r>
    </w:p>
    <w:p>
      <w:pPr>
        <w:spacing w:after="0" w:line="222" w:lineRule="exact"/>
        <w:rPr>
          <w:sz w:val="20"/>
          <w:szCs w:val="20"/>
          <w:color w:val="auto"/>
        </w:rPr>
      </w:pPr>
    </w:p>
    <w:p>
      <w:pPr>
        <w:ind w:left="160" w:right="60"/>
        <w:spacing w:after="0" w:line="253" w:lineRule="auto"/>
        <w:rPr>
          <w:sz w:val="20"/>
          <w:szCs w:val="20"/>
          <w:color w:val="auto"/>
        </w:rPr>
      </w:pPr>
      <w:r>
        <w:rPr>
          <w:rFonts w:ascii="Arial" w:cs="Arial" w:eastAsia="Arial" w:hAnsi="Arial"/>
          <w:sz w:val="16"/>
          <w:szCs w:val="16"/>
          <w:color w:val="351B3D"/>
        </w:rPr>
        <w:t xml:space="preserve">PAYMENTS MADE UPON TERMINATION DUE TO DEATH, COMPLETE DISABILITY OR LICENSE REVOCATION. </w:t>
      </w:r>
      <w:r>
        <w:rPr>
          <w:rFonts w:ascii="Arial" w:cs="Arial" w:eastAsia="Arial" w:hAnsi="Arial"/>
          <w:sz w:val="16"/>
          <w:szCs w:val="16"/>
          <w:color w:val="000000"/>
        </w:rPr>
        <w:t>The Company’s employment</w:t>
      </w:r>
      <w:r>
        <w:rPr>
          <w:rFonts w:ascii="Arial" w:cs="Arial" w:eastAsia="Arial" w:hAnsi="Arial"/>
          <w:sz w:val="16"/>
          <w:szCs w:val="16"/>
          <w:color w:val="351B3D"/>
        </w:rPr>
        <w:t xml:space="preserve"> </w:t>
      </w:r>
      <w:r>
        <w:rPr>
          <w:rFonts w:ascii="Arial" w:cs="Arial" w:eastAsia="Arial" w:hAnsi="Arial"/>
          <w:sz w:val="16"/>
          <w:szCs w:val="16"/>
          <w:color w:val="000000"/>
        </w:rPr>
        <w:t>contracts with its current NEOs provide that such contracts terminate automatically upon death or complete disability of the NEO, as well as upon failure of the NEO to obtain or maintain any required gaming licenses. Upon such termination, such NEO is entitled to a lump sum payment of accrued and unpaid base salary and vacation pay through the termination date. Pursuant to the terms of the NEO’s applicable restricted stock grant agreements, all of the unvested restricted stock held by such NEOs would vest upon termination as a result of such NEO’s death or complete disability.</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1080"/>
          </w:cols>
          <w:pgMar w:left="320" w:top="478"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color w:val="351B3D"/>
        </w:rPr>
        <w:t xml:space="preserve">PAYMENTS MADE UPON RETIREMENT. </w:t>
      </w:r>
      <w:r>
        <w:rPr>
          <w:rFonts w:ascii="Arial" w:cs="Arial" w:eastAsia="Arial" w:hAnsi="Arial"/>
          <w:sz w:val="16"/>
          <w:szCs w:val="16"/>
          <w:color w:val="000000"/>
        </w:rPr>
        <w:t>Under the terms of the Retirement Plan, upon an NEO’s retirement, (i) all outstanding equity incentive awards</w:t>
      </w:r>
      <w:r>
        <w:rPr>
          <w:rFonts w:ascii="Arial" w:cs="Arial" w:eastAsia="Arial" w:hAnsi="Arial"/>
          <w:sz w:val="16"/>
          <w:szCs w:val="16"/>
          <w:color w:val="351B3D"/>
        </w:rPr>
        <w:t xml:space="preserve"> </w:t>
      </w:r>
      <w:r>
        <w:rPr>
          <w:rFonts w:ascii="Arial" w:cs="Arial" w:eastAsia="Arial" w:hAnsi="Arial"/>
          <w:sz w:val="16"/>
          <w:szCs w:val="16"/>
          <w:color w:val="000000"/>
        </w:rPr>
        <w:t>held by the NEO on the date of retirement will remain outstanding and will continue to vest in accordance with the terms of the applicable award agreement as if the NEO were still employed by the Company (provided, that, the NEO may elect to deliver written notice to the Company expressly disavowing the continued vesting benefits, and the vesting period will expire as of the date of delivery of such notice, and all of the NEO’s outstanding equity incentive awards that remain unvested as of such date will be immediately forfeited for no consideration); (ii) the Company will pay the NEO a total amount equal to a pro-rata portion of the annual incentive award the NEO earned during the fiscal year preceding the year in which the date of retirement occurs; and (iii) during the first eighteen months following the NEO’s retirement, assuming that the NEO has timely enrolled under COBRA, the Company will pay the full COBRA monthly premiums for the NEO and their spouse and dependents, and the Company will reimburse the NEO for any medical expenses incurred by the NEO or the NEO’s dependents that are not covered by COBRA but would have been subject to reimbursement under the Company’s senior executive health program. If the NEO has remained covered under the Company’s group health coverage through the end of such initial eighteen month COBRA period, then for the remainder of the applicable restricted period (if any), the Company will reimburse the NEO on a monthly basis for the cost incurred by the NEO for securing health benefits coverage of equal or lesser coverage to that offered under the Company’s senior executive health program. The health benefits and/or reimbursement in lieu thereof will cease upon the earlier of the expiration of the applicable restricted period, the failure by the NEO to timely elect COBRA with respect to the initial eighteen month COBRA period, the NEO enrolling under Medicare after the date of retirement or if the NEO becomes employed by another employer and becomes eligible to enroll under that employer’s group health coverage. The Board recently approved an amendment to the Retirement Plan in February 2025 to decrease the total age and service requirement from sixty-five to sixty and increase the minimum service requirement for participation in the Retirement Plan from five to seven years.</w:t>
      </w:r>
    </w:p>
    <w:p>
      <w:pPr>
        <w:spacing w:after="0" w:line="191" w:lineRule="exact"/>
        <w:rPr>
          <w:sz w:val="20"/>
          <w:szCs w:val="20"/>
          <w:color w:val="auto"/>
        </w:rPr>
      </w:pPr>
    </w:p>
    <w:p>
      <w:pPr>
        <w:jc w:val="both"/>
        <w:ind w:left="160" w:right="120"/>
        <w:spacing w:after="0" w:line="256" w:lineRule="auto"/>
        <w:rPr>
          <w:sz w:val="20"/>
          <w:szCs w:val="20"/>
          <w:color w:val="auto"/>
        </w:rPr>
      </w:pPr>
      <w:r>
        <w:rPr>
          <w:rFonts w:ascii="Arial" w:cs="Arial" w:eastAsia="Arial" w:hAnsi="Arial"/>
          <w:sz w:val="16"/>
          <w:szCs w:val="16"/>
          <w:color w:val="auto"/>
        </w:rPr>
        <w:t>The foregoing retirement benefits are conditioned upon the NEO remaining an employee in good standing through the three-month notice period prior to their retirement date, executing and not revoking a release of claims, acknowledging that the transition of duties and responsibilities during the transition period will not constitute “good reason”, and complying with the non-disparagement covenant in the Retirement Plan and any other restrictive covenants to which the NEO is subject.</w:t>
      </w:r>
    </w:p>
    <w:p>
      <w:pPr>
        <w:spacing w:after="0" w:line="178" w:lineRule="exact"/>
        <w:rPr>
          <w:sz w:val="20"/>
          <w:szCs w:val="20"/>
          <w:color w:val="auto"/>
        </w:rPr>
      </w:pPr>
    </w:p>
    <w:p>
      <w:pPr>
        <w:ind w:left="160" w:right="240"/>
        <w:spacing w:after="0" w:line="262" w:lineRule="auto"/>
        <w:rPr>
          <w:sz w:val="20"/>
          <w:szCs w:val="20"/>
          <w:color w:val="auto"/>
        </w:rPr>
      </w:pPr>
      <w:r>
        <w:rPr>
          <w:rFonts w:ascii="Arial" w:cs="Arial" w:eastAsia="Arial" w:hAnsi="Arial"/>
          <w:sz w:val="16"/>
          <w:szCs w:val="16"/>
          <w:color w:val="auto"/>
        </w:rPr>
        <w:t>In addition, the Company will enter into a post-employment consulting agreement with the NEO for no additional compensation (except the foregoing retirement benefits), to assist in facilitating the successful transition of responsibilities, for a period of no more than 18 months, unless the Company no longer requires such services.</w:t>
      </w:r>
    </w:p>
    <w:p>
      <w:pPr>
        <w:spacing w:after="0" w:line="173" w:lineRule="exact"/>
        <w:rPr>
          <w:sz w:val="20"/>
          <w:szCs w:val="20"/>
          <w:color w:val="auto"/>
        </w:rPr>
      </w:pPr>
    </w:p>
    <w:p>
      <w:pPr>
        <w:ind w:left="160" w:right="180"/>
        <w:spacing w:after="0" w:line="247" w:lineRule="auto"/>
        <w:rPr>
          <w:sz w:val="20"/>
          <w:szCs w:val="20"/>
          <w:color w:val="auto"/>
        </w:rPr>
      </w:pPr>
      <w:r>
        <w:rPr>
          <w:rFonts w:ascii="Arial" w:cs="Arial" w:eastAsia="Arial" w:hAnsi="Arial"/>
          <w:sz w:val="16"/>
          <w:szCs w:val="16"/>
          <w:color w:val="351B3D"/>
        </w:rPr>
        <w:t>PAYMENTS MADE UPON TERMINATION WITHOUT CAUSE AT EMPLOYER’S ELECTION OR AT EMPLOYEE’S ELECTION UPON COMPANY MATERIAL BREACH DURING THE TERM</w:t>
      </w:r>
      <w:r>
        <w:rPr>
          <w:rFonts w:ascii="Arial" w:cs="Arial" w:eastAsia="Arial" w:hAnsi="Arial"/>
          <w:sz w:val="16"/>
          <w:szCs w:val="16"/>
          <w:color w:val="000000"/>
        </w:rPr>
        <w:t>. The Company’s employment contracts with its current NEOs provide that such contracts are terminable by</w:t>
      </w:r>
      <w:r>
        <w:rPr>
          <w:rFonts w:ascii="Arial" w:cs="Arial" w:eastAsia="Arial" w:hAnsi="Arial"/>
          <w:sz w:val="16"/>
          <w:szCs w:val="16"/>
          <w:color w:val="351B3D"/>
        </w:rPr>
        <w:t xml:space="preserve"> </w:t>
      </w:r>
      <w:r>
        <w:rPr>
          <w:rFonts w:ascii="Arial" w:cs="Arial" w:eastAsia="Arial" w:hAnsi="Arial"/>
          <w:sz w:val="16"/>
          <w:szCs w:val="16"/>
          <w:color w:val="000000"/>
        </w:rPr>
        <w:t>the Company without “cause” upon notice to the NEO, so long as the Separation Payment (as defined below), is paid to the NEO as provided in such contracts (as further discussed below), or by the NEO upon written notice to the Company of the Company’s uncured material breach of the contract. “Cause” is generally defined in the employment contract to include (i) inability or failure to secure and/or maintain any licenses or permits required by government agencies with jurisdiction over the business of the Company or its affiliates; (ii) willful destruction of property of the Company or an affiliate having a material value to the Company or such affiliate; (iii) fraud, embezzlement, theft, or comparable dishonest activity (excluding acts involving a de minimis dollar value and not related in any manner to the Company, its affiliates or their business); (iv) conviction of or entering a plea of guilty or nolo contendere to any crime constituting a felony; (v) material breach of employment agreement; (vi) neglect, refusal, or knowing failure to materially discharge duties (other than due to physical or mental illness) commensurate with title and function, or failure to comply with the lawful directions of the Company or its board; (vii) knowing material misrepresentation to the Company or its Board of Directors; (viii) failure to follow a material</w:t>
      </w:r>
    </w:p>
    <w:p>
      <w:pPr>
        <w:spacing w:after="0" w:line="120" w:lineRule="exact"/>
        <w:rPr>
          <w:sz w:val="20"/>
          <w:szCs w:val="20"/>
          <w:color w:val="auto"/>
        </w:rPr>
      </w:pPr>
    </w:p>
    <w:p>
      <w:pPr>
        <w:ind w:left="160"/>
        <w:spacing w:after="0"/>
        <w:rPr>
          <w:sz w:val="20"/>
          <w:szCs w:val="20"/>
          <w:color w:val="auto"/>
        </w:rPr>
      </w:pPr>
      <w:r>
        <w:rPr>
          <w:rFonts w:ascii="Arial" w:cs="Arial" w:eastAsia="Arial" w:hAnsi="Arial"/>
          <w:sz w:val="12"/>
          <w:szCs w:val="12"/>
          <w:color w:val="351B3D"/>
        </w:rPr>
        <w:t>58</w:t>
      </w:r>
    </w:p>
    <w:p>
      <w:pPr>
        <w:sectPr>
          <w:pgSz w:w="11900" w:h="16838" w:orient="portrait"/>
          <w:cols w:equalWidth="0" w:num="1">
            <w:col w:w="11060"/>
          </w:cols>
          <w:pgMar w:left="320" w:top="478" w:right="5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0" w:right="80"/>
        <w:spacing w:after="0" w:line="254" w:lineRule="auto"/>
        <w:rPr>
          <w:sz w:val="20"/>
          <w:szCs w:val="20"/>
          <w:color w:val="auto"/>
        </w:rPr>
      </w:pPr>
      <w:r>
        <w:rPr>
          <w:rFonts w:ascii="Arial" w:cs="Arial" w:eastAsia="Arial" w:hAnsi="Arial"/>
          <w:sz w:val="16"/>
          <w:szCs w:val="16"/>
          <w:color w:val="auto"/>
        </w:rPr>
        <w:t>policy or procedure of the Company or an affiliate; or (ix) material breach of a statutory or common law duty of loyalty or fiduciary duty to the Company or an affiliate. “Material breach” is generally defined in the employment contract as (i) the Company’s failure to pay the employee’s base salary when due,</w:t>
      </w:r>
    </w:p>
    <w:p>
      <w:pPr>
        <w:spacing w:after="0" w:line="1" w:lineRule="exact"/>
        <w:rPr>
          <w:sz w:val="20"/>
          <w:szCs w:val="20"/>
          <w:color w:val="auto"/>
        </w:rPr>
      </w:pPr>
    </w:p>
    <w:p>
      <w:pPr>
        <w:ind w:left="160" w:right="240" w:firstLine="7"/>
        <w:spacing w:after="0" w:line="251" w:lineRule="auto"/>
        <w:tabs>
          <w:tab w:leader="none" w:pos="383"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Company’s material reduction in the scope in the employee’s duties and responsibilities such that the employee’s remaining duties and responsibilities are materially inconsistent with duties and responsibilities generally associated with the employee’s position with the Company, or (iii) a material reduction in the employee’s base salary.</w:t>
      </w:r>
    </w:p>
    <w:p>
      <w:pPr>
        <w:spacing w:after="0" w:line="182" w:lineRule="exact"/>
        <w:rPr>
          <w:sz w:val="20"/>
          <w:szCs w:val="20"/>
          <w:color w:val="auto"/>
        </w:rPr>
      </w:pPr>
    </w:p>
    <w:p>
      <w:pPr>
        <w:ind w:left="160"/>
        <w:spacing w:after="0" w:line="253" w:lineRule="auto"/>
        <w:rPr>
          <w:sz w:val="20"/>
          <w:szCs w:val="20"/>
          <w:color w:val="auto"/>
        </w:rPr>
      </w:pPr>
      <w:r>
        <w:rPr>
          <w:rFonts w:ascii="Arial" w:cs="Arial" w:eastAsia="Arial" w:hAnsi="Arial"/>
          <w:sz w:val="16"/>
          <w:szCs w:val="16"/>
          <w:color w:val="auto"/>
        </w:rPr>
        <w:t>Upon a termination of the NEO’s employment by the Company without “cause” or by the employee upon the Company’s material breach, the “Separation Payment” for each of our current NEOs equals a lump sum payment equal to the sum of (a) the NEO’s base salary for the remainder of the term of the employment contract, but not less than 12 months (except for Mr. Billings, which is not less than 18 months); plus (b) any bonus amount projected for all bonus periods through the end of the term of the employment contract (based upon the last bonus paid pursuant to the employment contract), but not less than the preceding bonus that was paid; plus (c) any accrued but unpaid vacation pay.</w:t>
      </w:r>
    </w:p>
    <w:p>
      <w:pPr>
        <w:spacing w:after="0" w:line="180" w:lineRule="exact"/>
        <w:rPr>
          <w:sz w:val="20"/>
          <w:szCs w:val="20"/>
          <w:color w:val="auto"/>
        </w:rPr>
      </w:pPr>
    </w:p>
    <w:p>
      <w:pPr>
        <w:jc w:val="both"/>
        <w:ind w:left="160" w:right="160"/>
        <w:spacing w:after="0" w:line="256" w:lineRule="auto"/>
        <w:rPr>
          <w:sz w:val="20"/>
          <w:szCs w:val="20"/>
          <w:color w:val="auto"/>
        </w:rPr>
      </w:pPr>
      <w:r>
        <w:rPr>
          <w:rFonts w:ascii="Arial" w:cs="Arial" w:eastAsia="Arial" w:hAnsi="Arial"/>
          <w:sz w:val="16"/>
          <w:szCs w:val="16"/>
          <w:color w:val="auto"/>
        </w:rPr>
        <w:t>If any of our NEOs are terminated by the Company without cause or resign following the Company’s material breach of his or her employment contract, then as a condition to receiving the Separation Payment, the NEO must execute a written release-severance agreement that (1) releases the Company, its affiliates, and their officers, directors, agents and employees, from any claims or causes of action, and (2) provides that the terminated NEO may not disclose either the terms of the release-severance agreement or the compensation that is paid.</w:t>
      </w:r>
    </w:p>
    <w:p>
      <w:pPr>
        <w:spacing w:after="0" w:line="178" w:lineRule="exact"/>
        <w:rPr>
          <w:sz w:val="20"/>
          <w:szCs w:val="20"/>
          <w:color w:val="auto"/>
        </w:rPr>
      </w:pPr>
    </w:p>
    <w:p>
      <w:pPr>
        <w:ind w:left="160" w:right="60"/>
        <w:spacing w:after="0" w:line="253" w:lineRule="auto"/>
        <w:rPr>
          <w:sz w:val="20"/>
          <w:szCs w:val="20"/>
          <w:color w:val="auto"/>
        </w:rPr>
      </w:pPr>
      <w:r>
        <w:rPr>
          <w:rFonts w:ascii="Arial" w:cs="Arial" w:eastAsia="Arial" w:hAnsi="Arial"/>
          <w:sz w:val="16"/>
          <w:szCs w:val="16"/>
          <w:color w:val="auto"/>
        </w:rPr>
        <w:t>In addition to the Separation Payment, upon a termination of the NEO’s employment by the Company without “cause” or by the employee upon the Company’s material breach, the NEOs are also entitled to health benefits coverage under the same plan or arrangement as such NEO was covered immediately prior to termination. Mr. Billings is entitled to health benefits for the remainder of the term of his employment contract, but not less than 18 months and for a period of twelve months thereafter. Ms. Cameron-Doe and Ms. Krum are entitled to health benefits for the remainder of the original term of their employment contract but not less than 12 months and for a period of twelve months thereafter.</w:t>
      </w:r>
    </w:p>
    <w:p>
      <w:pPr>
        <w:spacing w:after="0" w:line="180" w:lineRule="exact"/>
        <w:rPr>
          <w:sz w:val="20"/>
          <w:szCs w:val="20"/>
          <w:color w:val="auto"/>
        </w:rPr>
      </w:pPr>
    </w:p>
    <w:p>
      <w:pPr>
        <w:jc w:val="both"/>
        <w:ind w:left="160" w:right="120"/>
        <w:spacing w:after="0" w:line="262" w:lineRule="auto"/>
        <w:rPr>
          <w:sz w:val="20"/>
          <w:szCs w:val="20"/>
          <w:color w:val="auto"/>
        </w:rPr>
      </w:pPr>
      <w:r>
        <w:rPr>
          <w:rFonts w:ascii="Arial" w:cs="Arial" w:eastAsia="Arial" w:hAnsi="Arial"/>
          <w:sz w:val="16"/>
          <w:szCs w:val="16"/>
          <w:color w:val="auto"/>
        </w:rPr>
        <w:t>Pursuant to the terms of the NEO’s applicable restricted stock grant agreements, upon a termination of the NEO’s employment by the Company without cause or by the NEO upon the Company’s material breach, all of the unvested restricted stock held by such NEO would immediately vest pro rata based on the number of months served since the grant date.</w:t>
      </w:r>
    </w:p>
    <w:p>
      <w:pPr>
        <w:spacing w:after="0" w:line="173" w:lineRule="exact"/>
        <w:rPr>
          <w:sz w:val="20"/>
          <w:szCs w:val="20"/>
          <w:color w:val="auto"/>
        </w:rPr>
      </w:pPr>
    </w:p>
    <w:p>
      <w:pPr>
        <w:ind w:left="160" w:right="100"/>
        <w:spacing w:after="0" w:line="247" w:lineRule="auto"/>
        <w:rPr>
          <w:sz w:val="20"/>
          <w:szCs w:val="20"/>
          <w:color w:val="auto"/>
        </w:rPr>
      </w:pPr>
      <w:r>
        <w:rPr>
          <w:rFonts w:ascii="Arial" w:cs="Arial" w:eastAsia="Arial" w:hAnsi="Arial"/>
          <w:sz w:val="16"/>
          <w:szCs w:val="16"/>
          <w:color w:val="351B3D"/>
        </w:rPr>
        <w:t xml:space="preserve">PAYMENTS MADE UPON TERMINATION BY EMPLOYEE FOR GOOD REASON AFTER CHANGE IN CONTROL. </w:t>
      </w:r>
      <w:r>
        <w:rPr>
          <w:rFonts w:ascii="Arial" w:cs="Arial" w:eastAsia="Arial" w:hAnsi="Arial"/>
          <w:sz w:val="16"/>
          <w:szCs w:val="16"/>
          <w:color w:val="000000"/>
        </w:rPr>
        <w:t>The Company’s employment</w:t>
      </w:r>
      <w:r>
        <w:rPr>
          <w:rFonts w:ascii="Arial" w:cs="Arial" w:eastAsia="Arial" w:hAnsi="Arial"/>
          <w:sz w:val="16"/>
          <w:szCs w:val="16"/>
          <w:color w:val="351B3D"/>
        </w:rPr>
        <w:t xml:space="preserve"> </w:t>
      </w:r>
      <w:r>
        <w:rPr>
          <w:rFonts w:ascii="Arial" w:cs="Arial" w:eastAsia="Arial" w:hAnsi="Arial"/>
          <w:sz w:val="16"/>
          <w:szCs w:val="16"/>
          <w:color w:val="000000"/>
        </w:rPr>
        <w:t>contracts with its current NEOs also provide that such contracts are terminable by the NEO for “good reason” after a “change of control”. A “change of control” is generally defined as (a) any person or group becomes the beneficial owner of more than 50% of the Company’s outstanding securities, (b) the existing directors of the Company (including those elected in the normal course and not including those elected as a result of an actual or threatened election contest) cease to constitute a majority of the Board of the Company, or (c) the consummation of a merger, consolidation or reorganization to which the Company is a party or the sale or disposition of substantially all of the assets of the Company. “Good reason” is generally defined as:</w:t>
      </w:r>
    </w:p>
    <w:p>
      <w:pPr>
        <w:spacing w:after="0" w:line="3" w:lineRule="exact"/>
        <w:rPr>
          <w:sz w:val="20"/>
          <w:szCs w:val="20"/>
          <w:color w:val="auto"/>
        </w:rPr>
      </w:pPr>
    </w:p>
    <w:p>
      <w:pPr>
        <w:ind w:left="160" w:right="40" w:firstLine="7"/>
        <w:spacing w:after="0" w:line="244" w:lineRule="auto"/>
        <w:tabs>
          <w:tab w:leader="none" w:pos="347"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reduction of employee’s base salary; (ii) discontinuation of employer’s bonus plan without immediately replacing such bonus plan with a plan that is the substantial economic equivalent of such bonus plan, or amending such bonus plan so as to materially reduce employee’s potential bonus at any given level of economic performance of employer or its successor entity; (iii) material reduction in the aggregate benefits and perquisites to employee;</w:t>
      </w:r>
    </w:p>
    <w:p>
      <w:pPr>
        <w:ind w:left="160" w:right="140" w:firstLine="7"/>
        <w:spacing w:after="0" w:line="258" w:lineRule="auto"/>
        <w:tabs>
          <w:tab w:leader="none" w:pos="427"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requirement that such employee change the location of his or her job or office by a distance of more than 25 miles; (v) reduction of responsibilities or required reporting to a person of lower rank or responsibilities; or (vi) a successor’s failure to expressly assume in writing the employment contract.</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1080"/>
          </w:cols>
          <w:pgMar w:left="320" w:top="478"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0" w:right="480"/>
        <w:spacing w:after="0" w:line="279" w:lineRule="auto"/>
        <w:rPr>
          <w:sz w:val="20"/>
          <w:szCs w:val="20"/>
          <w:color w:val="auto"/>
        </w:rPr>
      </w:pPr>
      <w:r>
        <w:rPr>
          <w:rFonts w:ascii="Arial" w:cs="Arial" w:eastAsia="Arial" w:hAnsi="Arial"/>
          <w:sz w:val="16"/>
          <w:szCs w:val="16"/>
          <w:color w:val="auto"/>
        </w:rPr>
        <w:t>Upon a termination by the NEO for good reason after a “change of control”, the NEO will receive the Separation Payment, subject to the terms and conditions described above.</w:t>
      </w:r>
    </w:p>
    <w:p>
      <w:pPr>
        <w:spacing w:after="0" w:line="161" w:lineRule="exact"/>
        <w:rPr>
          <w:sz w:val="20"/>
          <w:szCs w:val="20"/>
          <w:color w:val="auto"/>
        </w:rPr>
      </w:pPr>
    </w:p>
    <w:p>
      <w:pPr>
        <w:ind w:left="160" w:right="520"/>
        <w:spacing w:after="0" w:line="279" w:lineRule="auto"/>
        <w:rPr>
          <w:sz w:val="20"/>
          <w:szCs w:val="20"/>
          <w:color w:val="auto"/>
        </w:rPr>
      </w:pPr>
      <w:r>
        <w:rPr>
          <w:rFonts w:ascii="Arial" w:cs="Arial" w:eastAsia="Arial" w:hAnsi="Arial"/>
          <w:sz w:val="16"/>
          <w:szCs w:val="16"/>
          <w:color w:val="auto"/>
        </w:rPr>
        <w:t>Pursuant to the terms of the NEO’s restricted stock grant agreements, upon termination for “good reason” following a “change of control,” all of the unvested restricted stock held by such NEOs would immediately vest.</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MS. WHITTEMORE RETIREMENT</w:t>
      </w:r>
    </w:p>
    <w:p>
      <w:pPr>
        <w:spacing w:after="0" w:line="19" w:lineRule="exact"/>
        <w:rPr>
          <w:sz w:val="20"/>
          <w:szCs w:val="20"/>
          <w:color w:val="auto"/>
        </w:rPr>
      </w:pPr>
    </w:p>
    <w:p>
      <w:pPr>
        <w:ind w:left="160" w:right="100"/>
        <w:spacing w:after="0" w:line="247" w:lineRule="auto"/>
        <w:rPr>
          <w:sz w:val="20"/>
          <w:szCs w:val="20"/>
          <w:color w:val="auto"/>
        </w:rPr>
      </w:pPr>
      <w:r>
        <w:rPr>
          <w:rFonts w:ascii="Arial" w:cs="Arial" w:eastAsia="Arial" w:hAnsi="Arial"/>
          <w:sz w:val="16"/>
          <w:szCs w:val="16"/>
          <w:color w:val="auto"/>
        </w:rPr>
        <w:t>On September 26, 2024, Ms. Whittemore notified the Company of her retirement, which was effective as of January 31, 2025. On January 7, 2025, prior to Ms. Whittemore’s retirement date, the Compensation Committee granted Ms. Whittemore her 2025 long term incentive award in accordance with her employment contract, which consisted of 19,104 shares of restricted stock totaling $1.58 million, of which 45% of the award time vest ratably over three years and the remaining 55% of the award vests based on achievement of pre-established financial performance goals for the trailing one-, two-, and three-year periods ended December 31, 2025, 2026 and 2027, respectively, and if met, one-third of the shares will vest on each of February 28, 2026, 2027 and 2028.</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 connection with her retirement from the Company on such date, Ms. Whittemore received the following payments and benefits pursuant to the</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Retirement Plan:</w:t>
      </w:r>
    </w:p>
    <w:p>
      <w:pPr>
        <w:spacing w:after="0" w:line="27" w:lineRule="exact"/>
        <w:rPr>
          <w:sz w:val="20"/>
          <w:szCs w:val="20"/>
          <w:color w:val="auto"/>
        </w:rPr>
      </w:pPr>
    </w:p>
    <w:p>
      <w:pPr>
        <w:ind w:left="800" w:hanging="205"/>
        <w:spacing w:after="0" w:line="256" w:lineRule="auto"/>
        <w:tabs>
          <w:tab w:leader="none" w:pos="8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All of Ms. Whittemore’s outstanding equity awards held as of the date of such retirement (i.e., 43,873 shares of restricted stock as of January 31, 2025) will remain outstanding and continue to vest in accordance with the terms of the applicable award agreement as if she were still employed by the Company (with an estimated acceleration value of such equity awards equal to an aggregate of $3,810,370, plus accrued dividends of $32,805); and</w:t>
      </w:r>
    </w:p>
    <w:p>
      <w:pPr>
        <w:spacing w:after="0" w:line="4" w:lineRule="exact"/>
        <w:rPr>
          <w:rFonts w:ascii="Arial" w:cs="Arial" w:eastAsia="Arial" w:hAnsi="Arial"/>
          <w:sz w:val="16"/>
          <w:szCs w:val="16"/>
          <w:color w:val="auto"/>
        </w:rPr>
      </w:pPr>
    </w:p>
    <w:p>
      <w:pPr>
        <w:ind w:left="800" w:right="900" w:hanging="205"/>
        <w:spacing w:after="0" w:line="279" w:lineRule="auto"/>
        <w:tabs>
          <w:tab w:leader="none" w:pos="8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Continued health benefits through February 28, 2028 (the end of the Restricted Period as defined in the Retirement Plan) (valued at approximately $53,675).</w:t>
      </w:r>
    </w:p>
    <w:p>
      <w:pPr>
        <w:spacing w:after="0" w:line="161" w:lineRule="exact"/>
        <w:rPr>
          <w:sz w:val="20"/>
          <w:szCs w:val="20"/>
          <w:color w:val="auto"/>
        </w:rPr>
      </w:pPr>
    </w:p>
    <w:p>
      <w:pPr>
        <w:ind w:left="160"/>
        <w:spacing w:after="0" w:line="253" w:lineRule="auto"/>
        <w:rPr>
          <w:sz w:val="20"/>
          <w:szCs w:val="20"/>
          <w:color w:val="auto"/>
        </w:rPr>
      </w:pPr>
      <w:r>
        <w:rPr>
          <w:rFonts w:ascii="Arial" w:cs="Arial" w:eastAsia="Arial" w:hAnsi="Arial"/>
          <w:sz w:val="16"/>
          <w:szCs w:val="16"/>
          <w:color w:val="auto"/>
        </w:rPr>
        <w:t>Such payments and benefits are conditioned upon Ms. Whittemore executing and not revoking a release of claims and her continued compliance with the restrictive covenants that she is bound in respect of the Company and its affiliates. In addition, pursuant to the terms of the Retirement Plan, the Company entered into a post-employment consulting agreement with Ms. Whittemore, for no additional consideration (except for the foregoing retirement payments and benefits), to assist in facilitating the successful transition of her responsibilities, for a period of no more than 18 months, unless the Company no longer requires such services.</w:t>
      </w:r>
    </w:p>
    <w:p>
      <w:pPr>
        <w:spacing w:after="0" w:line="180"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color w:val="351B3D"/>
        </w:rPr>
        <w:t xml:space="preserve">PAYMENTS MADE UPON TERMINATION. </w:t>
      </w:r>
      <w:r>
        <w:rPr>
          <w:rFonts w:ascii="Arial" w:cs="Arial" w:eastAsia="Arial" w:hAnsi="Arial"/>
          <w:sz w:val="16"/>
          <w:szCs w:val="16"/>
          <w:color w:val="000000"/>
        </w:rPr>
        <w:t>The tables below provide information regarding potential payments to our NEOs as of December 31, 2024, in</w:t>
      </w:r>
      <w:r>
        <w:rPr>
          <w:rFonts w:ascii="Arial" w:cs="Arial" w:eastAsia="Arial" w:hAnsi="Arial"/>
          <w:sz w:val="16"/>
          <w:szCs w:val="16"/>
          <w:color w:val="351B3D"/>
        </w:rPr>
        <w:t xml:space="preserve"> </w:t>
      </w:r>
      <w:r>
        <w:rPr>
          <w:rFonts w:ascii="Arial" w:cs="Arial" w:eastAsia="Arial" w:hAnsi="Arial"/>
          <w:sz w:val="16"/>
          <w:szCs w:val="16"/>
          <w:color w:val="000000"/>
        </w:rPr>
        <w:t>connection with certain termination or change of control events, based on the NEO’s compensation as of such date and, if applicable, the Company’s closing stock price on that date. Ms. Whittemore is not included in the tables below, as the payments and benefits she received in connection with her retirement from the Company, effective as of January 31, 2025, are set forth in the section titled “Ms. Whittemore Retirement.”</w:t>
      </w:r>
    </w:p>
    <w:p>
      <w:pPr>
        <w:spacing w:after="0" w:line="178" w:lineRule="exact"/>
        <w:rPr>
          <w:sz w:val="20"/>
          <w:szCs w:val="20"/>
          <w:color w:val="auto"/>
        </w:rPr>
      </w:pPr>
    </w:p>
    <w:p>
      <w:pPr>
        <w:ind w:left="160" w:right="60"/>
        <w:spacing w:after="0" w:line="250" w:lineRule="auto"/>
        <w:rPr>
          <w:sz w:val="20"/>
          <w:szCs w:val="20"/>
          <w:color w:val="auto"/>
        </w:rPr>
      </w:pPr>
      <w:r>
        <w:rPr>
          <w:rFonts w:ascii="Arial" w:cs="Arial" w:eastAsia="Arial" w:hAnsi="Arial"/>
          <w:sz w:val="16"/>
          <w:szCs w:val="16"/>
          <w:color w:val="auto"/>
        </w:rPr>
        <w:t>These benefits are in addition to benefits available prior to the occurrence of any termination of employment, including benefits generally available to all salaried employees, such as distributions under the Company’s 401(k) plan. In addition, in connection with any actual termination of employment, the Compensation Committee may determine to enter into an agreement or to establish an arrangement providing additional benefits or amounts, or altering the terms of benefits described below, as the Compensation Committee determines appropriate. The actual amounts that would be paid upon an NEO’s termination of employment can only be determined at the time of such executive’s separation from the Company.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and the Company’s stock price.</w:t>
      </w:r>
    </w:p>
    <w:p>
      <w:pPr>
        <w:spacing w:after="0" w:line="112" w:lineRule="exact"/>
        <w:rPr>
          <w:sz w:val="20"/>
          <w:szCs w:val="20"/>
          <w:color w:val="auto"/>
        </w:rPr>
      </w:pPr>
    </w:p>
    <w:p>
      <w:pPr>
        <w:ind w:left="160"/>
        <w:spacing w:after="0"/>
        <w:rPr>
          <w:sz w:val="20"/>
          <w:szCs w:val="20"/>
          <w:color w:val="auto"/>
        </w:rPr>
      </w:pPr>
      <w:r>
        <w:rPr>
          <w:rFonts w:ascii="Arial" w:cs="Arial" w:eastAsia="Arial" w:hAnsi="Arial"/>
          <w:sz w:val="12"/>
          <w:szCs w:val="12"/>
          <w:color w:val="351B3D"/>
        </w:rPr>
        <w:t>60</w:t>
      </w:r>
    </w:p>
    <w:p>
      <w:pPr>
        <w:sectPr>
          <w:pgSz w:w="11900" w:h="16838" w:orient="portrait"/>
          <w:cols w:equalWidth="0" w:num="1">
            <w:col w:w="11040"/>
          </w:cols>
          <w:pgMar w:left="320" w:top="478" w:right="5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0" w:right="280"/>
        <w:spacing w:after="0" w:line="262" w:lineRule="auto"/>
        <w:rPr>
          <w:sz w:val="20"/>
          <w:szCs w:val="20"/>
          <w:color w:val="auto"/>
        </w:rPr>
      </w:pPr>
      <w:r>
        <w:rPr>
          <w:rFonts w:ascii="Arial" w:cs="Arial" w:eastAsia="Arial" w:hAnsi="Arial"/>
          <w:sz w:val="16"/>
          <w:szCs w:val="16"/>
          <w:color w:val="auto"/>
        </w:rPr>
        <w:t>On January 7, 2025, the Compensation Committee granted Ms. Whittemore’s 2025 long-term incentive award in accordance with her employment contract. Ms. Whittemore received a grant totaling $1.58 million, of which 45% of the award vests ratably over three years and 55% of the award vests ratably over three years if certain fair share performance conditions are met.</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163830</wp:posOffset>
            </wp:positionV>
            <wp:extent cx="6929755" cy="14693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29755" cy="1469390"/>
                    </a:xfrm>
                    <a:prstGeom prst="rect">
                      <a:avLst/>
                    </a:prstGeom>
                    <a:noFill/>
                  </pic:spPr>
                </pic:pic>
              </a:graphicData>
            </a:graphic>
          </wp:anchor>
        </w:drawing>
      </w:r>
    </w:p>
    <w:p>
      <w:pPr>
        <w:spacing w:after="0" w:line="238"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180" w:type="dxa"/>
            <w:vAlign w:val="bottom"/>
            <w:shd w:val="clear" w:color="auto" w:fill="351B3D"/>
          </w:tcPr>
          <w:p>
            <w:pPr>
              <w:spacing w:after="0"/>
              <w:rPr>
                <w:sz w:val="15"/>
                <w:szCs w:val="15"/>
                <w:color w:val="auto"/>
              </w:rPr>
            </w:pPr>
          </w:p>
        </w:tc>
        <w:tc>
          <w:tcPr>
            <w:tcW w:w="2060" w:type="dxa"/>
            <w:vAlign w:val="bottom"/>
            <w:shd w:val="clear" w:color="auto" w:fill="351B3D"/>
          </w:tcPr>
          <w:p>
            <w:pPr>
              <w:jc w:val="center"/>
              <w:spacing w:after="0"/>
              <w:rPr>
                <w:sz w:val="20"/>
                <w:szCs w:val="20"/>
                <w:color w:val="auto"/>
              </w:rPr>
            </w:pPr>
            <w:r>
              <w:rPr>
                <w:rFonts w:ascii="Arial" w:cs="Arial" w:eastAsia="Arial" w:hAnsi="Arial"/>
                <w:sz w:val="11"/>
                <w:szCs w:val="11"/>
                <w:color w:val="FFFFFF"/>
                <w:w w:val="97"/>
              </w:rPr>
              <w:t>TERMINATION UPON</w:t>
            </w:r>
          </w:p>
        </w:tc>
        <w:tc>
          <w:tcPr>
            <w:tcW w:w="2080" w:type="dxa"/>
            <w:vAlign w:val="bottom"/>
            <w:shd w:val="clear" w:color="auto" w:fill="351B3D"/>
          </w:tcPr>
          <w:p>
            <w:pPr>
              <w:jc w:val="center"/>
              <w:ind w:right="35"/>
              <w:spacing w:after="0"/>
              <w:rPr>
                <w:sz w:val="20"/>
                <w:szCs w:val="20"/>
                <w:color w:val="auto"/>
              </w:rPr>
            </w:pPr>
            <w:r>
              <w:rPr>
                <w:rFonts w:ascii="Arial" w:cs="Arial" w:eastAsia="Arial" w:hAnsi="Arial"/>
                <w:sz w:val="11"/>
                <w:szCs w:val="11"/>
                <w:color w:val="FFFFFF"/>
                <w:w w:val="96"/>
              </w:rPr>
              <w:t>TERMINATION WITHOUT</w:t>
            </w:r>
          </w:p>
        </w:tc>
        <w:tc>
          <w:tcPr>
            <w:tcW w:w="2440" w:type="dxa"/>
            <w:vAlign w:val="bottom"/>
            <w:shd w:val="clear" w:color="auto" w:fill="351B3D"/>
          </w:tcPr>
          <w:p>
            <w:pPr>
              <w:jc w:val="center"/>
              <w:spacing w:after="0"/>
              <w:rPr>
                <w:sz w:val="20"/>
                <w:szCs w:val="20"/>
                <w:color w:val="auto"/>
              </w:rPr>
            </w:pPr>
            <w:r>
              <w:rPr>
                <w:rFonts w:ascii="Arial" w:cs="Arial" w:eastAsia="Arial" w:hAnsi="Arial"/>
                <w:sz w:val="11"/>
                <w:szCs w:val="11"/>
                <w:color w:val="FFFFFF"/>
                <w:w w:val="96"/>
              </w:rPr>
              <w:t>TERMINATION BY EMPLOYEE</w:t>
            </w:r>
          </w:p>
        </w:tc>
        <w:tc>
          <w:tcPr>
            <w:tcW w:w="2160" w:type="dxa"/>
            <w:vAlign w:val="bottom"/>
            <w:shd w:val="clear" w:color="auto" w:fill="351B3D"/>
          </w:tcPr>
          <w:p>
            <w:pPr>
              <w:spacing w:after="0"/>
              <w:rPr>
                <w:sz w:val="15"/>
                <w:szCs w:val="15"/>
                <w:color w:val="auto"/>
              </w:rPr>
            </w:pPr>
          </w:p>
        </w:tc>
      </w:tr>
      <w:tr>
        <w:trPr>
          <w:trHeight w:val="120"/>
        </w:trPr>
        <w:tc>
          <w:tcPr>
            <w:tcW w:w="2180" w:type="dxa"/>
            <w:vAlign w:val="bottom"/>
            <w:shd w:val="clear" w:color="auto" w:fill="351B3D"/>
          </w:tcPr>
          <w:p>
            <w:pPr>
              <w:spacing w:after="0"/>
              <w:rPr>
                <w:sz w:val="10"/>
                <w:szCs w:val="10"/>
                <w:color w:val="auto"/>
              </w:rPr>
            </w:pPr>
          </w:p>
        </w:tc>
        <w:tc>
          <w:tcPr>
            <w:tcW w:w="2060" w:type="dxa"/>
            <w:vAlign w:val="bottom"/>
            <w:shd w:val="clear" w:color="auto" w:fill="351B3D"/>
          </w:tcPr>
          <w:p>
            <w:pPr>
              <w:jc w:val="center"/>
              <w:spacing w:after="0" w:line="121" w:lineRule="exact"/>
              <w:rPr>
                <w:sz w:val="20"/>
                <w:szCs w:val="20"/>
                <w:color w:val="auto"/>
              </w:rPr>
            </w:pPr>
            <w:r>
              <w:rPr>
                <w:rFonts w:ascii="Arial" w:cs="Arial" w:eastAsia="Arial" w:hAnsi="Arial"/>
                <w:sz w:val="11"/>
                <w:szCs w:val="11"/>
                <w:color w:val="FFFFFF"/>
                <w:w w:val="96"/>
              </w:rPr>
              <w:t>DEATH OR COMPLETE</w:t>
            </w:r>
          </w:p>
        </w:tc>
        <w:tc>
          <w:tcPr>
            <w:tcW w:w="2080" w:type="dxa"/>
            <w:vAlign w:val="bottom"/>
            <w:shd w:val="clear" w:color="auto" w:fill="351B3D"/>
          </w:tcPr>
          <w:p>
            <w:pPr>
              <w:jc w:val="center"/>
              <w:ind w:right="35"/>
              <w:spacing w:after="0" w:line="121" w:lineRule="exact"/>
              <w:rPr>
                <w:sz w:val="20"/>
                <w:szCs w:val="20"/>
                <w:color w:val="auto"/>
              </w:rPr>
            </w:pPr>
            <w:r>
              <w:rPr>
                <w:rFonts w:ascii="Arial" w:cs="Arial" w:eastAsia="Arial" w:hAnsi="Arial"/>
                <w:sz w:val="11"/>
                <w:szCs w:val="11"/>
                <w:color w:val="FFFFFF"/>
                <w:w w:val="97"/>
              </w:rPr>
              <w:t>CAUSE OR UPON</w:t>
            </w:r>
          </w:p>
        </w:tc>
        <w:tc>
          <w:tcPr>
            <w:tcW w:w="2440" w:type="dxa"/>
            <w:vAlign w:val="bottom"/>
            <w:shd w:val="clear" w:color="auto" w:fill="351B3D"/>
          </w:tcPr>
          <w:p>
            <w:pPr>
              <w:jc w:val="center"/>
              <w:spacing w:after="0" w:line="121" w:lineRule="exact"/>
              <w:rPr>
                <w:sz w:val="20"/>
                <w:szCs w:val="20"/>
                <w:color w:val="auto"/>
              </w:rPr>
            </w:pPr>
            <w:r>
              <w:rPr>
                <w:rFonts w:ascii="Arial" w:cs="Arial" w:eastAsia="Arial" w:hAnsi="Arial"/>
                <w:sz w:val="11"/>
                <w:szCs w:val="11"/>
                <w:color w:val="FFFFFF"/>
                <w:w w:val="95"/>
              </w:rPr>
              <w:t>FOR GOOD REASON AFTER</w:t>
            </w:r>
          </w:p>
        </w:tc>
        <w:tc>
          <w:tcPr>
            <w:tcW w:w="2160" w:type="dxa"/>
            <w:vAlign w:val="bottom"/>
            <w:shd w:val="clear" w:color="auto" w:fill="351B3D"/>
          </w:tcPr>
          <w:p>
            <w:pPr>
              <w:jc w:val="center"/>
              <w:ind w:left="14"/>
              <w:spacing w:after="0" w:line="121" w:lineRule="exact"/>
              <w:rPr>
                <w:sz w:val="20"/>
                <w:szCs w:val="20"/>
                <w:color w:val="auto"/>
              </w:rPr>
            </w:pPr>
            <w:r>
              <w:rPr>
                <w:rFonts w:ascii="Arial" w:cs="Arial" w:eastAsia="Arial" w:hAnsi="Arial"/>
                <w:sz w:val="11"/>
                <w:szCs w:val="11"/>
                <w:color w:val="FFFFFF"/>
                <w:w w:val="97"/>
              </w:rPr>
              <w:t>RETIREMENT PURSUANT</w:t>
            </w:r>
          </w:p>
        </w:tc>
      </w:tr>
      <w:tr>
        <w:trPr>
          <w:trHeight w:val="194"/>
        </w:trPr>
        <w:tc>
          <w:tcPr>
            <w:tcW w:w="2180" w:type="dxa"/>
            <w:vAlign w:val="bottom"/>
            <w:tcBorders>
              <w:bottom w:val="single" w:sz="8" w:color="351B3D"/>
            </w:tcBorders>
            <w:shd w:val="clear" w:color="auto" w:fill="351B3D"/>
          </w:tcPr>
          <w:p>
            <w:pPr>
              <w:spacing w:after="0"/>
              <w:rPr>
                <w:sz w:val="16"/>
                <w:szCs w:val="16"/>
                <w:color w:val="auto"/>
              </w:rPr>
            </w:pPr>
          </w:p>
        </w:tc>
        <w:tc>
          <w:tcPr>
            <w:tcW w:w="2060" w:type="dxa"/>
            <w:vAlign w:val="bottom"/>
            <w:tcBorders>
              <w:bottom w:val="single" w:sz="8" w:color="351B3D"/>
            </w:tcBorders>
            <w:shd w:val="clear" w:color="auto" w:fill="351B3D"/>
          </w:tcPr>
          <w:p>
            <w:pPr>
              <w:jc w:val="center"/>
              <w:spacing w:after="0"/>
              <w:rPr>
                <w:sz w:val="20"/>
                <w:szCs w:val="20"/>
                <w:color w:val="auto"/>
              </w:rPr>
            </w:pPr>
            <w:r>
              <w:rPr>
                <w:rFonts w:ascii="Arial" w:cs="Arial" w:eastAsia="Arial" w:hAnsi="Arial"/>
                <w:sz w:val="11"/>
                <w:szCs w:val="11"/>
                <w:color w:val="FFFFFF"/>
                <w:w w:val="97"/>
              </w:rPr>
              <w:t>DISABILITY</w:t>
            </w:r>
          </w:p>
        </w:tc>
        <w:tc>
          <w:tcPr>
            <w:tcW w:w="2080" w:type="dxa"/>
            <w:vAlign w:val="bottom"/>
            <w:tcBorders>
              <w:bottom w:val="single" w:sz="8" w:color="351B3D"/>
            </w:tcBorders>
            <w:shd w:val="clear" w:color="auto" w:fill="351B3D"/>
          </w:tcPr>
          <w:p>
            <w:pPr>
              <w:jc w:val="center"/>
              <w:ind w:right="15"/>
              <w:spacing w:after="0"/>
              <w:rPr>
                <w:sz w:val="20"/>
                <w:szCs w:val="20"/>
                <w:color w:val="auto"/>
              </w:rPr>
            </w:pPr>
            <w:r>
              <w:rPr>
                <w:rFonts w:ascii="Arial" w:cs="Arial" w:eastAsia="Arial" w:hAnsi="Arial"/>
                <w:sz w:val="11"/>
                <w:szCs w:val="11"/>
                <w:color w:val="FFFFFF"/>
                <w:w w:val="96"/>
              </w:rPr>
              <w:t>MATERIAL BREACH</w:t>
            </w:r>
          </w:p>
        </w:tc>
        <w:tc>
          <w:tcPr>
            <w:tcW w:w="2440" w:type="dxa"/>
            <w:vAlign w:val="bottom"/>
            <w:tcBorders>
              <w:bottom w:val="single" w:sz="8" w:color="351B3D"/>
            </w:tcBorders>
            <w:shd w:val="clear" w:color="auto" w:fill="351B3D"/>
          </w:tcPr>
          <w:p>
            <w:pPr>
              <w:jc w:val="center"/>
              <w:spacing w:after="0"/>
              <w:rPr>
                <w:sz w:val="20"/>
                <w:szCs w:val="20"/>
                <w:color w:val="auto"/>
              </w:rPr>
            </w:pPr>
            <w:r>
              <w:rPr>
                <w:rFonts w:ascii="Arial" w:cs="Arial" w:eastAsia="Arial" w:hAnsi="Arial"/>
                <w:sz w:val="11"/>
                <w:szCs w:val="11"/>
                <w:color w:val="FFFFFF"/>
                <w:w w:val="96"/>
              </w:rPr>
              <w:t>CHANGE IN CONTROL</w:t>
            </w:r>
          </w:p>
        </w:tc>
        <w:tc>
          <w:tcPr>
            <w:tcW w:w="2160" w:type="dxa"/>
            <w:vAlign w:val="bottom"/>
            <w:tcBorders>
              <w:bottom w:val="single" w:sz="8" w:color="351B3D"/>
            </w:tcBorders>
            <w:shd w:val="clear" w:color="auto" w:fill="351B3D"/>
          </w:tcPr>
          <w:p>
            <w:pPr>
              <w:jc w:val="center"/>
              <w:ind w:left="34"/>
              <w:spacing w:after="0"/>
              <w:rPr>
                <w:sz w:val="20"/>
                <w:szCs w:val="20"/>
                <w:color w:val="auto"/>
              </w:rPr>
            </w:pPr>
            <w:r>
              <w:rPr>
                <w:rFonts w:ascii="Arial" w:cs="Arial" w:eastAsia="Arial" w:hAnsi="Arial"/>
                <w:sz w:val="11"/>
                <w:szCs w:val="11"/>
                <w:color w:val="FFFFFF"/>
                <w:w w:val="96"/>
              </w:rPr>
              <w:t>TO RETIREMENT PLAN (4)</w:t>
            </w:r>
          </w:p>
        </w:tc>
      </w:tr>
      <w:tr>
        <w:trPr>
          <w:trHeight w:val="218"/>
        </w:trPr>
        <w:tc>
          <w:tcPr>
            <w:tcW w:w="2180" w:type="dxa"/>
            <w:vAlign w:val="bottom"/>
            <w:shd w:val="clear" w:color="auto" w:fill="D6D1D8"/>
          </w:tcPr>
          <w:p>
            <w:pPr>
              <w:spacing w:after="0"/>
              <w:rPr>
                <w:sz w:val="18"/>
                <w:szCs w:val="18"/>
                <w:color w:val="auto"/>
              </w:rPr>
            </w:pPr>
          </w:p>
        </w:tc>
        <w:tc>
          <w:tcPr>
            <w:tcW w:w="206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Amounts earned and</w:t>
            </w:r>
          </w:p>
        </w:tc>
        <w:tc>
          <w:tcPr>
            <w:tcW w:w="2080" w:type="dxa"/>
            <w:vAlign w:val="bottom"/>
            <w:shd w:val="clear" w:color="auto" w:fill="D6D1D8"/>
          </w:tcPr>
          <w:p>
            <w:pPr>
              <w:spacing w:after="0"/>
              <w:rPr>
                <w:sz w:val="18"/>
                <w:szCs w:val="18"/>
                <w:color w:val="auto"/>
              </w:rPr>
            </w:pPr>
          </w:p>
        </w:tc>
        <w:tc>
          <w:tcPr>
            <w:tcW w:w="2440" w:type="dxa"/>
            <w:vAlign w:val="bottom"/>
            <w:shd w:val="clear" w:color="auto" w:fill="D6D1D8"/>
          </w:tcPr>
          <w:p>
            <w:pPr>
              <w:spacing w:after="0"/>
              <w:rPr>
                <w:sz w:val="18"/>
                <w:szCs w:val="18"/>
                <w:color w:val="auto"/>
              </w:rPr>
            </w:pPr>
          </w:p>
        </w:tc>
        <w:tc>
          <w:tcPr>
            <w:tcW w:w="2160" w:type="dxa"/>
            <w:vAlign w:val="bottom"/>
            <w:shd w:val="clear" w:color="auto" w:fill="D6D1D8"/>
          </w:tcPr>
          <w:p>
            <w:pPr>
              <w:spacing w:after="0"/>
              <w:rPr>
                <w:sz w:val="18"/>
                <w:szCs w:val="18"/>
                <w:color w:val="auto"/>
              </w:rPr>
            </w:pPr>
          </w:p>
        </w:tc>
      </w:tr>
      <w:tr>
        <w:trPr>
          <w:trHeight w:val="160"/>
        </w:trPr>
        <w:tc>
          <w:tcPr>
            <w:tcW w:w="2180" w:type="dxa"/>
            <w:vAlign w:val="bottom"/>
            <w:shd w:val="clear" w:color="auto" w:fill="D6D1D8"/>
          </w:tcPr>
          <w:p>
            <w:pPr>
              <w:ind w:left="80"/>
              <w:spacing w:after="0"/>
              <w:rPr>
                <w:sz w:val="20"/>
                <w:szCs w:val="20"/>
                <w:color w:val="auto"/>
              </w:rPr>
            </w:pPr>
            <w:r>
              <w:rPr>
                <w:rFonts w:ascii="Arial" w:cs="Arial" w:eastAsia="Arial" w:hAnsi="Arial"/>
                <w:sz w:val="14"/>
                <w:szCs w:val="14"/>
                <w:color w:val="auto"/>
              </w:rPr>
              <w:t>Base Salary</w:t>
            </w:r>
          </w:p>
        </w:tc>
        <w:tc>
          <w:tcPr>
            <w:tcW w:w="206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unpaid through the</w:t>
            </w:r>
          </w:p>
        </w:tc>
        <w:tc>
          <w:tcPr>
            <w:tcW w:w="2080" w:type="dxa"/>
            <w:vAlign w:val="bottom"/>
            <w:shd w:val="clear" w:color="auto" w:fill="D6D1D8"/>
          </w:tcPr>
          <w:p>
            <w:pPr>
              <w:jc w:val="center"/>
              <w:ind w:right="15"/>
              <w:spacing w:after="0"/>
              <w:rPr>
                <w:sz w:val="20"/>
                <w:szCs w:val="20"/>
                <w:color w:val="auto"/>
              </w:rPr>
            </w:pPr>
            <w:r>
              <w:rPr>
                <w:rFonts w:ascii="Arial" w:cs="Arial" w:eastAsia="Arial" w:hAnsi="Arial"/>
                <w:sz w:val="14"/>
                <w:szCs w:val="14"/>
                <w:color w:val="auto"/>
              </w:rPr>
              <w:t>$4,832,877</w:t>
            </w:r>
          </w:p>
        </w:tc>
        <w:tc>
          <w:tcPr>
            <w:tcW w:w="244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99"/>
              </w:rPr>
              <w:t>$4,832,877</w:t>
            </w:r>
          </w:p>
        </w:tc>
        <w:tc>
          <w:tcPr>
            <w:tcW w:w="2160" w:type="dxa"/>
            <w:vAlign w:val="bottom"/>
            <w:shd w:val="clear" w:color="auto" w:fill="D6D1D8"/>
          </w:tcPr>
          <w:p>
            <w:pPr>
              <w:jc w:val="center"/>
              <w:ind w:left="14"/>
              <w:spacing w:after="0"/>
              <w:rPr>
                <w:sz w:val="20"/>
                <w:szCs w:val="20"/>
                <w:color w:val="auto"/>
              </w:rPr>
            </w:pPr>
            <w:r>
              <w:rPr>
                <w:rFonts w:ascii="Arial" w:cs="Arial" w:eastAsia="Arial" w:hAnsi="Arial"/>
                <w:sz w:val="14"/>
                <w:szCs w:val="14"/>
                <w:color w:val="auto"/>
                <w:w w:val="84"/>
              </w:rPr>
              <w:t>-</w:t>
            </w:r>
          </w:p>
        </w:tc>
      </w:tr>
      <w:tr>
        <w:trPr>
          <w:trHeight w:val="217"/>
        </w:trPr>
        <w:tc>
          <w:tcPr>
            <w:tcW w:w="2180" w:type="dxa"/>
            <w:vAlign w:val="bottom"/>
            <w:tcBorders>
              <w:bottom w:val="single" w:sz="8" w:color="D6D1D8"/>
            </w:tcBorders>
            <w:shd w:val="clear" w:color="auto" w:fill="D6D1D8"/>
          </w:tcPr>
          <w:p>
            <w:pPr>
              <w:spacing w:after="0"/>
              <w:rPr>
                <w:sz w:val="18"/>
                <w:szCs w:val="18"/>
                <w:color w:val="auto"/>
              </w:rPr>
            </w:pPr>
          </w:p>
        </w:tc>
        <w:tc>
          <w:tcPr>
            <w:tcW w:w="2060" w:type="dxa"/>
            <w:vAlign w:val="bottom"/>
            <w:tcBorders>
              <w:bottom w:val="single" w:sz="8" w:color="D6D1D8"/>
            </w:tcBorders>
            <w:shd w:val="clear" w:color="auto" w:fill="D6D1D8"/>
          </w:tcPr>
          <w:p>
            <w:pPr>
              <w:jc w:val="center"/>
              <w:spacing w:after="0"/>
              <w:rPr>
                <w:sz w:val="20"/>
                <w:szCs w:val="20"/>
                <w:color w:val="auto"/>
              </w:rPr>
            </w:pPr>
            <w:r>
              <w:rPr>
                <w:rFonts w:ascii="Arial" w:cs="Arial" w:eastAsia="Arial" w:hAnsi="Arial"/>
                <w:sz w:val="14"/>
                <w:szCs w:val="14"/>
                <w:color w:val="auto"/>
              </w:rPr>
              <w:t>date of termination</w:t>
            </w:r>
          </w:p>
        </w:tc>
        <w:tc>
          <w:tcPr>
            <w:tcW w:w="2080" w:type="dxa"/>
            <w:vAlign w:val="bottom"/>
            <w:tcBorders>
              <w:bottom w:val="single" w:sz="8" w:color="D6D1D8"/>
            </w:tcBorders>
            <w:shd w:val="clear" w:color="auto" w:fill="D6D1D8"/>
          </w:tcPr>
          <w:p>
            <w:pPr>
              <w:spacing w:after="0"/>
              <w:rPr>
                <w:sz w:val="18"/>
                <w:szCs w:val="18"/>
                <w:color w:val="auto"/>
              </w:rPr>
            </w:pPr>
          </w:p>
        </w:tc>
        <w:tc>
          <w:tcPr>
            <w:tcW w:w="2440" w:type="dxa"/>
            <w:vAlign w:val="bottom"/>
            <w:tcBorders>
              <w:bottom w:val="single" w:sz="8" w:color="D6D1D8"/>
            </w:tcBorders>
            <w:shd w:val="clear" w:color="auto" w:fill="D6D1D8"/>
          </w:tcPr>
          <w:p>
            <w:pPr>
              <w:spacing w:after="0"/>
              <w:rPr>
                <w:sz w:val="18"/>
                <w:szCs w:val="18"/>
                <w:color w:val="auto"/>
              </w:rPr>
            </w:pPr>
          </w:p>
        </w:tc>
        <w:tc>
          <w:tcPr>
            <w:tcW w:w="2160" w:type="dxa"/>
            <w:vAlign w:val="bottom"/>
            <w:tcBorders>
              <w:bottom w:val="single" w:sz="8" w:color="D6D1D8"/>
            </w:tcBorders>
            <w:shd w:val="clear" w:color="auto" w:fill="D6D1D8"/>
          </w:tcPr>
          <w:p>
            <w:pPr>
              <w:spacing w:after="0"/>
              <w:rPr>
                <w:sz w:val="18"/>
                <w:szCs w:val="18"/>
                <w:color w:val="auto"/>
              </w:rPr>
            </w:pPr>
          </w:p>
        </w:tc>
      </w:tr>
      <w:tr>
        <w:trPr>
          <w:trHeight w:val="247"/>
        </w:trPr>
        <w:tc>
          <w:tcPr>
            <w:tcW w:w="2180" w:type="dxa"/>
            <w:vAlign w:val="bottom"/>
          </w:tcPr>
          <w:p>
            <w:pPr>
              <w:ind w:left="80"/>
              <w:spacing w:after="0"/>
              <w:rPr>
                <w:sz w:val="20"/>
                <w:szCs w:val="20"/>
                <w:color w:val="auto"/>
              </w:rPr>
            </w:pPr>
            <w:r>
              <w:rPr>
                <w:rFonts w:ascii="Arial" w:cs="Arial" w:eastAsia="Arial" w:hAnsi="Arial"/>
                <w:sz w:val="14"/>
                <w:szCs w:val="14"/>
                <w:color w:val="auto"/>
              </w:rPr>
              <w:t>Bonus</w:t>
            </w:r>
          </w:p>
        </w:tc>
        <w:tc>
          <w:tcPr>
            <w:tcW w:w="20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2080" w:type="dxa"/>
            <w:vAlign w:val="bottom"/>
          </w:tcPr>
          <w:p>
            <w:pPr>
              <w:jc w:val="center"/>
              <w:ind w:right="15"/>
              <w:spacing w:after="0"/>
              <w:rPr>
                <w:sz w:val="20"/>
                <w:szCs w:val="20"/>
                <w:color w:val="auto"/>
              </w:rPr>
            </w:pPr>
            <w:r>
              <w:rPr>
                <w:rFonts w:ascii="Arial" w:cs="Arial" w:eastAsia="Arial" w:hAnsi="Arial"/>
                <w:sz w:val="14"/>
                <w:szCs w:val="14"/>
                <w:color w:val="auto"/>
              </w:rPr>
              <w:t>$10,750,000</w:t>
            </w:r>
          </w:p>
        </w:tc>
        <w:tc>
          <w:tcPr>
            <w:tcW w:w="2440" w:type="dxa"/>
            <w:vAlign w:val="bottom"/>
          </w:tcPr>
          <w:p>
            <w:pPr>
              <w:jc w:val="center"/>
              <w:spacing w:after="0"/>
              <w:rPr>
                <w:sz w:val="20"/>
                <w:szCs w:val="20"/>
                <w:color w:val="auto"/>
              </w:rPr>
            </w:pPr>
            <w:r>
              <w:rPr>
                <w:rFonts w:ascii="Arial" w:cs="Arial" w:eastAsia="Arial" w:hAnsi="Arial"/>
                <w:sz w:val="14"/>
                <w:szCs w:val="14"/>
                <w:color w:val="auto"/>
              </w:rPr>
              <w:t>$10,750,000</w:t>
            </w:r>
          </w:p>
        </w:tc>
        <w:tc>
          <w:tcPr>
            <w:tcW w:w="2160" w:type="dxa"/>
            <w:vAlign w:val="bottom"/>
          </w:tcPr>
          <w:p>
            <w:pPr>
              <w:jc w:val="center"/>
              <w:ind w:left="14"/>
              <w:spacing w:after="0"/>
              <w:rPr>
                <w:sz w:val="20"/>
                <w:szCs w:val="20"/>
                <w:color w:val="auto"/>
              </w:rPr>
            </w:pPr>
            <w:r>
              <w:rPr>
                <w:rFonts w:ascii="Arial" w:cs="Arial" w:eastAsia="Arial" w:hAnsi="Arial"/>
                <w:sz w:val="14"/>
                <w:szCs w:val="14"/>
                <w:color w:val="auto"/>
                <w:w w:val="84"/>
              </w:rPr>
              <w:t>-</w:t>
            </w:r>
          </w:p>
        </w:tc>
      </w:tr>
      <w:tr>
        <w:trPr>
          <w:trHeight w:val="48"/>
        </w:trPr>
        <w:tc>
          <w:tcPr>
            <w:tcW w:w="218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160" w:type="dxa"/>
            <w:vAlign w:val="bottom"/>
          </w:tcPr>
          <w:p>
            <w:pPr>
              <w:spacing w:after="0"/>
              <w:rPr>
                <w:sz w:val="4"/>
                <w:szCs w:val="4"/>
                <w:color w:val="auto"/>
              </w:rPr>
            </w:pPr>
          </w:p>
        </w:tc>
      </w:tr>
      <w:tr>
        <w:trPr>
          <w:trHeight w:val="274"/>
        </w:trPr>
        <w:tc>
          <w:tcPr>
            <w:tcW w:w="2180" w:type="dxa"/>
            <w:vAlign w:val="bottom"/>
            <w:tcBorders>
              <w:bottom w:val="single" w:sz="8" w:color="D6D1D8"/>
            </w:tcBorders>
            <w:shd w:val="clear" w:color="auto" w:fill="D6D1D8"/>
          </w:tcPr>
          <w:p>
            <w:pPr>
              <w:ind w:left="80"/>
              <w:spacing w:after="0"/>
              <w:rPr>
                <w:sz w:val="20"/>
                <w:szCs w:val="20"/>
                <w:color w:val="auto"/>
              </w:rPr>
            </w:pPr>
            <w:r>
              <w:rPr>
                <w:rFonts w:ascii="Arial" w:cs="Arial" w:eastAsia="Arial" w:hAnsi="Arial"/>
                <w:sz w:val="14"/>
                <w:szCs w:val="14"/>
                <w:color w:val="auto"/>
                <w:highlight w:val="lightGray"/>
              </w:rPr>
              <w:t>Outstanding Equity Awards (1)(2)</w:t>
            </w:r>
          </w:p>
        </w:tc>
        <w:tc>
          <w:tcPr>
            <w:tcW w:w="2060" w:type="dxa"/>
            <w:vAlign w:val="bottom"/>
            <w:tcBorders>
              <w:bottom w:val="single" w:sz="8" w:color="D6D1D8"/>
            </w:tcBorders>
            <w:shd w:val="clear" w:color="auto" w:fill="D6D1D8"/>
          </w:tcPr>
          <w:p>
            <w:pPr>
              <w:jc w:val="center"/>
              <w:spacing w:after="0"/>
              <w:rPr>
                <w:sz w:val="20"/>
                <w:szCs w:val="20"/>
                <w:color w:val="auto"/>
              </w:rPr>
            </w:pPr>
            <w:r>
              <w:rPr>
                <w:rFonts w:ascii="Arial" w:cs="Arial" w:eastAsia="Arial" w:hAnsi="Arial"/>
                <w:sz w:val="14"/>
                <w:szCs w:val="14"/>
                <w:color w:val="auto"/>
              </w:rPr>
              <w:t>$15,266,399</w:t>
            </w:r>
          </w:p>
        </w:tc>
        <w:tc>
          <w:tcPr>
            <w:tcW w:w="2080" w:type="dxa"/>
            <w:vAlign w:val="bottom"/>
            <w:tcBorders>
              <w:bottom w:val="single" w:sz="8" w:color="D6D1D8"/>
            </w:tcBorders>
            <w:shd w:val="clear" w:color="auto" w:fill="D6D1D8"/>
          </w:tcPr>
          <w:p>
            <w:pPr>
              <w:jc w:val="center"/>
              <w:ind w:right="15"/>
              <w:spacing w:after="0"/>
              <w:rPr>
                <w:sz w:val="20"/>
                <w:szCs w:val="20"/>
                <w:color w:val="auto"/>
              </w:rPr>
            </w:pPr>
            <w:r>
              <w:rPr>
                <w:rFonts w:ascii="Arial" w:cs="Arial" w:eastAsia="Arial" w:hAnsi="Arial"/>
                <w:sz w:val="14"/>
                <w:szCs w:val="14"/>
                <w:color w:val="auto"/>
              </w:rPr>
              <w:t>$7,167,940</w:t>
            </w:r>
          </w:p>
        </w:tc>
        <w:tc>
          <w:tcPr>
            <w:tcW w:w="2440" w:type="dxa"/>
            <w:vAlign w:val="bottom"/>
            <w:tcBorders>
              <w:bottom w:val="single" w:sz="8" w:color="D6D1D8"/>
            </w:tcBorders>
            <w:shd w:val="clear" w:color="auto" w:fill="D6D1D8"/>
          </w:tcPr>
          <w:p>
            <w:pPr>
              <w:jc w:val="center"/>
              <w:spacing w:after="0"/>
              <w:rPr>
                <w:sz w:val="20"/>
                <w:szCs w:val="20"/>
                <w:color w:val="auto"/>
              </w:rPr>
            </w:pPr>
            <w:r>
              <w:rPr>
                <w:rFonts w:ascii="Arial" w:cs="Arial" w:eastAsia="Arial" w:hAnsi="Arial"/>
                <w:sz w:val="14"/>
                <w:szCs w:val="14"/>
                <w:color w:val="auto"/>
              </w:rPr>
              <w:t>$15,266,399</w:t>
            </w:r>
          </w:p>
        </w:tc>
        <w:tc>
          <w:tcPr>
            <w:tcW w:w="2160" w:type="dxa"/>
            <w:vAlign w:val="bottom"/>
            <w:tcBorders>
              <w:bottom w:val="single" w:sz="8" w:color="D6D1D8"/>
            </w:tcBorders>
            <w:shd w:val="clear" w:color="auto" w:fill="D6D1D8"/>
          </w:tcPr>
          <w:p>
            <w:pPr>
              <w:jc w:val="center"/>
              <w:ind w:left="14"/>
              <w:spacing w:after="0"/>
              <w:rPr>
                <w:sz w:val="20"/>
                <w:szCs w:val="20"/>
                <w:color w:val="auto"/>
              </w:rPr>
            </w:pPr>
            <w:r>
              <w:rPr>
                <w:rFonts w:ascii="Arial" w:cs="Arial" w:eastAsia="Arial" w:hAnsi="Arial"/>
                <w:sz w:val="14"/>
                <w:szCs w:val="14"/>
                <w:color w:val="auto"/>
                <w:w w:val="84"/>
              </w:rPr>
              <w:t>-</w:t>
            </w:r>
          </w:p>
        </w:tc>
      </w:tr>
      <w:tr>
        <w:trPr>
          <w:trHeight w:val="247"/>
        </w:trPr>
        <w:tc>
          <w:tcPr>
            <w:tcW w:w="2180" w:type="dxa"/>
            <w:vAlign w:val="bottom"/>
          </w:tcPr>
          <w:p>
            <w:pPr>
              <w:ind w:left="80"/>
              <w:spacing w:after="0"/>
              <w:rPr>
                <w:sz w:val="20"/>
                <w:szCs w:val="20"/>
                <w:color w:val="auto"/>
              </w:rPr>
            </w:pPr>
            <w:r>
              <w:rPr>
                <w:rFonts w:ascii="Arial" w:cs="Arial" w:eastAsia="Arial" w:hAnsi="Arial"/>
                <w:sz w:val="14"/>
                <w:szCs w:val="14"/>
                <w:color w:val="auto"/>
              </w:rPr>
              <w:t>Company-Paid Life Insurance</w:t>
            </w:r>
          </w:p>
        </w:tc>
        <w:tc>
          <w:tcPr>
            <w:tcW w:w="2060" w:type="dxa"/>
            <w:vAlign w:val="bottom"/>
          </w:tcPr>
          <w:p>
            <w:pPr>
              <w:jc w:val="center"/>
              <w:spacing w:after="0"/>
              <w:rPr>
                <w:sz w:val="20"/>
                <w:szCs w:val="20"/>
                <w:color w:val="auto"/>
              </w:rPr>
            </w:pPr>
            <w:r>
              <w:rPr>
                <w:rFonts w:ascii="Arial" w:cs="Arial" w:eastAsia="Arial" w:hAnsi="Arial"/>
                <w:sz w:val="14"/>
                <w:szCs w:val="14"/>
                <w:color w:val="auto"/>
              </w:rPr>
              <w:t>$2,000,000</w:t>
            </w:r>
          </w:p>
        </w:tc>
        <w:tc>
          <w:tcPr>
            <w:tcW w:w="2080" w:type="dxa"/>
            <w:vAlign w:val="bottom"/>
          </w:tcPr>
          <w:p>
            <w:pPr>
              <w:jc w:val="center"/>
              <w:ind w:right="15"/>
              <w:spacing w:after="0"/>
              <w:rPr>
                <w:sz w:val="20"/>
                <w:szCs w:val="20"/>
                <w:color w:val="auto"/>
              </w:rPr>
            </w:pPr>
            <w:r>
              <w:rPr>
                <w:rFonts w:ascii="Arial" w:cs="Arial" w:eastAsia="Arial" w:hAnsi="Arial"/>
                <w:sz w:val="14"/>
                <w:szCs w:val="14"/>
                <w:color w:val="auto"/>
                <w:w w:val="84"/>
              </w:rPr>
              <w:t>-</w:t>
            </w:r>
          </w:p>
        </w:tc>
        <w:tc>
          <w:tcPr>
            <w:tcW w:w="2440" w:type="dxa"/>
            <w:vAlign w:val="bottom"/>
          </w:tcPr>
          <w:p>
            <w:pPr>
              <w:jc w:val="center"/>
              <w:spacing w:after="0"/>
              <w:rPr>
                <w:sz w:val="20"/>
                <w:szCs w:val="20"/>
                <w:color w:val="auto"/>
              </w:rPr>
            </w:pPr>
            <w:r>
              <w:rPr>
                <w:rFonts w:ascii="Arial" w:cs="Arial" w:eastAsia="Arial" w:hAnsi="Arial"/>
                <w:sz w:val="14"/>
                <w:szCs w:val="14"/>
                <w:color w:val="auto"/>
              </w:rPr>
              <w:t>-</w:t>
            </w:r>
          </w:p>
        </w:tc>
        <w:tc>
          <w:tcPr>
            <w:tcW w:w="2160" w:type="dxa"/>
            <w:vAlign w:val="bottom"/>
          </w:tcPr>
          <w:p>
            <w:pPr>
              <w:jc w:val="center"/>
              <w:ind w:left="14"/>
              <w:spacing w:after="0"/>
              <w:rPr>
                <w:sz w:val="20"/>
                <w:szCs w:val="20"/>
                <w:color w:val="auto"/>
              </w:rPr>
            </w:pPr>
            <w:r>
              <w:rPr>
                <w:rFonts w:ascii="Arial" w:cs="Arial" w:eastAsia="Arial" w:hAnsi="Arial"/>
                <w:sz w:val="14"/>
                <w:szCs w:val="14"/>
                <w:color w:val="auto"/>
                <w:w w:val="84"/>
              </w:rPr>
              <w:t>-</w:t>
            </w:r>
          </w:p>
        </w:tc>
      </w:tr>
      <w:tr>
        <w:trPr>
          <w:trHeight w:val="48"/>
        </w:trPr>
        <w:tc>
          <w:tcPr>
            <w:tcW w:w="218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160" w:type="dxa"/>
            <w:vAlign w:val="bottom"/>
          </w:tcPr>
          <w:p>
            <w:pPr>
              <w:spacing w:after="0"/>
              <w:rPr>
                <w:sz w:val="4"/>
                <w:szCs w:val="4"/>
                <w:color w:val="auto"/>
              </w:rPr>
            </w:pPr>
          </w:p>
        </w:tc>
      </w:tr>
      <w:tr>
        <w:trPr>
          <w:trHeight w:val="247"/>
        </w:trPr>
        <w:tc>
          <w:tcPr>
            <w:tcW w:w="2180" w:type="dxa"/>
            <w:vAlign w:val="bottom"/>
            <w:shd w:val="clear" w:color="auto" w:fill="D6D1D8"/>
          </w:tcPr>
          <w:p>
            <w:pPr>
              <w:ind w:left="80"/>
              <w:spacing w:after="0"/>
              <w:rPr>
                <w:sz w:val="20"/>
                <w:szCs w:val="20"/>
                <w:color w:val="auto"/>
              </w:rPr>
            </w:pPr>
            <w:r>
              <w:rPr>
                <w:rFonts w:ascii="Arial" w:cs="Arial" w:eastAsia="Arial" w:hAnsi="Arial"/>
                <w:sz w:val="14"/>
                <w:szCs w:val="14"/>
                <w:color w:val="auto"/>
              </w:rPr>
              <w:t>Benefits (3)</w:t>
            </w:r>
          </w:p>
        </w:tc>
        <w:tc>
          <w:tcPr>
            <w:tcW w:w="206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2080" w:type="dxa"/>
            <w:vAlign w:val="bottom"/>
            <w:shd w:val="clear" w:color="auto" w:fill="D6D1D8"/>
          </w:tcPr>
          <w:p>
            <w:pPr>
              <w:jc w:val="center"/>
              <w:ind w:right="15"/>
              <w:spacing w:after="0"/>
              <w:rPr>
                <w:sz w:val="20"/>
                <w:szCs w:val="20"/>
                <w:color w:val="auto"/>
              </w:rPr>
            </w:pPr>
            <w:r>
              <w:rPr>
                <w:rFonts w:ascii="Arial" w:cs="Arial" w:eastAsia="Arial" w:hAnsi="Arial"/>
                <w:sz w:val="14"/>
                <w:szCs w:val="14"/>
                <w:color w:val="auto"/>
              </w:rPr>
              <w:t>$56,644</w:t>
            </w:r>
          </w:p>
        </w:tc>
        <w:tc>
          <w:tcPr>
            <w:tcW w:w="244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98"/>
              </w:rPr>
              <w:t>$56,644</w:t>
            </w:r>
          </w:p>
        </w:tc>
        <w:tc>
          <w:tcPr>
            <w:tcW w:w="2160" w:type="dxa"/>
            <w:vAlign w:val="bottom"/>
            <w:shd w:val="clear" w:color="auto" w:fill="D6D1D8"/>
          </w:tcPr>
          <w:p>
            <w:pPr>
              <w:jc w:val="center"/>
              <w:ind w:left="14"/>
              <w:spacing w:after="0"/>
              <w:rPr>
                <w:sz w:val="20"/>
                <w:szCs w:val="20"/>
                <w:color w:val="auto"/>
              </w:rPr>
            </w:pPr>
            <w:r>
              <w:rPr>
                <w:rFonts w:ascii="Arial" w:cs="Arial" w:eastAsia="Arial" w:hAnsi="Arial"/>
                <w:sz w:val="14"/>
                <w:szCs w:val="14"/>
                <w:color w:val="auto"/>
                <w:w w:val="84"/>
              </w:rPr>
              <w:t>-</w:t>
            </w:r>
          </w:p>
        </w:tc>
      </w:tr>
      <w:tr>
        <w:trPr>
          <w:trHeight w:val="48"/>
        </w:trPr>
        <w:tc>
          <w:tcPr>
            <w:tcW w:w="2180" w:type="dxa"/>
            <w:vAlign w:val="bottom"/>
            <w:shd w:val="clear" w:color="auto" w:fill="D6D1D8"/>
          </w:tcPr>
          <w:p>
            <w:pPr>
              <w:spacing w:after="0"/>
              <w:rPr>
                <w:sz w:val="4"/>
                <w:szCs w:val="4"/>
                <w:color w:val="auto"/>
              </w:rPr>
            </w:pPr>
          </w:p>
        </w:tc>
        <w:tc>
          <w:tcPr>
            <w:tcW w:w="2060" w:type="dxa"/>
            <w:vAlign w:val="bottom"/>
            <w:shd w:val="clear" w:color="auto" w:fill="D6D1D8"/>
          </w:tcPr>
          <w:p>
            <w:pPr>
              <w:spacing w:after="0"/>
              <w:rPr>
                <w:sz w:val="4"/>
                <w:szCs w:val="4"/>
                <w:color w:val="auto"/>
              </w:rPr>
            </w:pPr>
          </w:p>
        </w:tc>
        <w:tc>
          <w:tcPr>
            <w:tcW w:w="2080" w:type="dxa"/>
            <w:vAlign w:val="bottom"/>
            <w:shd w:val="clear" w:color="auto" w:fill="D6D1D8"/>
          </w:tcPr>
          <w:p>
            <w:pPr>
              <w:spacing w:after="0"/>
              <w:rPr>
                <w:sz w:val="4"/>
                <w:szCs w:val="4"/>
                <w:color w:val="auto"/>
              </w:rPr>
            </w:pPr>
          </w:p>
        </w:tc>
        <w:tc>
          <w:tcPr>
            <w:tcW w:w="2440" w:type="dxa"/>
            <w:vAlign w:val="bottom"/>
            <w:shd w:val="clear" w:color="auto" w:fill="D6D1D8"/>
          </w:tcPr>
          <w:p>
            <w:pPr>
              <w:spacing w:after="0"/>
              <w:rPr>
                <w:sz w:val="4"/>
                <w:szCs w:val="4"/>
                <w:color w:val="auto"/>
              </w:rPr>
            </w:pPr>
          </w:p>
        </w:tc>
        <w:tc>
          <w:tcPr>
            <w:tcW w:w="2160" w:type="dxa"/>
            <w:vAlign w:val="bottom"/>
            <w:shd w:val="clear" w:color="auto" w:fill="D6D1D8"/>
          </w:tcPr>
          <w:p>
            <w:pPr>
              <w:spacing w:after="0"/>
              <w:rPr>
                <w:sz w:val="4"/>
                <w:szCs w:val="4"/>
                <w:color w:val="auto"/>
              </w:rPr>
            </w:pPr>
          </w:p>
        </w:tc>
      </w:tr>
    </w:tbl>
    <w:p>
      <w:pPr>
        <w:spacing w:after="0" w:line="169" w:lineRule="exact"/>
        <w:rPr>
          <w:sz w:val="20"/>
          <w:szCs w:val="20"/>
          <w:color w:val="auto"/>
        </w:rPr>
      </w:pPr>
    </w:p>
    <w:p>
      <w:pPr>
        <w:ind w:left="160" w:right="240" w:firstLine="7"/>
        <w:spacing w:after="0" w:line="256" w:lineRule="auto"/>
        <w:tabs>
          <w:tab w:leader="none" w:pos="347" w:val="left"/>
        </w:tabs>
        <w:numPr>
          <w:ilvl w:val="0"/>
          <w:numId w:val="50"/>
        </w:numPr>
        <w:rPr>
          <w:rFonts w:ascii="Arial" w:cs="Arial" w:eastAsia="Arial" w:hAnsi="Arial"/>
          <w:sz w:val="12"/>
          <w:szCs w:val="12"/>
          <w:color w:val="auto"/>
        </w:rPr>
      </w:pPr>
      <w:r>
        <w:rPr>
          <w:rFonts w:ascii="Arial" w:cs="Arial" w:eastAsia="Arial" w:hAnsi="Arial"/>
          <w:sz w:val="12"/>
          <w:szCs w:val="12"/>
          <w:color w:val="auto"/>
        </w:rPr>
        <w:t>Upon a termination due to death, complete disability, or by Mr. Billings for good reason after a change in control, 132,618 shares of restricted stock would immediately vest in full and 42,437 PSUs would immediately vest in full and be exchanged for one share of Common Stock per PSU. Using the Company’s closing stock price on December 31, 2024, the acceleration value of such equity awards would be equal to an aggregate of $15,082,739, plus accrued dividends of $183,660 with respect to the restricted stock.</w:t>
      </w:r>
    </w:p>
    <w:p>
      <w:pPr>
        <w:spacing w:after="0" w:line="173" w:lineRule="exact"/>
        <w:rPr>
          <w:rFonts w:ascii="Arial" w:cs="Arial" w:eastAsia="Arial" w:hAnsi="Arial"/>
          <w:sz w:val="12"/>
          <w:szCs w:val="12"/>
          <w:color w:val="auto"/>
        </w:rPr>
      </w:pPr>
    </w:p>
    <w:p>
      <w:pPr>
        <w:ind w:left="160" w:right="140" w:firstLine="7"/>
        <w:spacing w:after="0" w:line="249" w:lineRule="auto"/>
        <w:tabs>
          <w:tab w:leader="none" w:pos="347" w:val="left"/>
        </w:tabs>
        <w:numPr>
          <w:ilvl w:val="0"/>
          <w:numId w:val="50"/>
        </w:numPr>
        <w:rPr>
          <w:rFonts w:ascii="Arial" w:cs="Arial" w:eastAsia="Arial" w:hAnsi="Arial"/>
          <w:sz w:val="12"/>
          <w:szCs w:val="12"/>
          <w:color w:val="auto"/>
        </w:rPr>
      </w:pPr>
      <w:r>
        <w:rPr>
          <w:rFonts w:ascii="Arial" w:cs="Arial" w:eastAsia="Arial" w:hAnsi="Arial"/>
          <w:sz w:val="12"/>
          <w:szCs w:val="12"/>
          <w:color w:val="auto"/>
        </w:rPr>
        <w:t>Upon a termination by the Company without cause, or by Mr. Billings upon the Company’s material breach, 61,603 shares of restricted stock would immediately vest, and 20,509 PSUs would immediately vest and be exchanged for one share of Common Stock per PSU, in each case on a prorated basis based on the number of months since the grant date. Using the Company’s closing stock price on December 31, 2024, the acceleration value of such equity awards would be equal to an aggregate of $7,074,770, plus accrued dividends of $93,170 with respect to the restricted stock.</w:t>
      </w:r>
    </w:p>
    <w:p>
      <w:pPr>
        <w:spacing w:after="0" w:line="319" w:lineRule="exact"/>
        <w:rPr>
          <w:rFonts w:ascii="Arial" w:cs="Arial" w:eastAsia="Arial" w:hAnsi="Arial"/>
          <w:sz w:val="12"/>
          <w:szCs w:val="12"/>
          <w:color w:val="auto"/>
        </w:rPr>
      </w:pPr>
    </w:p>
    <w:p>
      <w:pPr>
        <w:ind w:left="360" w:hanging="193"/>
        <w:spacing w:after="0"/>
        <w:tabs>
          <w:tab w:leader="none" w:pos="3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These amounts represent continued health benefits for remainder of the term of Mr. Billings’ employment contract, but not less than 18 months and for a period of twelve months thereafter.</w:t>
      </w:r>
    </w:p>
    <w:p>
      <w:pPr>
        <w:spacing w:after="0" w:line="209" w:lineRule="exact"/>
        <w:rPr>
          <w:rFonts w:ascii="Arial" w:cs="Arial" w:eastAsia="Arial" w:hAnsi="Arial"/>
          <w:sz w:val="12"/>
          <w:szCs w:val="12"/>
          <w:color w:val="auto"/>
        </w:rPr>
      </w:pPr>
    </w:p>
    <w:p>
      <w:pPr>
        <w:ind w:left="360" w:hanging="193"/>
        <w:spacing w:after="0"/>
        <w:tabs>
          <w:tab w:leader="none" w:pos="3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As of December 31, 2024, Mr. Billings was not eligible to retire under the Retirement Plan. To note, Mr. Billings would be eligible to retire under the Retirement Plan following February 2025.</w:t>
      </w:r>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JULIE M.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163830</wp:posOffset>
            </wp:positionV>
            <wp:extent cx="6929755" cy="14693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29755" cy="1469390"/>
                    </a:xfrm>
                    <a:prstGeom prst="rect">
                      <a:avLst/>
                    </a:prstGeom>
                    <a:noFill/>
                  </pic:spPr>
                </pic:pic>
              </a:graphicData>
            </a:graphic>
          </wp:anchor>
        </w:drawing>
      </w:r>
    </w:p>
    <w:p>
      <w:pPr>
        <w:spacing w:after="0" w:line="238"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180" w:type="dxa"/>
            <w:vAlign w:val="bottom"/>
            <w:shd w:val="clear" w:color="auto" w:fill="351B3D"/>
          </w:tcPr>
          <w:p>
            <w:pPr>
              <w:spacing w:after="0"/>
              <w:rPr>
                <w:sz w:val="15"/>
                <w:szCs w:val="15"/>
                <w:color w:val="auto"/>
              </w:rPr>
            </w:pPr>
          </w:p>
        </w:tc>
        <w:tc>
          <w:tcPr>
            <w:tcW w:w="2060" w:type="dxa"/>
            <w:vAlign w:val="bottom"/>
            <w:shd w:val="clear" w:color="auto" w:fill="351B3D"/>
          </w:tcPr>
          <w:p>
            <w:pPr>
              <w:jc w:val="center"/>
              <w:spacing w:after="0"/>
              <w:rPr>
                <w:sz w:val="20"/>
                <w:szCs w:val="20"/>
                <w:color w:val="auto"/>
              </w:rPr>
            </w:pPr>
            <w:r>
              <w:rPr>
                <w:rFonts w:ascii="Arial" w:cs="Arial" w:eastAsia="Arial" w:hAnsi="Arial"/>
                <w:sz w:val="11"/>
                <w:szCs w:val="11"/>
                <w:color w:val="FFFFFF"/>
                <w:w w:val="97"/>
              </w:rPr>
              <w:t>TERMINATION UPON</w:t>
            </w:r>
          </w:p>
        </w:tc>
        <w:tc>
          <w:tcPr>
            <w:tcW w:w="2080" w:type="dxa"/>
            <w:vAlign w:val="bottom"/>
            <w:shd w:val="clear" w:color="auto" w:fill="351B3D"/>
          </w:tcPr>
          <w:p>
            <w:pPr>
              <w:jc w:val="center"/>
              <w:ind w:right="35"/>
              <w:spacing w:after="0"/>
              <w:rPr>
                <w:sz w:val="20"/>
                <w:szCs w:val="20"/>
                <w:color w:val="auto"/>
              </w:rPr>
            </w:pPr>
            <w:r>
              <w:rPr>
                <w:rFonts w:ascii="Arial" w:cs="Arial" w:eastAsia="Arial" w:hAnsi="Arial"/>
                <w:sz w:val="11"/>
                <w:szCs w:val="11"/>
                <w:color w:val="FFFFFF"/>
                <w:w w:val="96"/>
              </w:rPr>
              <w:t>TERMINATION WITHOUT</w:t>
            </w:r>
          </w:p>
        </w:tc>
        <w:tc>
          <w:tcPr>
            <w:tcW w:w="2440" w:type="dxa"/>
            <w:vAlign w:val="bottom"/>
            <w:shd w:val="clear" w:color="auto" w:fill="351B3D"/>
          </w:tcPr>
          <w:p>
            <w:pPr>
              <w:jc w:val="center"/>
              <w:spacing w:after="0"/>
              <w:rPr>
                <w:sz w:val="20"/>
                <w:szCs w:val="20"/>
                <w:color w:val="auto"/>
              </w:rPr>
            </w:pPr>
            <w:r>
              <w:rPr>
                <w:rFonts w:ascii="Arial" w:cs="Arial" w:eastAsia="Arial" w:hAnsi="Arial"/>
                <w:sz w:val="11"/>
                <w:szCs w:val="11"/>
                <w:color w:val="FFFFFF"/>
                <w:w w:val="96"/>
              </w:rPr>
              <w:t>TERMINATION BY EMPLOYEE</w:t>
            </w:r>
          </w:p>
        </w:tc>
        <w:tc>
          <w:tcPr>
            <w:tcW w:w="2160" w:type="dxa"/>
            <w:vAlign w:val="bottom"/>
            <w:shd w:val="clear" w:color="auto" w:fill="351B3D"/>
          </w:tcPr>
          <w:p>
            <w:pPr>
              <w:spacing w:after="0"/>
              <w:rPr>
                <w:sz w:val="15"/>
                <w:szCs w:val="15"/>
                <w:color w:val="auto"/>
              </w:rPr>
            </w:pPr>
          </w:p>
        </w:tc>
      </w:tr>
      <w:tr>
        <w:trPr>
          <w:trHeight w:val="120"/>
        </w:trPr>
        <w:tc>
          <w:tcPr>
            <w:tcW w:w="2180" w:type="dxa"/>
            <w:vAlign w:val="bottom"/>
            <w:shd w:val="clear" w:color="auto" w:fill="351B3D"/>
          </w:tcPr>
          <w:p>
            <w:pPr>
              <w:spacing w:after="0"/>
              <w:rPr>
                <w:sz w:val="10"/>
                <w:szCs w:val="10"/>
                <w:color w:val="auto"/>
              </w:rPr>
            </w:pPr>
          </w:p>
        </w:tc>
        <w:tc>
          <w:tcPr>
            <w:tcW w:w="2060" w:type="dxa"/>
            <w:vAlign w:val="bottom"/>
            <w:shd w:val="clear" w:color="auto" w:fill="351B3D"/>
          </w:tcPr>
          <w:p>
            <w:pPr>
              <w:jc w:val="center"/>
              <w:spacing w:after="0" w:line="121" w:lineRule="exact"/>
              <w:rPr>
                <w:sz w:val="20"/>
                <w:szCs w:val="20"/>
                <w:color w:val="auto"/>
              </w:rPr>
            </w:pPr>
            <w:r>
              <w:rPr>
                <w:rFonts w:ascii="Arial" w:cs="Arial" w:eastAsia="Arial" w:hAnsi="Arial"/>
                <w:sz w:val="11"/>
                <w:szCs w:val="11"/>
                <w:color w:val="FFFFFF"/>
                <w:w w:val="96"/>
              </w:rPr>
              <w:t>DEATH OR COMPLETE</w:t>
            </w:r>
          </w:p>
        </w:tc>
        <w:tc>
          <w:tcPr>
            <w:tcW w:w="2080" w:type="dxa"/>
            <w:vAlign w:val="bottom"/>
            <w:shd w:val="clear" w:color="auto" w:fill="351B3D"/>
          </w:tcPr>
          <w:p>
            <w:pPr>
              <w:jc w:val="center"/>
              <w:ind w:right="35"/>
              <w:spacing w:after="0" w:line="121" w:lineRule="exact"/>
              <w:rPr>
                <w:sz w:val="20"/>
                <w:szCs w:val="20"/>
                <w:color w:val="auto"/>
              </w:rPr>
            </w:pPr>
            <w:r>
              <w:rPr>
                <w:rFonts w:ascii="Arial" w:cs="Arial" w:eastAsia="Arial" w:hAnsi="Arial"/>
                <w:sz w:val="11"/>
                <w:szCs w:val="11"/>
                <w:color w:val="FFFFFF"/>
                <w:w w:val="97"/>
              </w:rPr>
              <w:t>CAUSE OR UPON</w:t>
            </w:r>
          </w:p>
        </w:tc>
        <w:tc>
          <w:tcPr>
            <w:tcW w:w="2440" w:type="dxa"/>
            <w:vAlign w:val="bottom"/>
            <w:shd w:val="clear" w:color="auto" w:fill="351B3D"/>
          </w:tcPr>
          <w:p>
            <w:pPr>
              <w:jc w:val="center"/>
              <w:spacing w:after="0" w:line="121" w:lineRule="exact"/>
              <w:rPr>
                <w:sz w:val="20"/>
                <w:szCs w:val="20"/>
                <w:color w:val="auto"/>
              </w:rPr>
            </w:pPr>
            <w:r>
              <w:rPr>
                <w:rFonts w:ascii="Arial" w:cs="Arial" w:eastAsia="Arial" w:hAnsi="Arial"/>
                <w:sz w:val="11"/>
                <w:szCs w:val="11"/>
                <w:color w:val="FFFFFF"/>
                <w:w w:val="95"/>
              </w:rPr>
              <w:t>FOR GOOD REASON AFTER</w:t>
            </w:r>
          </w:p>
        </w:tc>
        <w:tc>
          <w:tcPr>
            <w:tcW w:w="2160" w:type="dxa"/>
            <w:vAlign w:val="bottom"/>
            <w:shd w:val="clear" w:color="auto" w:fill="351B3D"/>
          </w:tcPr>
          <w:p>
            <w:pPr>
              <w:jc w:val="center"/>
              <w:ind w:left="14"/>
              <w:spacing w:after="0" w:line="121" w:lineRule="exact"/>
              <w:rPr>
                <w:sz w:val="20"/>
                <w:szCs w:val="20"/>
                <w:color w:val="auto"/>
              </w:rPr>
            </w:pPr>
            <w:r>
              <w:rPr>
                <w:rFonts w:ascii="Arial" w:cs="Arial" w:eastAsia="Arial" w:hAnsi="Arial"/>
                <w:sz w:val="11"/>
                <w:szCs w:val="11"/>
                <w:color w:val="FFFFFF"/>
                <w:w w:val="97"/>
              </w:rPr>
              <w:t>RETIREMENT PURSUANT</w:t>
            </w:r>
          </w:p>
        </w:tc>
      </w:tr>
      <w:tr>
        <w:trPr>
          <w:trHeight w:val="194"/>
        </w:trPr>
        <w:tc>
          <w:tcPr>
            <w:tcW w:w="2180" w:type="dxa"/>
            <w:vAlign w:val="bottom"/>
            <w:tcBorders>
              <w:bottom w:val="single" w:sz="8" w:color="351B3D"/>
            </w:tcBorders>
            <w:shd w:val="clear" w:color="auto" w:fill="351B3D"/>
          </w:tcPr>
          <w:p>
            <w:pPr>
              <w:spacing w:after="0"/>
              <w:rPr>
                <w:sz w:val="16"/>
                <w:szCs w:val="16"/>
                <w:color w:val="auto"/>
              </w:rPr>
            </w:pPr>
          </w:p>
        </w:tc>
        <w:tc>
          <w:tcPr>
            <w:tcW w:w="2060" w:type="dxa"/>
            <w:vAlign w:val="bottom"/>
            <w:tcBorders>
              <w:bottom w:val="single" w:sz="8" w:color="351B3D"/>
            </w:tcBorders>
            <w:shd w:val="clear" w:color="auto" w:fill="351B3D"/>
          </w:tcPr>
          <w:p>
            <w:pPr>
              <w:jc w:val="center"/>
              <w:spacing w:after="0"/>
              <w:rPr>
                <w:sz w:val="20"/>
                <w:szCs w:val="20"/>
                <w:color w:val="auto"/>
              </w:rPr>
            </w:pPr>
            <w:r>
              <w:rPr>
                <w:rFonts w:ascii="Arial" w:cs="Arial" w:eastAsia="Arial" w:hAnsi="Arial"/>
                <w:sz w:val="11"/>
                <w:szCs w:val="11"/>
                <w:color w:val="FFFFFF"/>
                <w:w w:val="97"/>
              </w:rPr>
              <w:t>DISABILITY</w:t>
            </w:r>
          </w:p>
        </w:tc>
        <w:tc>
          <w:tcPr>
            <w:tcW w:w="2080" w:type="dxa"/>
            <w:vAlign w:val="bottom"/>
            <w:tcBorders>
              <w:bottom w:val="single" w:sz="8" w:color="351B3D"/>
            </w:tcBorders>
            <w:shd w:val="clear" w:color="auto" w:fill="351B3D"/>
          </w:tcPr>
          <w:p>
            <w:pPr>
              <w:jc w:val="center"/>
              <w:ind w:right="15"/>
              <w:spacing w:after="0"/>
              <w:rPr>
                <w:sz w:val="20"/>
                <w:szCs w:val="20"/>
                <w:color w:val="auto"/>
              </w:rPr>
            </w:pPr>
            <w:r>
              <w:rPr>
                <w:rFonts w:ascii="Arial" w:cs="Arial" w:eastAsia="Arial" w:hAnsi="Arial"/>
                <w:sz w:val="11"/>
                <w:szCs w:val="11"/>
                <w:color w:val="FFFFFF"/>
                <w:w w:val="96"/>
              </w:rPr>
              <w:t>MATERIAL BREACH</w:t>
            </w:r>
          </w:p>
        </w:tc>
        <w:tc>
          <w:tcPr>
            <w:tcW w:w="2440" w:type="dxa"/>
            <w:vAlign w:val="bottom"/>
            <w:tcBorders>
              <w:bottom w:val="single" w:sz="8" w:color="351B3D"/>
            </w:tcBorders>
            <w:shd w:val="clear" w:color="auto" w:fill="351B3D"/>
          </w:tcPr>
          <w:p>
            <w:pPr>
              <w:jc w:val="center"/>
              <w:spacing w:after="0"/>
              <w:rPr>
                <w:sz w:val="20"/>
                <w:szCs w:val="20"/>
                <w:color w:val="auto"/>
              </w:rPr>
            </w:pPr>
            <w:r>
              <w:rPr>
                <w:rFonts w:ascii="Arial" w:cs="Arial" w:eastAsia="Arial" w:hAnsi="Arial"/>
                <w:sz w:val="11"/>
                <w:szCs w:val="11"/>
                <w:color w:val="FFFFFF"/>
                <w:w w:val="96"/>
              </w:rPr>
              <w:t>CHANGE IN CONTROL</w:t>
            </w:r>
          </w:p>
        </w:tc>
        <w:tc>
          <w:tcPr>
            <w:tcW w:w="2160" w:type="dxa"/>
            <w:vAlign w:val="bottom"/>
            <w:tcBorders>
              <w:bottom w:val="single" w:sz="8" w:color="351B3D"/>
            </w:tcBorders>
            <w:shd w:val="clear" w:color="auto" w:fill="351B3D"/>
          </w:tcPr>
          <w:p>
            <w:pPr>
              <w:jc w:val="center"/>
              <w:ind w:left="34"/>
              <w:spacing w:after="0"/>
              <w:rPr>
                <w:sz w:val="20"/>
                <w:szCs w:val="20"/>
                <w:color w:val="auto"/>
              </w:rPr>
            </w:pPr>
            <w:r>
              <w:rPr>
                <w:rFonts w:ascii="Arial" w:cs="Arial" w:eastAsia="Arial" w:hAnsi="Arial"/>
                <w:sz w:val="11"/>
                <w:szCs w:val="11"/>
                <w:color w:val="FFFFFF"/>
                <w:w w:val="96"/>
              </w:rPr>
              <w:t>TO RETIREMENT PLAN (4)</w:t>
            </w:r>
          </w:p>
        </w:tc>
      </w:tr>
      <w:tr>
        <w:trPr>
          <w:trHeight w:val="218"/>
        </w:trPr>
        <w:tc>
          <w:tcPr>
            <w:tcW w:w="2180" w:type="dxa"/>
            <w:vAlign w:val="bottom"/>
            <w:shd w:val="clear" w:color="auto" w:fill="D6D1D8"/>
          </w:tcPr>
          <w:p>
            <w:pPr>
              <w:spacing w:after="0"/>
              <w:rPr>
                <w:sz w:val="18"/>
                <w:szCs w:val="18"/>
                <w:color w:val="auto"/>
              </w:rPr>
            </w:pPr>
          </w:p>
        </w:tc>
        <w:tc>
          <w:tcPr>
            <w:tcW w:w="206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Amounts earned and</w:t>
            </w:r>
          </w:p>
        </w:tc>
        <w:tc>
          <w:tcPr>
            <w:tcW w:w="2080" w:type="dxa"/>
            <w:vAlign w:val="bottom"/>
            <w:shd w:val="clear" w:color="auto" w:fill="D6D1D8"/>
          </w:tcPr>
          <w:p>
            <w:pPr>
              <w:spacing w:after="0"/>
              <w:rPr>
                <w:sz w:val="18"/>
                <w:szCs w:val="18"/>
                <w:color w:val="auto"/>
              </w:rPr>
            </w:pPr>
          </w:p>
        </w:tc>
        <w:tc>
          <w:tcPr>
            <w:tcW w:w="2440" w:type="dxa"/>
            <w:vAlign w:val="bottom"/>
            <w:shd w:val="clear" w:color="auto" w:fill="D6D1D8"/>
          </w:tcPr>
          <w:p>
            <w:pPr>
              <w:spacing w:after="0"/>
              <w:rPr>
                <w:sz w:val="18"/>
                <w:szCs w:val="18"/>
                <w:color w:val="auto"/>
              </w:rPr>
            </w:pPr>
          </w:p>
        </w:tc>
        <w:tc>
          <w:tcPr>
            <w:tcW w:w="2160" w:type="dxa"/>
            <w:vAlign w:val="bottom"/>
            <w:shd w:val="clear" w:color="auto" w:fill="D6D1D8"/>
          </w:tcPr>
          <w:p>
            <w:pPr>
              <w:spacing w:after="0"/>
              <w:rPr>
                <w:sz w:val="18"/>
                <w:szCs w:val="18"/>
                <w:color w:val="auto"/>
              </w:rPr>
            </w:pPr>
          </w:p>
        </w:tc>
      </w:tr>
      <w:tr>
        <w:trPr>
          <w:trHeight w:val="160"/>
        </w:trPr>
        <w:tc>
          <w:tcPr>
            <w:tcW w:w="2180" w:type="dxa"/>
            <w:vAlign w:val="bottom"/>
            <w:shd w:val="clear" w:color="auto" w:fill="D6D1D8"/>
          </w:tcPr>
          <w:p>
            <w:pPr>
              <w:ind w:left="80"/>
              <w:spacing w:after="0"/>
              <w:rPr>
                <w:sz w:val="20"/>
                <w:szCs w:val="20"/>
                <w:color w:val="auto"/>
              </w:rPr>
            </w:pPr>
            <w:r>
              <w:rPr>
                <w:rFonts w:ascii="Arial" w:cs="Arial" w:eastAsia="Arial" w:hAnsi="Arial"/>
                <w:sz w:val="14"/>
                <w:szCs w:val="14"/>
                <w:color w:val="auto"/>
              </w:rPr>
              <w:t>Base Salary</w:t>
            </w:r>
          </w:p>
        </w:tc>
        <w:tc>
          <w:tcPr>
            <w:tcW w:w="206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unpaid through the</w:t>
            </w:r>
          </w:p>
        </w:tc>
        <w:tc>
          <w:tcPr>
            <w:tcW w:w="2080" w:type="dxa"/>
            <w:vAlign w:val="bottom"/>
            <w:shd w:val="clear" w:color="auto" w:fill="D6D1D8"/>
          </w:tcPr>
          <w:p>
            <w:pPr>
              <w:jc w:val="center"/>
              <w:ind w:right="15"/>
              <w:spacing w:after="0"/>
              <w:rPr>
                <w:sz w:val="20"/>
                <w:szCs w:val="20"/>
                <w:color w:val="auto"/>
              </w:rPr>
            </w:pPr>
            <w:r>
              <w:rPr>
                <w:rFonts w:ascii="Arial" w:cs="Arial" w:eastAsia="Arial" w:hAnsi="Arial"/>
                <w:sz w:val="14"/>
                <w:szCs w:val="14"/>
                <w:color w:val="auto"/>
              </w:rPr>
              <w:t>$1,345,616</w:t>
            </w:r>
          </w:p>
        </w:tc>
        <w:tc>
          <w:tcPr>
            <w:tcW w:w="244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99"/>
              </w:rPr>
              <w:t>$1,345,616</w:t>
            </w:r>
          </w:p>
        </w:tc>
        <w:tc>
          <w:tcPr>
            <w:tcW w:w="2160" w:type="dxa"/>
            <w:vAlign w:val="bottom"/>
            <w:shd w:val="clear" w:color="auto" w:fill="D6D1D8"/>
          </w:tcPr>
          <w:p>
            <w:pPr>
              <w:jc w:val="center"/>
              <w:ind w:left="14"/>
              <w:spacing w:after="0"/>
              <w:rPr>
                <w:sz w:val="20"/>
                <w:szCs w:val="20"/>
                <w:color w:val="auto"/>
              </w:rPr>
            </w:pPr>
            <w:r>
              <w:rPr>
                <w:rFonts w:ascii="Arial" w:cs="Arial" w:eastAsia="Arial" w:hAnsi="Arial"/>
                <w:sz w:val="14"/>
                <w:szCs w:val="14"/>
                <w:color w:val="auto"/>
                <w:w w:val="84"/>
              </w:rPr>
              <w:t>-</w:t>
            </w:r>
          </w:p>
        </w:tc>
      </w:tr>
      <w:tr>
        <w:trPr>
          <w:trHeight w:val="217"/>
        </w:trPr>
        <w:tc>
          <w:tcPr>
            <w:tcW w:w="2180" w:type="dxa"/>
            <w:vAlign w:val="bottom"/>
            <w:tcBorders>
              <w:bottom w:val="single" w:sz="8" w:color="D6D1D8"/>
            </w:tcBorders>
            <w:shd w:val="clear" w:color="auto" w:fill="D6D1D8"/>
          </w:tcPr>
          <w:p>
            <w:pPr>
              <w:spacing w:after="0"/>
              <w:rPr>
                <w:sz w:val="18"/>
                <w:szCs w:val="18"/>
                <w:color w:val="auto"/>
              </w:rPr>
            </w:pPr>
          </w:p>
        </w:tc>
        <w:tc>
          <w:tcPr>
            <w:tcW w:w="2060" w:type="dxa"/>
            <w:vAlign w:val="bottom"/>
            <w:tcBorders>
              <w:bottom w:val="single" w:sz="8" w:color="D6D1D8"/>
            </w:tcBorders>
            <w:shd w:val="clear" w:color="auto" w:fill="D6D1D8"/>
          </w:tcPr>
          <w:p>
            <w:pPr>
              <w:jc w:val="center"/>
              <w:spacing w:after="0"/>
              <w:rPr>
                <w:sz w:val="20"/>
                <w:szCs w:val="20"/>
                <w:color w:val="auto"/>
              </w:rPr>
            </w:pPr>
            <w:r>
              <w:rPr>
                <w:rFonts w:ascii="Arial" w:cs="Arial" w:eastAsia="Arial" w:hAnsi="Arial"/>
                <w:sz w:val="14"/>
                <w:szCs w:val="14"/>
                <w:color w:val="auto"/>
              </w:rPr>
              <w:t>date of termination</w:t>
            </w:r>
          </w:p>
        </w:tc>
        <w:tc>
          <w:tcPr>
            <w:tcW w:w="2080" w:type="dxa"/>
            <w:vAlign w:val="bottom"/>
            <w:tcBorders>
              <w:bottom w:val="single" w:sz="8" w:color="D6D1D8"/>
            </w:tcBorders>
            <w:shd w:val="clear" w:color="auto" w:fill="D6D1D8"/>
          </w:tcPr>
          <w:p>
            <w:pPr>
              <w:spacing w:after="0"/>
              <w:rPr>
                <w:sz w:val="18"/>
                <w:szCs w:val="18"/>
                <w:color w:val="auto"/>
              </w:rPr>
            </w:pPr>
          </w:p>
        </w:tc>
        <w:tc>
          <w:tcPr>
            <w:tcW w:w="2440" w:type="dxa"/>
            <w:vAlign w:val="bottom"/>
            <w:tcBorders>
              <w:bottom w:val="single" w:sz="8" w:color="D6D1D8"/>
            </w:tcBorders>
            <w:shd w:val="clear" w:color="auto" w:fill="D6D1D8"/>
          </w:tcPr>
          <w:p>
            <w:pPr>
              <w:spacing w:after="0"/>
              <w:rPr>
                <w:sz w:val="18"/>
                <w:szCs w:val="18"/>
                <w:color w:val="auto"/>
              </w:rPr>
            </w:pPr>
          </w:p>
        </w:tc>
        <w:tc>
          <w:tcPr>
            <w:tcW w:w="2160" w:type="dxa"/>
            <w:vAlign w:val="bottom"/>
            <w:tcBorders>
              <w:bottom w:val="single" w:sz="8" w:color="D6D1D8"/>
            </w:tcBorders>
            <w:shd w:val="clear" w:color="auto" w:fill="D6D1D8"/>
          </w:tcPr>
          <w:p>
            <w:pPr>
              <w:spacing w:after="0"/>
              <w:rPr>
                <w:sz w:val="18"/>
                <w:szCs w:val="18"/>
                <w:color w:val="auto"/>
              </w:rPr>
            </w:pPr>
          </w:p>
        </w:tc>
      </w:tr>
      <w:tr>
        <w:trPr>
          <w:trHeight w:val="247"/>
        </w:trPr>
        <w:tc>
          <w:tcPr>
            <w:tcW w:w="2180" w:type="dxa"/>
            <w:vAlign w:val="bottom"/>
          </w:tcPr>
          <w:p>
            <w:pPr>
              <w:ind w:left="80"/>
              <w:spacing w:after="0"/>
              <w:rPr>
                <w:sz w:val="20"/>
                <w:szCs w:val="20"/>
                <w:color w:val="auto"/>
              </w:rPr>
            </w:pPr>
            <w:r>
              <w:rPr>
                <w:rFonts w:ascii="Arial" w:cs="Arial" w:eastAsia="Arial" w:hAnsi="Arial"/>
                <w:sz w:val="14"/>
                <w:szCs w:val="14"/>
                <w:color w:val="auto"/>
              </w:rPr>
              <w:t>Bonus</w:t>
            </w:r>
          </w:p>
        </w:tc>
        <w:tc>
          <w:tcPr>
            <w:tcW w:w="20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2080" w:type="dxa"/>
            <w:vAlign w:val="bottom"/>
          </w:tcPr>
          <w:p>
            <w:pPr>
              <w:jc w:val="center"/>
              <w:ind w:right="15"/>
              <w:spacing w:after="0"/>
              <w:rPr>
                <w:sz w:val="20"/>
                <w:szCs w:val="20"/>
                <w:color w:val="auto"/>
              </w:rPr>
            </w:pPr>
            <w:r>
              <w:rPr>
                <w:rFonts w:ascii="Arial" w:cs="Arial" w:eastAsia="Arial" w:hAnsi="Arial"/>
                <w:sz w:val="14"/>
                <w:szCs w:val="14"/>
                <w:color w:val="auto"/>
              </w:rPr>
              <w:t>$2,042,500</w:t>
            </w:r>
          </w:p>
        </w:tc>
        <w:tc>
          <w:tcPr>
            <w:tcW w:w="2440" w:type="dxa"/>
            <w:vAlign w:val="bottom"/>
          </w:tcPr>
          <w:p>
            <w:pPr>
              <w:jc w:val="center"/>
              <w:spacing w:after="0"/>
              <w:rPr>
                <w:sz w:val="20"/>
                <w:szCs w:val="20"/>
                <w:color w:val="auto"/>
              </w:rPr>
            </w:pPr>
            <w:r>
              <w:rPr>
                <w:rFonts w:ascii="Arial" w:cs="Arial" w:eastAsia="Arial" w:hAnsi="Arial"/>
                <w:sz w:val="14"/>
                <w:szCs w:val="14"/>
                <w:color w:val="auto"/>
                <w:w w:val="99"/>
              </w:rPr>
              <w:t>$2,042,500</w:t>
            </w:r>
          </w:p>
        </w:tc>
        <w:tc>
          <w:tcPr>
            <w:tcW w:w="2160" w:type="dxa"/>
            <w:vAlign w:val="bottom"/>
          </w:tcPr>
          <w:p>
            <w:pPr>
              <w:jc w:val="center"/>
              <w:ind w:left="14"/>
              <w:spacing w:after="0"/>
              <w:rPr>
                <w:sz w:val="20"/>
                <w:szCs w:val="20"/>
                <w:color w:val="auto"/>
              </w:rPr>
            </w:pPr>
            <w:r>
              <w:rPr>
                <w:rFonts w:ascii="Arial" w:cs="Arial" w:eastAsia="Arial" w:hAnsi="Arial"/>
                <w:sz w:val="14"/>
                <w:szCs w:val="14"/>
                <w:color w:val="auto"/>
                <w:w w:val="84"/>
              </w:rPr>
              <w:t>-</w:t>
            </w:r>
          </w:p>
        </w:tc>
      </w:tr>
      <w:tr>
        <w:trPr>
          <w:trHeight w:val="48"/>
        </w:trPr>
        <w:tc>
          <w:tcPr>
            <w:tcW w:w="218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160" w:type="dxa"/>
            <w:vAlign w:val="bottom"/>
          </w:tcPr>
          <w:p>
            <w:pPr>
              <w:spacing w:after="0"/>
              <w:rPr>
                <w:sz w:val="4"/>
                <w:szCs w:val="4"/>
                <w:color w:val="auto"/>
              </w:rPr>
            </w:pPr>
          </w:p>
        </w:tc>
      </w:tr>
      <w:tr>
        <w:trPr>
          <w:trHeight w:val="274"/>
        </w:trPr>
        <w:tc>
          <w:tcPr>
            <w:tcW w:w="2180" w:type="dxa"/>
            <w:vAlign w:val="bottom"/>
            <w:tcBorders>
              <w:bottom w:val="single" w:sz="8" w:color="D6D1D8"/>
            </w:tcBorders>
            <w:shd w:val="clear" w:color="auto" w:fill="D6D1D8"/>
          </w:tcPr>
          <w:p>
            <w:pPr>
              <w:ind w:left="80"/>
              <w:spacing w:after="0"/>
              <w:rPr>
                <w:sz w:val="20"/>
                <w:szCs w:val="20"/>
                <w:color w:val="auto"/>
              </w:rPr>
            </w:pPr>
            <w:r>
              <w:rPr>
                <w:rFonts w:ascii="Arial" w:cs="Arial" w:eastAsia="Arial" w:hAnsi="Arial"/>
                <w:sz w:val="14"/>
                <w:szCs w:val="14"/>
                <w:color w:val="auto"/>
                <w:highlight w:val="lightGray"/>
              </w:rPr>
              <w:t>Outstanding Equity Awards (1)(2)</w:t>
            </w:r>
          </w:p>
        </w:tc>
        <w:tc>
          <w:tcPr>
            <w:tcW w:w="2060" w:type="dxa"/>
            <w:vAlign w:val="bottom"/>
            <w:tcBorders>
              <w:bottom w:val="single" w:sz="8" w:color="D6D1D8"/>
            </w:tcBorders>
            <w:shd w:val="clear" w:color="auto" w:fill="D6D1D8"/>
          </w:tcPr>
          <w:p>
            <w:pPr>
              <w:jc w:val="center"/>
              <w:spacing w:after="0"/>
              <w:rPr>
                <w:sz w:val="20"/>
                <w:szCs w:val="20"/>
                <w:color w:val="auto"/>
              </w:rPr>
            </w:pPr>
            <w:r>
              <w:rPr>
                <w:rFonts w:ascii="Arial" w:cs="Arial" w:eastAsia="Arial" w:hAnsi="Arial"/>
                <w:sz w:val="14"/>
                <w:szCs w:val="14"/>
                <w:color w:val="auto"/>
              </w:rPr>
              <w:t>$4,021,614</w:t>
            </w:r>
          </w:p>
        </w:tc>
        <w:tc>
          <w:tcPr>
            <w:tcW w:w="2080" w:type="dxa"/>
            <w:vAlign w:val="bottom"/>
            <w:tcBorders>
              <w:bottom w:val="single" w:sz="8" w:color="D6D1D8"/>
            </w:tcBorders>
            <w:shd w:val="clear" w:color="auto" w:fill="D6D1D8"/>
          </w:tcPr>
          <w:p>
            <w:pPr>
              <w:jc w:val="center"/>
              <w:ind w:right="15"/>
              <w:spacing w:after="0"/>
              <w:rPr>
                <w:sz w:val="20"/>
                <w:szCs w:val="20"/>
                <w:color w:val="auto"/>
              </w:rPr>
            </w:pPr>
            <w:r>
              <w:rPr>
                <w:rFonts w:ascii="Arial" w:cs="Arial" w:eastAsia="Arial" w:hAnsi="Arial"/>
                <w:sz w:val="14"/>
                <w:szCs w:val="14"/>
                <w:color w:val="auto"/>
              </w:rPr>
              <w:t>$2,102,691</w:t>
            </w:r>
          </w:p>
        </w:tc>
        <w:tc>
          <w:tcPr>
            <w:tcW w:w="2440" w:type="dxa"/>
            <w:vAlign w:val="bottom"/>
            <w:tcBorders>
              <w:bottom w:val="single" w:sz="8" w:color="D6D1D8"/>
            </w:tcBorders>
            <w:shd w:val="clear" w:color="auto" w:fill="D6D1D8"/>
          </w:tcPr>
          <w:p>
            <w:pPr>
              <w:jc w:val="center"/>
              <w:spacing w:after="0"/>
              <w:rPr>
                <w:sz w:val="20"/>
                <w:szCs w:val="20"/>
                <w:color w:val="auto"/>
              </w:rPr>
            </w:pPr>
            <w:r>
              <w:rPr>
                <w:rFonts w:ascii="Arial" w:cs="Arial" w:eastAsia="Arial" w:hAnsi="Arial"/>
                <w:sz w:val="14"/>
                <w:szCs w:val="14"/>
                <w:color w:val="auto"/>
                <w:w w:val="99"/>
              </w:rPr>
              <w:t>$4,021,614</w:t>
            </w:r>
          </w:p>
        </w:tc>
        <w:tc>
          <w:tcPr>
            <w:tcW w:w="2160" w:type="dxa"/>
            <w:vAlign w:val="bottom"/>
            <w:tcBorders>
              <w:bottom w:val="single" w:sz="8" w:color="D6D1D8"/>
            </w:tcBorders>
            <w:shd w:val="clear" w:color="auto" w:fill="D6D1D8"/>
          </w:tcPr>
          <w:p>
            <w:pPr>
              <w:jc w:val="center"/>
              <w:ind w:left="14"/>
              <w:spacing w:after="0"/>
              <w:rPr>
                <w:sz w:val="20"/>
                <w:szCs w:val="20"/>
                <w:color w:val="auto"/>
              </w:rPr>
            </w:pPr>
            <w:r>
              <w:rPr>
                <w:rFonts w:ascii="Arial" w:cs="Arial" w:eastAsia="Arial" w:hAnsi="Arial"/>
                <w:sz w:val="14"/>
                <w:szCs w:val="14"/>
                <w:color w:val="auto"/>
                <w:w w:val="84"/>
              </w:rPr>
              <w:t>-</w:t>
            </w:r>
          </w:p>
        </w:tc>
      </w:tr>
      <w:tr>
        <w:trPr>
          <w:trHeight w:val="247"/>
        </w:trPr>
        <w:tc>
          <w:tcPr>
            <w:tcW w:w="2180" w:type="dxa"/>
            <w:vAlign w:val="bottom"/>
          </w:tcPr>
          <w:p>
            <w:pPr>
              <w:ind w:left="80"/>
              <w:spacing w:after="0"/>
              <w:rPr>
                <w:sz w:val="20"/>
                <w:szCs w:val="20"/>
                <w:color w:val="auto"/>
              </w:rPr>
            </w:pPr>
            <w:r>
              <w:rPr>
                <w:rFonts w:ascii="Arial" w:cs="Arial" w:eastAsia="Arial" w:hAnsi="Arial"/>
                <w:sz w:val="14"/>
                <w:szCs w:val="14"/>
                <w:color w:val="auto"/>
              </w:rPr>
              <w:t>Company-Paid Life Insurance</w:t>
            </w:r>
          </w:p>
        </w:tc>
        <w:tc>
          <w:tcPr>
            <w:tcW w:w="2060" w:type="dxa"/>
            <w:vAlign w:val="bottom"/>
          </w:tcPr>
          <w:p>
            <w:pPr>
              <w:jc w:val="center"/>
              <w:spacing w:after="0"/>
              <w:rPr>
                <w:sz w:val="20"/>
                <w:szCs w:val="20"/>
                <w:color w:val="auto"/>
              </w:rPr>
            </w:pPr>
            <w:r>
              <w:rPr>
                <w:rFonts w:ascii="Arial" w:cs="Arial" w:eastAsia="Arial" w:hAnsi="Arial"/>
                <w:sz w:val="14"/>
                <w:szCs w:val="14"/>
                <w:color w:val="auto"/>
              </w:rPr>
              <w:t>$950,000</w:t>
            </w:r>
          </w:p>
        </w:tc>
        <w:tc>
          <w:tcPr>
            <w:tcW w:w="2080" w:type="dxa"/>
            <w:vAlign w:val="bottom"/>
          </w:tcPr>
          <w:p>
            <w:pPr>
              <w:jc w:val="center"/>
              <w:ind w:right="15"/>
              <w:spacing w:after="0"/>
              <w:rPr>
                <w:sz w:val="20"/>
                <w:szCs w:val="20"/>
                <w:color w:val="auto"/>
              </w:rPr>
            </w:pPr>
            <w:r>
              <w:rPr>
                <w:rFonts w:ascii="Arial" w:cs="Arial" w:eastAsia="Arial" w:hAnsi="Arial"/>
                <w:sz w:val="14"/>
                <w:szCs w:val="14"/>
                <w:color w:val="auto"/>
                <w:w w:val="84"/>
              </w:rPr>
              <w:t>-</w:t>
            </w:r>
          </w:p>
        </w:tc>
        <w:tc>
          <w:tcPr>
            <w:tcW w:w="2440" w:type="dxa"/>
            <w:vAlign w:val="bottom"/>
          </w:tcPr>
          <w:p>
            <w:pPr>
              <w:jc w:val="center"/>
              <w:spacing w:after="0"/>
              <w:rPr>
                <w:sz w:val="20"/>
                <w:szCs w:val="20"/>
                <w:color w:val="auto"/>
              </w:rPr>
            </w:pPr>
            <w:r>
              <w:rPr>
                <w:rFonts w:ascii="Arial" w:cs="Arial" w:eastAsia="Arial" w:hAnsi="Arial"/>
                <w:sz w:val="14"/>
                <w:szCs w:val="14"/>
                <w:color w:val="auto"/>
              </w:rPr>
              <w:t>-</w:t>
            </w:r>
          </w:p>
        </w:tc>
        <w:tc>
          <w:tcPr>
            <w:tcW w:w="2160" w:type="dxa"/>
            <w:vAlign w:val="bottom"/>
          </w:tcPr>
          <w:p>
            <w:pPr>
              <w:jc w:val="center"/>
              <w:ind w:left="14"/>
              <w:spacing w:after="0"/>
              <w:rPr>
                <w:sz w:val="20"/>
                <w:szCs w:val="20"/>
                <w:color w:val="auto"/>
              </w:rPr>
            </w:pPr>
            <w:r>
              <w:rPr>
                <w:rFonts w:ascii="Arial" w:cs="Arial" w:eastAsia="Arial" w:hAnsi="Arial"/>
                <w:sz w:val="14"/>
                <w:szCs w:val="14"/>
                <w:color w:val="auto"/>
                <w:w w:val="84"/>
              </w:rPr>
              <w:t>-</w:t>
            </w:r>
          </w:p>
        </w:tc>
      </w:tr>
      <w:tr>
        <w:trPr>
          <w:trHeight w:val="48"/>
        </w:trPr>
        <w:tc>
          <w:tcPr>
            <w:tcW w:w="218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160" w:type="dxa"/>
            <w:vAlign w:val="bottom"/>
          </w:tcPr>
          <w:p>
            <w:pPr>
              <w:spacing w:after="0"/>
              <w:rPr>
                <w:sz w:val="4"/>
                <w:szCs w:val="4"/>
                <w:color w:val="auto"/>
              </w:rPr>
            </w:pPr>
          </w:p>
        </w:tc>
      </w:tr>
      <w:tr>
        <w:trPr>
          <w:trHeight w:val="247"/>
        </w:trPr>
        <w:tc>
          <w:tcPr>
            <w:tcW w:w="2180" w:type="dxa"/>
            <w:vAlign w:val="bottom"/>
            <w:shd w:val="clear" w:color="auto" w:fill="D6D1D8"/>
          </w:tcPr>
          <w:p>
            <w:pPr>
              <w:ind w:left="80"/>
              <w:spacing w:after="0"/>
              <w:rPr>
                <w:sz w:val="20"/>
                <w:szCs w:val="20"/>
                <w:color w:val="auto"/>
              </w:rPr>
            </w:pPr>
            <w:r>
              <w:rPr>
                <w:rFonts w:ascii="Arial" w:cs="Arial" w:eastAsia="Arial" w:hAnsi="Arial"/>
                <w:sz w:val="14"/>
                <w:szCs w:val="14"/>
                <w:color w:val="auto"/>
              </w:rPr>
              <w:t>Benefits (3)</w:t>
            </w:r>
          </w:p>
        </w:tc>
        <w:tc>
          <w:tcPr>
            <w:tcW w:w="206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2080" w:type="dxa"/>
            <w:vAlign w:val="bottom"/>
            <w:shd w:val="clear" w:color="auto" w:fill="D6D1D8"/>
          </w:tcPr>
          <w:p>
            <w:pPr>
              <w:jc w:val="center"/>
              <w:ind w:right="15"/>
              <w:spacing w:after="0"/>
              <w:rPr>
                <w:sz w:val="20"/>
                <w:szCs w:val="20"/>
                <w:color w:val="auto"/>
              </w:rPr>
            </w:pPr>
            <w:r>
              <w:rPr>
                <w:rFonts w:ascii="Arial" w:cs="Arial" w:eastAsia="Arial" w:hAnsi="Arial"/>
                <w:sz w:val="14"/>
                <w:szCs w:val="14"/>
                <w:color w:val="auto"/>
              </w:rPr>
              <w:t>$39,053</w:t>
            </w:r>
          </w:p>
        </w:tc>
        <w:tc>
          <w:tcPr>
            <w:tcW w:w="244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98"/>
              </w:rPr>
              <w:t>$39,053</w:t>
            </w:r>
          </w:p>
        </w:tc>
        <w:tc>
          <w:tcPr>
            <w:tcW w:w="2160" w:type="dxa"/>
            <w:vAlign w:val="bottom"/>
            <w:shd w:val="clear" w:color="auto" w:fill="D6D1D8"/>
          </w:tcPr>
          <w:p>
            <w:pPr>
              <w:jc w:val="center"/>
              <w:ind w:left="14"/>
              <w:spacing w:after="0"/>
              <w:rPr>
                <w:sz w:val="20"/>
                <w:szCs w:val="20"/>
                <w:color w:val="auto"/>
              </w:rPr>
            </w:pPr>
            <w:r>
              <w:rPr>
                <w:rFonts w:ascii="Arial" w:cs="Arial" w:eastAsia="Arial" w:hAnsi="Arial"/>
                <w:sz w:val="14"/>
                <w:szCs w:val="14"/>
                <w:color w:val="auto"/>
                <w:w w:val="84"/>
              </w:rPr>
              <w:t>-</w:t>
            </w:r>
          </w:p>
        </w:tc>
      </w:tr>
      <w:tr>
        <w:trPr>
          <w:trHeight w:val="48"/>
        </w:trPr>
        <w:tc>
          <w:tcPr>
            <w:tcW w:w="2180" w:type="dxa"/>
            <w:vAlign w:val="bottom"/>
            <w:shd w:val="clear" w:color="auto" w:fill="D6D1D8"/>
          </w:tcPr>
          <w:p>
            <w:pPr>
              <w:spacing w:after="0"/>
              <w:rPr>
                <w:sz w:val="4"/>
                <w:szCs w:val="4"/>
                <w:color w:val="auto"/>
              </w:rPr>
            </w:pPr>
          </w:p>
        </w:tc>
        <w:tc>
          <w:tcPr>
            <w:tcW w:w="2060" w:type="dxa"/>
            <w:vAlign w:val="bottom"/>
            <w:shd w:val="clear" w:color="auto" w:fill="D6D1D8"/>
          </w:tcPr>
          <w:p>
            <w:pPr>
              <w:spacing w:after="0"/>
              <w:rPr>
                <w:sz w:val="4"/>
                <w:szCs w:val="4"/>
                <w:color w:val="auto"/>
              </w:rPr>
            </w:pPr>
          </w:p>
        </w:tc>
        <w:tc>
          <w:tcPr>
            <w:tcW w:w="2080" w:type="dxa"/>
            <w:vAlign w:val="bottom"/>
            <w:shd w:val="clear" w:color="auto" w:fill="D6D1D8"/>
          </w:tcPr>
          <w:p>
            <w:pPr>
              <w:spacing w:after="0"/>
              <w:rPr>
                <w:sz w:val="4"/>
                <w:szCs w:val="4"/>
                <w:color w:val="auto"/>
              </w:rPr>
            </w:pPr>
          </w:p>
        </w:tc>
        <w:tc>
          <w:tcPr>
            <w:tcW w:w="2440" w:type="dxa"/>
            <w:vAlign w:val="bottom"/>
            <w:shd w:val="clear" w:color="auto" w:fill="D6D1D8"/>
          </w:tcPr>
          <w:p>
            <w:pPr>
              <w:spacing w:after="0"/>
              <w:rPr>
                <w:sz w:val="4"/>
                <w:szCs w:val="4"/>
                <w:color w:val="auto"/>
              </w:rPr>
            </w:pPr>
          </w:p>
        </w:tc>
        <w:tc>
          <w:tcPr>
            <w:tcW w:w="2160" w:type="dxa"/>
            <w:vAlign w:val="bottom"/>
            <w:shd w:val="clear" w:color="auto" w:fill="D6D1D8"/>
          </w:tcPr>
          <w:p>
            <w:pPr>
              <w:spacing w:after="0"/>
              <w:rPr>
                <w:sz w:val="4"/>
                <w:szCs w:val="4"/>
                <w:color w:val="auto"/>
              </w:rPr>
            </w:pPr>
          </w:p>
        </w:tc>
      </w:tr>
    </w:tbl>
    <w:p>
      <w:pPr>
        <w:spacing w:after="0" w:line="14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1080"/>
          </w:cols>
          <w:pgMar w:left="320" w:top="478"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160" w:right="100" w:firstLine="7"/>
        <w:spacing w:after="0" w:line="256" w:lineRule="auto"/>
        <w:tabs>
          <w:tab w:leader="none" w:pos="347" w:val="left"/>
        </w:tabs>
        <w:numPr>
          <w:ilvl w:val="0"/>
          <w:numId w:val="51"/>
        </w:numPr>
        <w:rPr>
          <w:rFonts w:ascii="Arial" w:cs="Arial" w:eastAsia="Arial" w:hAnsi="Arial"/>
          <w:sz w:val="12"/>
          <w:szCs w:val="12"/>
          <w:color w:val="auto"/>
        </w:rPr>
      </w:pPr>
      <w:r>
        <w:rPr>
          <w:rFonts w:ascii="Arial" w:cs="Arial" w:eastAsia="Arial" w:hAnsi="Arial"/>
          <w:sz w:val="12"/>
          <w:szCs w:val="12"/>
          <w:color w:val="auto"/>
        </w:rPr>
        <w:t>Upon a termination due to death, complete disability, or by Ms. Cameron-Doe for good reason after a change in control 37,667 shares of restricted stock would immediately vest in full and 8,358 PSUs would immediately vest in full and be exchanged for one share of Common Stock per PSU. Using the closing stock price on December 31, 2024, the acceleration value of such equity awards would be equal to an aggregate of $3,965,514, plus accrued dividends of $56,100 with respect to the restricted stock.</w:t>
      </w:r>
    </w:p>
    <w:p>
      <w:pPr>
        <w:spacing w:after="0" w:line="53" w:lineRule="exact"/>
        <w:rPr>
          <w:rFonts w:ascii="Arial" w:cs="Arial" w:eastAsia="Arial" w:hAnsi="Arial"/>
          <w:sz w:val="12"/>
          <w:szCs w:val="12"/>
          <w:color w:val="auto"/>
        </w:rPr>
      </w:pPr>
    </w:p>
    <w:p>
      <w:pPr>
        <w:ind w:left="160" w:right="120" w:firstLine="7"/>
        <w:spacing w:after="0" w:line="256" w:lineRule="auto"/>
        <w:tabs>
          <w:tab w:leader="none" w:pos="347" w:val="left"/>
        </w:tabs>
        <w:numPr>
          <w:ilvl w:val="0"/>
          <w:numId w:val="51"/>
        </w:numPr>
        <w:rPr>
          <w:rFonts w:ascii="Arial" w:cs="Arial" w:eastAsia="Arial" w:hAnsi="Arial"/>
          <w:sz w:val="12"/>
          <w:szCs w:val="12"/>
          <w:color w:val="auto"/>
        </w:rPr>
      </w:pPr>
      <w:r>
        <w:rPr>
          <w:rFonts w:ascii="Arial" w:cs="Arial" w:eastAsia="Arial" w:hAnsi="Arial"/>
          <w:sz w:val="12"/>
          <w:szCs w:val="12"/>
          <w:color w:val="auto"/>
        </w:rPr>
        <w:t>Upon a termination by the Company without cause, or by Ms. Cameron-Doe upon the Company’s material breach, 20,035 shares of restricted stock would immediately vest, and 3,997 PSUs would immediately vest and be exchanged for one share of Common Stock per PSU, in each case on a prorated basis based on the number of months since the grant date. Using the closing stock price on December 31, 2024, the acceleration value of such equity awards would be equal to an aggregate of $2,070,597, plus accrued dividends of $32,094 with respect to the restricted stock.</w:t>
      </w:r>
    </w:p>
    <w:p>
      <w:pPr>
        <w:spacing w:after="0" w:line="39" w:lineRule="exact"/>
        <w:rPr>
          <w:rFonts w:ascii="Arial" w:cs="Arial" w:eastAsia="Arial" w:hAnsi="Arial"/>
          <w:sz w:val="12"/>
          <w:szCs w:val="12"/>
          <w:color w:val="auto"/>
        </w:rPr>
      </w:pPr>
    </w:p>
    <w:p>
      <w:pPr>
        <w:ind w:left="160" w:right="120" w:firstLine="7"/>
        <w:spacing w:after="0" w:line="279" w:lineRule="auto"/>
        <w:tabs>
          <w:tab w:leader="none" w:pos="347"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These amounts represent continued health benefits for the 12-month period subsequent to the later of the remainder of the term of Ms. Cameron-Doe’s employment contract, or the cessation of the severance pay period.</w:t>
      </w:r>
    </w:p>
    <w:p>
      <w:pPr>
        <w:spacing w:after="0" w:line="40" w:lineRule="exact"/>
        <w:rPr>
          <w:rFonts w:ascii="Arial" w:cs="Arial" w:eastAsia="Arial" w:hAnsi="Arial"/>
          <w:sz w:val="12"/>
          <w:szCs w:val="12"/>
          <w:color w:val="auto"/>
        </w:rPr>
      </w:pPr>
    </w:p>
    <w:p>
      <w:pPr>
        <w:ind w:left="360" w:hanging="193"/>
        <w:spacing w:after="0"/>
        <w:tabs>
          <w:tab w:leader="none" w:pos="3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As of December 31, 2024, Ms. Cameron-Doe was not eligible to retire under the Retirement Plan.</w:t>
      </w:r>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JACQUI KRUM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163830</wp:posOffset>
            </wp:positionV>
            <wp:extent cx="6929755" cy="14693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29755" cy="1469390"/>
                    </a:xfrm>
                    <a:prstGeom prst="rect">
                      <a:avLst/>
                    </a:prstGeom>
                    <a:noFill/>
                  </pic:spPr>
                </pic:pic>
              </a:graphicData>
            </a:graphic>
          </wp:anchor>
        </w:drawing>
      </w:r>
    </w:p>
    <w:p>
      <w:pPr>
        <w:spacing w:after="0" w:line="238"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180" w:type="dxa"/>
            <w:vAlign w:val="bottom"/>
            <w:shd w:val="clear" w:color="auto" w:fill="351B3D"/>
          </w:tcPr>
          <w:p>
            <w:pPr>
              <w:spacing w:after="0"/>
              <w:rPr>
                <w:sz w:val="15"/>
                <w:szCs w:val="15"/>
                <w:color w:val="auto"/>
              </w:rPr>
            </w:pPr>
          </w:p>
        </w:tc>
        <w:tc>
          <w:tcPr>
            <w:tcW w:w="2060" w:type="dxa"/>
            <w:vAlign w:val="bottom"/>
            <w:shd w:val="clear" w:color="auto" w:fill="351B3D"/>
          </w:tcPr>
          <w:p>
            <w:pPr>
              <w:jc w:val="center"/>
              <w:spacing w:after="0"/>
              <w:rPr>
                <w:sz w:val="20"/>
                <w:szCs w:val="20"/>
                <w:color w:val="auto"/>
              </w:rPr>
            </w:pPr>
            <w:r>
              <w:rPr>
                <w:rFonts w:ascii="Arial" w:cs="Arial" w:eastAsia="Arial" w:hAnsi="Arial"/>
                <w:sz w:val="11"/>
                <w:szCs w:val="11"/>
                <w:color w:val="FFFFFF"/>
                <w:w w:val="97"/>
              </w:rPr>
              <w:t>TERMINATION UPON</w:t>
            </w:r>
          </w:p>
        </w:tc>
        <w:tc>
          <w:tcPr>
            <w:tcW w:w="2080" w:type="dxa"/>
            <w:vAlign w:val="bottom"/>
            <w:shd w:val="clear" w:color="auto" w:fill="351B3D"/>
          </w:tcPr>
          <w:p>
            <w:pPr>
              <w:jc w:val="center"/>
              <w:ind w:right="35"/>
              <w:spacing w:after="0"/>
              <w:rPr>
                <w:sz w:val="20"/>
                <w:szCs w:val="20"/>
                <w:color w:val="auto"/>
              </w:rPr>
            </w:pPr>
            <w:r>
              <w:rPr>
                <w:rFonts w:ascii="Arial" w:cs="Arial" w:eastAsia="Arial" w:hAnsi="Arial"/>
                <w:sz w:val="11"/>
                <w:szCs w:val="11"/>
                <w:color w:val="FFFFFF"/>
                <w:w w:val="96"/>
              </w:rPr>
              <w:t>TERMINATION WITHOUT</w:t>
            </w:r>
          </w:p>
        </w:tc>
        <w:tc>
          <w:tcPr>
            <w:tcW w:w="2440" w:type="dxa"/>
            <w:vAlign w:val="bottom"/>
            <w:shd w:val="clear" w:color="auto" w:fill="351B3D"/>
          </w:tcPr>
          <w:p>
            <w:pPr>
              <w:jc w:val="center"/>
              <w:spacing w:after="0"/>
              <w:rPr>
                <w:sz w:val="20"/>
                <w:szCs w:val="20"/>
                <w:color w:val="auto"/>
              </w:rPr>
            </w:pPr>
            <w:r>
              <w:rPr>
                <w:rFonts w:ascii="Arial" w:cs="Arial" w:eastAsia="Arial" w:hAnsi="Arial"/>
                <w:sz w:val="11"/>
                <w:szCs w:val="11"/>
                <w:color w:val="FFFFFF"/>
                <w:w w:val="96"/>
              </w:rPr>
              <w:t>TERMINATION BY EMPLOYEE</w:t>
            </w:r>
          </w:p>
        </w:tc>
        <w:tc>
          <w:tcPr>
            <w:tcW w:w="2160" w:type="dxa"/>
            <w:vAlign w:val="bottom"/>
            <w:shd w:val="clear" w:color="auto" w:fill="351B3D"/>
          </w:tcPr>
          <w:p>
            <w:pPr>
              <w:spacing w:after="0"/>
              <w:rPr>
                <w:sz w:val="15"/>
                <w:szCs w:val="15"/>
                <w:color w:val="auto"/>
              </w:rPr>
            </w:pPr>
          </w:p>
        </w:tc>
      </w:tr>
      <w:tr>
        <w:trPr>
          <w:trHeight w:val="120"/>
        </w:trPr>
        <w:tc>
          <w:tcPr>
            <w:tcW w:w="2180" w:type="dxa"/>
            <w:vAlign w:val="bottom"/>
            <w:shd w:val="clear" w:color="auto" w:fill="351B3D"/>
          </w:tcPr>
          <w:p>
            <w:pPr>
              <w:spacing w:after="0"/>
              <w:rPr>
                <w:sz w:val="10"/>
                <w:szCs w:val="10"/>
                <w:color w:val="auto"/>
              </w:rPr>
            </w:pPr>
          </w:p>
        </w:tc>
        <w:tc>
          <w:tcPr>
            <w:tcW w:w="2060" w:type="dxa"/>
            <w:vAlign w:val="bottom"/>
            <w:shd w:val="clear" w:color="auto" w:fill="351B3D"/>
          </w:tcPr>
          <w:p>
            <w:pPr>
              <w:jc w:val="center"/>
              <w:spacing w:after="0" w:line="121" w:lineRule="exact"/>
              <w:rPr>
                <w:sz w:val="20"/>
                <w:szCs w:val="20"/>
                <w:color w:val="auto"/>
              </w:rPr>
            </w:pPr>
            <w:r>
              <w:rPr>
                <w:rFonts w:ascii="Arial" w:cs="Arial" w:eastAsia="Arial" w:hAnsi="Arial"/>
                <w:sz w:val="11"/>
                <w:szCs w:val="11"/>
                <w:color w:val="FFFFFF"/>
                <w:w w:val="96"/>
              </w:rPr>
              <w:t>DEATH OR COMPLETE</w:t>
            </w:r>
          </w:p>
        </w:tc>
        <w:tc>
          <w:tcPr>
            <w:tcW w:w="2080" w:type="dxa"/>
            <w:vAlign w:val="bottom"/>
            <w:shd w:val="clear" w:color="auto" w:fill="351B3D"/>
          </w:tcPr>
          <w:p>
            <w:pPr>
              <w:jc w:val="center"/>
              <w:ind w:right="35"/>
              <w:spacing w:after="0" w:line="121" w:lineRule="exact"/>
              <w:rPr>
                <w:sz w:val="20"/>
                <w:szCs w:val="20"/>
                <w:color w:val="auto"/>
              </w:rPr>
            </w:pPr>
            <w:r>
              <w:rPr>
                <w:rFonts w:ascii="Arial" w:cs="Arial" w:eastAsia="Arial" w:hAnsi="Arial"/>
                <w:sz w:val="11"/>
                <w:szCs w:val="11"/>
                <w:color w:val="FFFFFF"/>
                <w:w w:val="97"/>
              </w:rPr>
              <w:t>CAUSE OR UPON</w:t>
            </w:r>
          </w:p>
        </w:tc>
        <w:tc>
          <w:tcPr>
            <w:tcW w:w="2440" w:type="dxa"/>
            <w:vAlign w:val="bottom"/>
            <w:shd w:val="clear" w:color="auto" w:fill="351B3D"/>
          </w:tcPr>
          <w:p>
            <w:pPr>
              <w:jc w:val="center"/>
              <w:spacing w:after="0" w:line="121" w:lineRule="exact"/>
              <w:rPr>
                <w:sz w:val="20"/>
                <w:szCs w:val="20"/>
                <w:color w:val="auto"/>
              </w:rPr>
            </w:pPr>
            <w:r>
              <w:rPr>
                <w:rFonts w:ascii="Arial" w:cs="Arial" w:eastAsia="Arial" w:hAnsi="Arial"/>
                <w:sz w:val="11"/>
                <w:szCs w:val="11"/>
                <w:color w:val="FFFFFF"/>
                <w:w w:val="95"/>
              </w:rPr>
              <w:t>FOR GOOD REASON AFTER</w:t>
            </w:r>
          </w:p>
        </w:tc>
        <w:tc>
          <w:tcPr>
            <w:tcW w:w="2160" w:type="dxa"/>
            <w:vAlign w:val="bottom"/>
            <w:shd w:val="clear" w:color="auto" w:fill="351B3D"/>
          </w:tcPr>
          <w:p>
            <w:pPr>
              <w:jc w:val="center"/>
              <w:ind w:left="14"/>
              <w:spacing w:after="0" w:line="121" w:lineRule="exact"/>
              <w:rPr>
                <w:sz w:val="20"/>
                <w:szCs w:val="20"/>
                <w:color w:val="auto"/>
              </w:rPr>
            </w:pPr>
            <w:r>
              <w:rPr>
                <w:rFonts w:ascii="Arial" w:cs="Arial" w:eastAsia="Arial" w:hAnsi="Arial"/>
                <w:sz w:val="11"/>
                <w:szCs w:val="11"/>
                <w:color w:val="FFFFFF"/>
                <w:w w:val="97"/>
              </w:rPr>
              <w:t>RETIREMENT PURSUANT</w:t>
            </w:r>
          </w:p>
        </w:tc>
      </w:tr>
      <w:tr>
        <w:trPr>
          <w:trHeight w:val="194"/>
        </w:trPr>
        <w:tc>
          <w:tcPr>
            <w:tcW w:w="2180" w:type="dxa"/>
            <w:vAlign w:val="bottom"/>
            <w:tcBorders>
              <w:bottom w:val="single" w:sz="8" w:color="351B3D"/>
            </w:tcBorders>
            <w:shd w:val="clear" w:color="auto" w:fill="351B3D"/>
          </w:tcPr>
          <w:p>
            <w:pPr>
              <w:spacing w:after="0"/>
              <w:rPr>
                <w:sz w:val="16"/>
                <w:szCs w:val="16"/>
                <w:color w:val="auto"/>
              </w:rPr>
            </w:pPr>
          </w:p>
        </w:tc>
        <w:tc>
          <w:tcPr>
            <w:tcW w:w="2060" w:type="dxa"/>
            <w:vAlign w:val="bottom"/>
            <w:tcBorders>
              <w:bottom w:val="single" w:sz="8" w:color="351B3D"/>
            </w:tcBorders>
            <w:shd w:val="clear" w:color="auto" w:fill="351B3D"/>
          </w:tcPr>
          <w:p>
            <w:pPr>
              <w:jc w:val="center"/>
              <w:spacing w:after="0"/>
              <w:rPr>
                <w:sz w:val="20"/>
                <w:szCs w:val="20"/>
                <w:color w:val="auto"/>
              </w:rPr>
            </w:pPr>
            <w:r>
              <w:rPr>
                <w:rFonts w:ascii="Arial" w:cs="Arial" w:eastAsia="Arial" w:hAnsi="Arial"/>
                <w:sz w:val="11"/>
                <w:szCs w:val="11"/>
                <w:color w:val="FFFFFF"/>
                <w:w w:val="97"/>
              </w:rPr>
              <w:t>DISABILITY</w:t>
            </w:r>
          </w:p>
        </w:tc>
        <w:tc>
          <w:tcPr>
            <w:tcW w:w="2080" w:type="dxa"/>
            <w:vAlign w:val="bottom"/>
            <w:tcBorders>
              <w:bottom w:val="single" w:sz="8" w:color="351B3D"/>
            </w:tcBorders>
            <w:shd w:val="clear" w:color="auto" w:fill="351B3D"/>
          </w:tcPr>
          <w:p>
            <w:pPr>
              <w:jc w:val="center"/>
              <w:ind w:right="15"/>
              <w:spacing w:after="0"/>
              <w:rPr>
                <w:sz w:val="20"/>
                <w:szCs w:val="20"/>
                <w:color w:val="auto"/>
              </w:rPr>
            </w:pPr>
            <w:r>
              <w:rPr>
                <w:rFonts w:ascii="Arial" w:cs="Arial" w:eastAsia="Arial" w:hAnsi="Arial"/>
                <w:sz w:val="11"/>
                <w:szCs w:val="11"/>
                <w:color w:val="FFFFFF"/>
                <w:w w:val="96"/>
              </w:rPr>
              <w:t>MATERIAL BREACH</w:t>
            </w:r>
          </w:p>
        </w:tc>
        <w:tc>
          <w:tcPr>
            <w:tcW w:w="2440" w:type="dxa"/>
            <w:vAlign w:val="bottom"/>
            <w:tcBorders>
              <w:bottom w:val="single" w:sz="8" w:color="351B3D"/>
            </w:tcBorders>
            <w:shd w:val="clear" w:color="auto" w:fill="351B3D"/>
          </w:tcPr>
          <w:p>
            <w:pPr>
              <w:jc w:val="center"/>
              <w:spacing w:after="0"/>
              <w:rPr>
                <w:sz w:val="20"/>
                <w:szCs w:val="20"/>
                <w:color w:val="auto"/>
              </w:rPr>
            </w:pPr>
            <w:r>
              <w:rPr>
                <w:rFonts w:ascii="Arial" w:cs="Arial" w:eastAsia="Arial" w:hAnsi="Arial"/>
                <w:sz w:val="11"/>
                <w:szCs w:val="11"/>
                <w:color w:val="FFFFFF"/>
                <w:w w:val="96"/>
              </w:rPr>
              <w:t>CHANGE IN CONTROL</w:t>
            </w:r>
          </w:p>
        </w:tc>
        <w:tc>
          <w:tcPr>
            <w:tcW w:w="2160" w:type="dxa"/>
            <w:vAlign w:val="bottom"/>
            <w:tcBorders>
              <w:bottom w:val="single" w:sz="8" w:color="351B3D"/>
            </w:tcBorders>
            <w:shd w:val="clear" w:color="auto" w:fill="351B3D"/>
          </w:tcPr>
          <w:p>
            <w:pPr>
              <w:jc w:val="center"/>
              <w:ind w:left="34"/>
              <w:spacing w:after="0"/>
              <w:rPr>
                <w:sz w:val="20"/>
                <w:szCs w:val="20"/>
                <w:color w:val="auto"/>
              </w:rPr>
            </w:pPr>
            <w:r>
              <w:rPr>
                <w:rFonts w:ascii="Arial" w:cs="Arial" w:eastAsia="Arial" w:hAnsi="Arial"/>
                <w:sz w:val="11"/>
                <w:szCs w:val="11"/>
                <w:color w:val="FFFFFF"/>
                <w:w w:val="96"/>
              </w:rPr>
              <w:t>TO RETIREMENT PLAN (4)</w:t>
            </w:r>
          </w:p>
        </w:tc>
      </w:tr>
      <w:tr>
        <w:trPr>
          <w:trHeight w:val="218"/>
        </w:trPr>
        <w:tc>
          <w:tcPr>
            <w:tcW w:w="2180" w:type="dxa"/>
            <w:vAlign w:val="bottom"/>
            <w:shd w:val="clear" w:color="auto" w:fill="D6D1D8"/>
          </w:tcPr>
          <w:p>
            <w:pPr>
              <w:spacing w:after="0"/>
              <w:rPr>
                <w:sz w:val="18"/>
                <w:szCs w:val="18"/>
                <w:color w:val="auto"/>
              </w:rPr>
            </w:pPr>
          </w:p>
        </w:tc>
        <w:tc>
          <w:tcPr>
            <w:tcW w:w="206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Amounts earned and</w:t>
            </w:r>
          </w:p>
        </w:tc>
        <w:tc>
          <w:tcPr>
            <w:tcW w:w="2080" w:type="dxa"/>
            <w:vAlign w:val="bottom"/>
            <w:shd w:val="clear" w:color="auto" w:fill="D6D1D8"/>
          </w:tcPr>
          <w:p>
            <w:pPr>
              <w:spacing w:after="0"/>
              <w:rPr>
                <w:sz w:val="18"/>
                <w:szCs w:val="18"/>
                <w:color w:val="auto"/>
              </w:rPr>
            </w:pPr>
          </w:p>
        </w:tc>
        <w:tc>
          <w:tcPr>
            <w:tcW w:w="2440" w:type="dxa"/>
            <w:vAlign w:val="bottom"/>
            <w:shd w:val="clear" w:color="auto" w:fill="D6D1D8"/>
          </w:tcPr>
          <w:p>
            <w:pPr>
              <w:spacing w:after="0"/>
              <w:rPr>
                <w:sz w:val="18"/>
                <w:szCs w:val="18"/>
                <w:color w:val="auto"/>
              </w:rPr>
            </w:pPr>
          </w:p>
        </w:tc>
        <w:tc>
          <w:tcPr>
            <w:tcW w:w="2160" w:type="dxa"/>
            <w:vAlign w:val="bottom"/>
            <w:shd w:val="clear" w:color="auto" w:fill="D6D1D8"/>
          </w:tcPr>
          <w:p>
            <w:pPr>
              <w:spacing w:after="0"/>
              <w:rPr>
                <w:sz w:val="18"/>
                <w:szCs w:val="18"/>
                <w:color w:val="auto"/>
              </w:rPr>
            </w:pPr>
          </w:p>
        </w:tc>
      </w:tr>
      <w:tr>
        <w:trPr>
          <w:trHeight w:val="160"/>
        </w:trPr>
        <w:tc>
          <w:tcPr>
            <w:tcW w:w="2180" w:type="dxa"/>
            <w:vAlign w:val="bottom"/>
            <w:shd w:val="clear" w:color="auto" w:fill="D6D1D8"/>
          </w:tcPr>
          <w:p>
            <w:pPr>
              <w:ind w:left="80"/>
              <w:spacing w:after="0"/>
              <w:rPr>
                <w:sz w:val="20"/>
                <w:szCs w:val="20"/>
                <w:color w:val="auto"/>
              </w:rPr>
            </w:pPr>
            <w:r>
              <w:rPr>
                <w:rFonts w:ascii="Arial" w:cs="Arial" w:eastAsia="Arial" w:hAnsi="Arial"/>
                <w:sz w:val="14"/>
                <w:szCs w:val="14"/>
                <w:color w:val="auto"/>
              </w:rPr>
              <w:t>Base Salary</w:t>
            </w:r>
          </w:p>
        </w:tc>
        <w:tc>
          <w:tcPr>
            <w:tcW w:w="2060" w:type="dxa"/>
            <w:vAlign w:val="bottom"/>
            <w:shd w:val="clear" w:color="auto" w:fill="D6D1D8"/>
          </w:tcPr>
          <w:p>
            <w:pPr>
              <w:jc w:val="center"/>
              <w:spacing w:after="0"/>
              <w:rPr>
                <w:sz w:val="20"/>
                <w:szCs w:val="20"/>
                <w:color w:val="auto"/>
              </w:rPr>
            </w:pPr>
            <w:r>
              <w:rPr>
                <w:rFonts w:ascii="Arial" w:cs="Arial" w:eastAsia="Arial" w:hAnsi="Arial"/>
                <w:sz w:val="14"/>
                <w:szCs w:val="14"/>
                <w:color w:val="auto"/>
              </w:rPr>
              <w:t>unpaid through the</w:t>
            </w:r>
          </w:p>
        </w:tc>
        <w:tc>
          <w:tcPr>
            <w:tcW w:w="2080" w:type="dxa"/>
            <w:vAlign w:val="bottom"/>
            <w:shd w:val="clear" w:color="auto" w:fill="D6D1D8"/>
          </w:tcPr>
          <w:p>
            <w:pPr>
              <w:jc w:val="center"/>
              <w:ind w:right="15"/>
              <w:spacing w:after="0"/>
              <w:rPr>
                <w:sz w:val="20"/>
                <w:szCs w:val="20"/>
                <w:color w:val="auto"/>
              </w:rPr>
            </w:pPr>
            <w:r>
              <w:rPr>
                <w:rFonts w:ascii="Arial" w:cs="Arial" w:eastAsia="Arial" w:hAnsi="Arial"/>
                <w:sz w:val="14"/>
                <w:szCs w:val="14"/>
                <w:color w:val="auto"/>
              </w:rPr>
              <w:t>$2,233,151</w:t>
            </w:r>
          </w:p>
        </w:tc>
        <w:tc>
          <w:tcPr>
            <w:tcW w:w="244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99"/>
              </w:rPr>
              <w:t>$2,233,151</w:t>
            </w:r>
          </w:p>
        </w:tc>
        <w:tc>
          <w:tcPr>
            <w:tcW w:w="2160" w:type="dxa"/>
            <w:vAlign w:val="bottom"/>
            <w:shd w:val="clear" w:color="auto" w:fill="D6D1D8"/>
          </w:tcPr>
          <w:p>
            <w:pPr>
              <w:jc w:val="center"/>
              <w:ind w:left="14"/>
              <w:spacing w:after="0"/>
              <w:rPr>
                <w:sz w:val="20"/>
                <w:szCs w:val="20"/>
                <w:color w:val="auto"/>
              </w:rPr>
            </w:pPr>
            <w:r>
              <w:rPr>
                <w:rFonts w:ascii="Arial" w:cs="Arial" w:eastAsia="Arial" w:hAnsi="Arial"/>
                <w:sz w:val="14"/>
                <w:szCs w:val="14"/>
                <w:color w:val="auto"/>
                <w:w w:val="84"/>
              </w:rPr>
              <w:t>-</w:t>
            </w:r>
          </w:p>
        </w:tc>
      </w:tr>
      <w:tr>
        <w:trPr>
          <w:trHeight w:val="217"/>
        </w:trPr>
        <w:tc>
          <w:tcPr>
            <w:tcW w:w="2180" w:type="dxa"/>
            <w:vAlign w:val="bottom"/>
            <w:tcBorders>
              <w:bottom w:val="single" w:sz="8" w:color="D6D1D8"/>
            </w:tcBorders>
            <w:shd w:val="clear" w:color="auto" w:fill="D6D1D8"/>
          </w:tcPr>
          <w:p>
            <w:pPr>
              <w:spacing w:after="0"/>
              <w:rPr>
                <w:sz w:val="18"/>
                <w:szCs w:val="18"/>
                <w:color w:val="auto"/>
              </w:rPr>
            </w:pPr>
          </w:p>
        </w:tc>
        <w:tc>
          <w:tcPr>
            <w:tcW w:w="2060" w:type="dxa"/>
            <w:vAlign w:val="bottom"/>
            <w:tcBorders>
              <w:bottom w:val="single" w:sz="8" w:color="D6D1D8"/>
            </w:tcBorders>
            <w:shd w:val="clear" w:color="auto" w:fill="D6D1D8"/>
          </w:tcPr>
          <w:p>
            <w:pPr>
              <w:jc w:val="center"/>
              <w:spacing w:after="0"/>
              <w:rPr>
                <w:sz w:val="20"/>
                <w:szCs w:val="20"/>
                <w:color w:val="auto"/>
              </w:rPr>
            </w:pPr>
            <w:r>
              <w:rPr>
                <w:rFonts w:ascii="Arial" w:cs="Arial" w:eastAsia="Arial" w:hAnsi="Arial"/>
                <w:sz w:val="14"/>
                <w:szCs w:val="14"/>
                <w:color w:val="auto"/>
              </w:rPr>
              <w:t>date of termination</w:t>
            </w:r>
          </w:p>
        </w:tc>
        <w:tc>
          <w:tcPr>
            <w:tcW w:w="2080" w:type="dxa"/>
            <w:vAlign w:val="bottom"/>
            <w:tcBorders>
              <w:bottom w:val="single" w:sz="8" w:color="D6D1D8"/>
            </w:tcBorders>
            <w:shd w:val="clear" w:color="auto" w:fill="D6D1D8"/>
          </w:tcPr>
          <w:p>
            <w:pPr>
              <w:spacing w:after="0"/>
              <w:rPr>
                <w:sz w:val="18"/>
                <w:szCs w:val="18"/>
                <w:color w:val="auto"/>
              </w:rPr>
            </w:pPr>
          </w:p>
        </w:tc>
        <w:tc>
          <w:tcPr>
            <w:tcW w:w="2440" w:type="dxa"/>
            <w:vAlign w:val="bottom"/>
            <w:tcBorders>
              <w:bottom w:val="single" w:sz="8" w:color="D6D1D8"/>
            </w:tcBorders>
            <w:shd w:val="clear" w:color="auto" w:fill="D6D1D8"/>
          </w:tcPr>
          <w:p>
            <w:pPr>
              <w:spacing w:after="0"/>
              <w:rPr>
                <w:sz w:val="18"/>
                <w:szCs w:val="18"/>
                <w:color w:val="auto"/>
              </w:rPr>
            </w:pPr>
          </w:p>
        </w:tc>
        <w:tc>
          <w:tcPr>
            <w:tcW w:w="2160" w:type="dxa"/>
            <w:vAlign w:val="bottom"/>
            <w:tcBorders>
              <w:bottom w:val="single" w:sz="8" w:color="D6D1D8"/>
            </w:tcBorders>
            <w:shd w:val="clear" w:color="auto" w:fill="D6D1D8"/>
          </w:tcPr>
          <w:p>
            <w:pPr>
              <w:spacing w:after="0"/>
              <w:rPr>
                <w:sz w:val="18"/>
                <w:szCs w:val="18"/>
                <w:color w:val="auto"/>
              </w:rPr>
            </w:pPr>
          </w:p>
        </w:tc>
      </w:tr>
      <w:tr>
        <w:trPr>
          <w:trHeight w:val="247"/>
        </w:trPr>
        <w:tc>
          <w:tcPr>
            <w:tcW w:w="2180" w:type="dxa"/>
            <w:vAlign w:val="bottom"/>
          </w:tcPr>
          <w:p>
            <w:pPr>
              <w:ind w:left="80"/>
              <w:spacing w:after="0"/>
              <w:rPr>
                <w:sz w:val="20"/>
                <w:szCs w:val="20"/>
                <w:color w:val="auto"/>
              </w:rPr>
            </w:pPr>
            <w:r>
              <w:rPr>
                <w:rFonts w:ascii="Arial" w:cs="Arial" w:eastAsia="Arial" w:hAnsi="Arial"/>
                <w:sz w:val="14"/>
                <w:szCs w:val="14"/>
                <w:color w:val="auto"/>
              </w:rPr>
              <w:t>Bonus</w:t>
            </w:r>
          </w:p>
        </w:tc>
        <w:tc>
          <w:tcPr>
            <w:tcW w:w="20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2080" w:type="dxa"/>
            <w:vAlign w:val="bottom"/>
          </w:tcPr>
          <w:p>
            <w:pPr>
              <w:jc w:val="center"/>
              <w:ind w:right="15"/>
              <w:spacing w:after="0"/>
              <w:rPr>
                <w:sz w:val="20"/>
                <w:szCs w:val="20"/>
                <w:color w:val="auto"/>
              </w:rPr>
            </w:pPr>
            <w:r>
              <w:rPr>
                <w:rFonts w:ascii="Arial" w:cs="Arial" w:eastAsia="Arial" w:hAnsi="Arial"/>
                <w:sz w:val="14"/>
                <w:szCs w:val="14"/>
                <w:color w:val="auto"/>
              </w:rPr>
              <w:t>$1,773,752</w:t>
            </w:r>
          </w:p>
        </w:tc>
        <w:tc>
          <w:tcPr>
            <w:tcW w:w="2440" w:type="dxa"/>
            <w:vAlign w:val="bottom"/>
          </w:tcPr>
          <w:p>
            <w:pPr>
              <w:jc w:val="center"/>
              <w:spacing w:after="0"/>
              <w:rPr>
                <w:sz w:val="20"/>
                <w:szCs w:val="20"/>
                <w:color w:val="auto"/>
              </w:rPr>
            </w:pPr>
            <w:r>
              <w:rPr>
                <w:rFonts w:ascii="Arial" w:cs="Arial" w:eastAsia="Arial" w:hAnsi="Arial"/>
                <w:sz w:val="14"/>
                <w:szCs w:val="14"/>
                <w:color w:val="auto"/>
                <w:w w:val="99"/>
              </w:rPr>
              <w:t>$1,773,752</w:t>
            </w:r>
          </w:p>
        </w:tc>
        <w:tc>
          <w:tcPr>
            <w:tcW w:w="2160" w:type="dxa"/>
            <w:vAlign w:val="bottom"/>
          </w:tcPr>
          <w:p>
            <w:pPr>
              <w:jc w:val="center"/>
              <w:ind w:left="14"/>
              <w:spacing w:after="0"/>
              <w:rPr>
                <w:sz w:val="20"/>
                <w:szCs w:val="20"/>
                <w:color w:val="auto"/>
              </w:rPr>
            </w:pPr>
            <w:r>
              <w:rPr>
                <w:rFonts w:ascii="Arial" w:cs="Arial" w:eastAsia="Arial" w:hAnsi="Arial"/>
                <w:sz w:val="14"/>
                <w:szCs w:val="14"/>
                <w:color w:val="auto"/>
                <w:w w:val="84"/>
              </w:rPr>
              <w:t>-</w:t>
            </w:r>
          </w:p>
        </w:tc>
      </w:tr>
      <w:tr>
        <w:trPr>
          <w:trHeight w:val="48"/>
        </w:trPr>
        <w:tc>
          <w:tcPr>
            <w:tcW w:w="218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160" w:type="dxa"/>
            <w:vAlign w:val="bottom"/>
          </w:tcPr>
          <w:p>
            <w:pPr>
              <w:spacing w:after="0"/>
              <w:rPr>
                <w:sz w:val="4"/>
                <w:szCs w:val="4"/>
                <w:color w:val="auto"/>
              </w:rPr>
            </w:pPr>
          </w:p>
        </w:tc>
      </w:tr>
      <w:tr>
        <w:trPr>
          <w:trHeight w:val="274"/>
        </w:trPr>
        <w:tc>
          <w:tcPr>
            <w:tcW w:w="2180" w:type="dxa"/>
            <w:vAlign w:val="bottom"/>
            <w:tcBorders>
              <w:bottom w:val="single" w:sz="8" w:color="D6D1D8"/>
            </w:tcBorders>
            <w:shd w:val="clear" w:color="auto" w:fill="D6D1D8"/>
          </w:tcPr>
          <w:p>
            <w:pPr>
              <w:ind w:left="80"/>
              <w:spacing w:after="0"/>
              <w:rPr>
                <w:sz w:val="20"/>
                <w:szCs w:val="20"/>
                <w:color w:val="auto"/>
              </w:rPr>
            </w:pPr>
            <w:r>
              <w:rPr>
                <w:rFonts w:ascii="Arial" w:cs="Arial" w:eastAsia="Arial" w:hAnsi="Arial"/>
                <w:sz w:val="14"/>
                <w:szCs w:val="14"/>
                <w:color w:val="auto"/>
                <w:highlight w:val="lightGray"/>
              </w:rPr>
              <w:t>Outstanding Equity Awards (1)(2)</w:t>
            </w:r>
          </w:p>
        </w:tc>
        <w:tc>
          <w:tcPr>
            <w:tcW w:w="2060" w:type="dxa"/>
            <w:vAlign w:val="bottom"/>
            <w:tcBorders>
              <w:bottom w:val="single" w:sz="8" w:color="D6D1D8"/>
            </w:tcBorders>
            <w:shd w:val="clear" w:color="auto" w:fill="D6D1D8"/>
          </w:tcPr>
          <w:p>
            <w:pPr>
              <w:jc w:val="center"/>
              <w:spacing w:after="0"/>
              <w:rPr>
                <w:sz w:val="20"/>
                <w:szCs w:val="20"/>
                <w:color w:val="auto"/>
              </w:rPr>
            </w:pPr>
            <w:r>
              <w:rPr>
                <w:rFonts w:ascii="Arial" w:cs="Arial" w:eastAsia="Arial" w:hAnsi="Arial"/>
                <w:sz w:val="14"/>
                <w:szCs w:val="14"/>
                <w:color w:val="auto"/>
              </w:rPr>
              <w:t>$1,771,860</w:t>
            </w:r>
          </w:p>
        </w:tc>
        <w:tc>
          <w:tcPr>
            <w:tcW w:w="2080" w:type="dxa"/>
            <w:vAlign w:val="bottom"/>
            <w:tcBorders>
              <w:bottom w:val="single" w:sz="8" w:color="D6D1D8"/>
            </w:tcBorders>
            <w:shd w:val="clear" w:color="auto" w:fill="D6D1D8"/>
          </w:tcPr>
          <w:p>
            <w:pPr>
              <w:jc w:val="center"/>
              <w:ind w:right="15"/>
              <w:spacing w:after="0"/>
              <w:rPr>
                <w:sz w:val="20"/>
                <w:szCs w:val="20"/>
                <w:color w:val="auto"/>
              </w:rPr>
            </w:pPr>
            <w:r>
              <w:rPr>
                <w:rFonts w:ascii="Arial" w:cs="Arial" w:eastAsia="Arial" w:hAnsi="Arial"/>
                <w:sz w:val="14"/>
                <w:szCs w:val="14"/>
                <w:color w:val="auto"/>
              </w:rPr>
              <w:t>$236,230</w:t>
            </w:r>
          </w:p>
        </w:tc>
        <w:tc>
          <w:tcPr>
            <w:tcW w:w="2440" w:type="dxa"/>
            <w:vAlign w:val="bottom"/>
            <w:tcBorders>
              <w:bottom w:val="single" w:sz="8" w:color="D6D1D8"/>
            </w:tcBorders>
            <w:shd w:val="clear" w:color="auto" w:fill="D6D1D8"/>
          </w:tcPr>
          <w:p>
            <w:pPr>
              <w:jc w:val="center"/>
              <w:spacing w:after="0"/>
              <w:rPr>
                <w:sz w:val="20"/>
                <w:szCs w:val="20"/>
                <w:color w:val="auto"/>
              </w:rPr>
            </w:pPr>
            <w:r>
              <w:rPr>
                <w:rFonts w:ascii="Arial" w:cs="Arial" w:eastAsia="Arial" w:hAnsi="Arial"/>
                <w:sz w:val="14"/>
                <w:szCs w:val="14"/>
                <w:color w:val="auto"/>
                <w:w w:val="99"/>
              </w:rPr>
              <w:t>$1,771,860</w:t>
            </w:r>
          </w:p>
        </w:tc>
        <w:tc>
          <w:tcPr>
            <w:tcW w:w="2160" w:type="dxa"/>
            <w:vAlign w:val="bottom"/>
            <w:tcBorders>
              <w:bottom w:val="single" w:sz="8" w:color="D6D1D8"/>
            </w:tcBorders>
            <w:shd w:val="clear" w:color="auto" w:fill="D6D1D8"/>
          </w:tcPr>
          <w:p>
            <w:pPr>
              <w:jc w:val="center"/>
              <w:ind w:left="14"/>
              <w:spacing w:after="0"/>
              <w:rPr>
                <w:sz w:val="20"/>
                <w:szCs w:val="20"/>
                <w:color w:val="auto"/>
              </w:rPr>
            </w:pPr>
            <w:r>
              <w:rPr>
                <w:rFonts w:ascii="Arial" w:cs="Arial" w:eastAsia="Arial" w:hAnsi="Arial"/>
                <w:sz w:val="14"/>
                <w:szCs w:val="14"/>
                <w:color w:val="auto"/>
                <w:w w:val="84"/>
              </w:rPr>
              <w:t>-</w:t>
            </w:r>
          </w:p>
        </w:tc>
      </w:tr>
      <w:tr>
        <w:trPr>
          <w:trHeight w:val="247"/>
        </w:trPr>
        <w:tc>
          <w:tcPr>
            <w:tcW w:w="2180" w:type="dxa"/>
            <w:vAlign w:val="bottom"/>
          </w:tcPr>
          <w:p>
            <w:pPr>
              <w:ind w:left="80"/>
              <w:spacing w:after="0"/>
              <w:rPr>
                <w:sz w:val="20"/>
                <w:szCs w:val="20"/>
                <w:color w:val="auto"/>
              </w:rPr>
            </w:pPr>
            <w:r>
              <w:rPr>
                <w:rFonts w:ascii="Arial" w:cs="Arial" w:eastAsia="Arial" w:hAnsi="Arial"/>
                <w:sz w:val="14"/>
                <w:szCs w:val="14"/>
                <w:color w:val="auto"/>
              </w:rPr>
              <w:t>Company-Paid Life Insurance</w:t>
            </w:r>
          </w:p>
        </w:tc>
        <w:tc>
          <w:tcPr>
            <w:tcW w:w="2060" w:type="dxa"/>
            <w:vAlign w:val="bottom"/>
          </w:tcPr>
          <w:p>
            <w:pPr>
              <w:jc w:val="center"/>
              <w:spacing w:after="0"/>
              <w:rPr>
                <w:sz w:val="20"/>
                <w:szCs w:val="20"/>
                <w:color w:val="auto"/>
              </w:rPr>
            </w:pPr>
            <w:r>
              <w:rPr>
                <w:rFonts w:ascii="Arial" w:cs="Arial" w:eastAsia="Arial" w:hAnsi="Arial"/>
                <w:sz w:val="14"/>
                <w:szCs w:val="14"/>
                <w:color w:val="auto"/>
              </w:rPr>
              <w:t>$825,000</w:t>
            </w:r>
          </w:p>
        </w:tc>
        <w:tc>
          <w:tcPr>
            <w:tcW w:w="2080" w:type="dxa"/>
            <w:vAlign w:val="bottom"/>
          </w:tcPr>
          <w:p>
            <w:pPr>
              <w:jc w:val="center"/>
              <w:ind w:right="15"/>
              <w:spacing w:after="0"/>
              <w:rPr>
                <w:sz w:val="20"/>
                <w:szCs w:val="20"/>
                <w:color w:val="auto"/>
              </w:rPr>
            </w:pPr>
            <w:r>
              <w:rPr>
                <w:rFonts w:ascii="Arial" w:cs="Arial" w:eastAsia="Arial" w:hAnsi="Arial"/>
                <w:sz w:val="14"/>
                <w:szCs w:val="14"/>
                <w:color w:val="auto"/>
                <w:w w:val="84"/>
              </w:rPr>
              <w:t>-</w:t>
            </w:r>
          </w:p>
        </w:tc>
        <w:tc>
          <w:tcPr>
            <w:tcW w:w="2440" w:type="dxa"/>
            <w:vAlign w:val="bottom"/>
          </w:tcPr>
          <w:p>
            <w:pPr>
              <w:jc w:val="center"/>
              <w:spacing w:after="0"/>
              <w:rPr>
                <w:sz w:val="20"/>
                <w:szCs w:val="20"/>
                <w:color w:val="auto"/>
              </w:rPr>
            </w:pPr>
            <w:r>
              <w:rPr>
                <w:rFonts w:ascii="Arial" w:cs="Arial" w:eastAsia="Arial" w:hAnsi="Arial"/>
                <w:sz w:val="14"/>
                <w:szCs w:val="14"/>
                <w:color w:val="auto"/>
              </w:rPr>
              <w:t>-</w:t>
            </w:r>
          </w:p>
        </w:tc>
        <w:tc>
          <w:tcPr>
            <w:tcW w:w="2160" w:type="dxa"/>
            <w:vAlign w:val="bottom"/>
          </w:tcPr>
          <w:p>
            <w:pPr>
              <w:jc w:val="center"/>
              <w:ind w:left="14"/>
              <w:spacing w:after="0"/>
              <w:rPr>
                <w:sz w:val="20"/>
                <w:szCs w:val="20"/>
                <w:color w:val="auto"/>
              </w:rPr>
            </w:pPr>
            <w:r>
              <w:rPr>
                <w:rFonts w:ascii="Arial" w:cs="Arial" w:eastAsia="Arial" w:hAnsi="Arial"/>
                <w:sz w:val="14"/>
                <w:szCs w:val="14"/>
                <w:color w:val="auto"/>
                <w:w w:val="84"/>
              </w:rPr>
              <w:t>-</w:t>
            </w:r>
          </w:p>
        </w:tc>
      </w:tr>
      <w:tr>
        <w:trPr>
          <w:trHeight w:val="48"/>
        </w:trPr>
        <w:tc>
          <w:tcPr>
            <w:tcW w:w="218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160" w:type="dxa"/>
            <w:vAlign w:val="bottom"/>
          </w:tcPr>
          <w:p>
            <w:pPr>
              <w:spacing w:after="0"/>
              <w:rPr>
                <w:sz w:val="4"/>
                <w:szCs w:val="4"/>
                <w:color w:val="auto"/>
              </w:rPr>
            </w:pPr>
          </w:p>
        </w:tc>
      </w:tr>
      <w:tr>
        <w:trPr>
          <w:trHeight w:val="247"/>
        </w:trPr>
        <w:tc>
          <w:tcPr>
            <w:tcW w:w="2180" w:type="dxa"/>
            <w:vAlign w:val="bottom"/>
            <w:shd w:val="clear" w:color="auto" w:fill="D6D1D8"/>
          </w:tcPr>
          <w:p>
            <w:pPr>
              <w:ind w:left="80"/>
              <w:spacing w:after="0"/>
              <w:rPr>
                <w:sz w:val="20"/>
                <w:szCs w:val="20"/>
                <w:color w:val="auto"/>
              </w:rPr>
            </w:pPr>
            <w:r>
              <w:rPr>
                <w:rFonts w:ascii="Arial" w:cs="Arial" w:eastAsia="Arial" w:hAnsi="Arial"/>
                <w:sz w:val="14"/>
                <w:szCs w:val="14"/>
                <w:color w:val="auto"/>
              </w:rPr>
              <w:t>Benefits (3)</w:t>
            </w:r>
          </w:p>
        </w:tc>
        <w:tc>
          <w:tcPr>
            <w:tcW w:w="206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84"/>
              </w:rPr>
              <w:t>-</w:t>
            </w:r>
          </w:p>
        </w:tc>
        <w:tc>
          <w:tcPr>
            <w:tcW w:w="2080" w:type="dxa"/>
            <w:vAlign w:val="bottom"/>
            <w:shd w:val="clear" w:color="auto" w:fill="D6D1D8"/>
          </w:tcPr>
          <w:p>
            <w:pPr>
              <w:jc w:val="center"/>
              <w:ind w:right="15"/>
              <w:spacing w:after="0"/>
              <w:rPr>
                <w:sz w:val="20"/>
                <w:szCs w:val="20"/>
                <w:color w:val="auto"/>
              </w:rPr>
            </w:pPr>
            <w:r>
              <w:rPr>
                <w:rFonts w:ascii="Arial" w:cs="Arial" w:eastAsia="Arial" w:hAnsi="Arial"/>
                <w:sz w:val="14"/>
                <w:szCs w:val="14"/>
                <w:color w:val="auto"/>
              </w:rPr>
              <w:t>$62,625</w:t>
            </w:r>
          </w:p>
        </w:tc>
        <w:tc>
          <w:tcPr>
            <w:tcW w:w="2440" w:type="dxa"/>
            <w:vAlign w:val="bottom"/>
            <w:shd w:val="clear" w:color="auto" w:fill="D6D1D8"/>
          </w:tcPr>
          <w:p>
            <w:pPr>
              <w:jc w:val="center"/>
              <w:spacing w:after="0"/>
              <w:rPr>
                <w:sz w:val="20"/>
                <w:szCs w:val="20"/>
                <w:color w:val="auto"/>
              </w:rPr>
            </w:pPr>
            <w:r>
              <w:rPr>
                <w:rFonts w:ascii="Arial" w:cs="Arial" w:eastAsia="Arial" w:hAnsi="Arial"/>
                <w:sz w:val="14"/>
                <w:szCs w:val="14"/>
                <w:color w:val="auto"/>
                <w:w w:val="98"/>
              </w:rPr>
              <w:t>$62,625</w:t>
            </w:r>
          </w:p>
        </w:tc>
        <w:tc>
          <w:tcPr>
            <w:tcW w:w="2160" w:type="dxa"/>
            <w:vAlign w:val="bottom"/>
            <w:shd w:val="clear" w:color="auto" w:fill="D6D1D8"/>
          </w:tcPr>
          <w:p>
            <w:pPr>
              <w:jc w:val="center"/>
              <w:ind w:left="14"/>
              <w:spacing w:after="0"/>
              <w:rPr>
                <w:sz w:val="20"/>
                <w:szCs w:val="20"/>
                <w:color w:val="auto"/>
              </w:rPr>
            </w:pPr>
            <w:r>
              <w:rPr>
                <w:rFonts w:ascii="Arial" w:cs="Arial" w:eastAsia="Arial" w:hAnsi="Arial"/>
                <w:sz w:val="14"/>
                <w:szCs w:val="14"/>
                <w:color w:val="auto"/>
                <w:w w:val="84"/>
              </w:rPr>
              <w:t>-</w:t>
            </w:r>
          </w:p>
        </w:tc>
      </w:tr>
      <w:tr>
        <w:trPr>
          <w:trHeight w:val="48"/>
        </w:trPr>
        <w:tc>
          <w:tcPr>
            <w:tcW w:w="2180" w:type="dxa"/>
            <w:vAlign w:val="bottom"/>
            <w:shd w:val="clear" w:color="auto" w:fill="D6D1D8"/>
          </w:tcPr>
          <w:p>
            <w:pPr>
              <w:spacing w:after="0"/>
              <w:rPr>
                <w:sz w:val="4"/>
                <w:szCs w:val="4"/>
                <w:color w:val="auto"/>
              </w:rPr>
            </w:pPr>
          </w:p>
        </w:tc>
        <w:tc>
          <w:tcPr>
            <w:tcW w:w="2060" w:type="dxa"/>
            <w:vAlign w:val="bottom"/>
            <w:shd w:val="clear" w:color="auto" w:fill="D6D1D8"/>
          </w:tcPr>
          <w:p>
            <w:pPr>
              <w:spacing w:after="0"/>
              <w:rPr>
                <w:sz w:val="4"/>
                <w:szCs w:val="4"/>
                <w:color w:val="auto"/>
              </w:rPr>
            </w:pPr>
          </w:p>
        </w:tc>
        <w:tc>
          <w:tcPr>
            <w:tcW w:w="2080" w:type="dxa"/>
            <w:vAlign w:val="bottom"/>
            <w:shd w:val="clear" w:color="auto" w:fill="D6D1D8"/>
          </w:tcPr>
          <w:p>
            <w:pPr>
              <w:spacing w:after="0"/>
              <w:rPr>
                <w:sz w:val="4"/>
                <w:szCs w:val="4"/>
                <w:color w:val="auto"/>
              </w:rPr>
            </w:pPr>
          </w:p>
        </w:tc>
        <w:tc>
          <w:tcPr>
            <w:tcW w:w="2440" w:type="dxa"/>
            <w:vAlign w:val="bottom"/>
            <w:shd w:val="clear" w:color="auto" w:fill="D6D1D8"/>
          </w:tcPr>
          <w:p>
            <w:pPr>
              <w:spacing w:after="0"/>
              <w:rPr>
                <w:sz w:val="4"/>
                <w:szCs w:val="4"/>
                <w:color w:val="auto"/>
              </w:rPr>
            </w:pPr>
          </w:p>
        </w:tc>
        <w:tc>
          <w:tcPr>
            <w:tcW w:w="2160" w:type="dxa"/>
            <w:vAlign w:val="bottom"/>
            <w:shd w:val="clear" w:color="auto" w:fill="D6D1D8"/>
          </w:tcPr>
          <w:p>
            <w:pPr>
              <w:spacing w:after="0"/>
              <w:rPr>
                <w:sz w:val="4"/>
                <w:szCs w:val="4"/>
                <w:color w:val="auto"/>
              </w:rPr>
            </w:pPr>
          </w:p>
        </w:tc>
      </w:tr>
    </w:tbl>
    <w:p>
      <w:pPr>
        <w:spacing w:after="0" w:line="76" w:lineRule="exact"/>
        <w:rPr>
          <w:sz w:val="20"/>
          <w:szCs w:val="20"/>
          <w:color w:val="auto"/>
        </w:rPr>
      </w:pPr>
    </w:p>
    <w:p>
      <w:pPr>
        <w:ind w:left="160" w:right="160" w:firstLine="7"/>
        <w:spacing w:after="0" w:line="261" w:lineRule="auto"/>
        <w:tabs>
          <w:tab w:leader="none" w:pos="347" w:val="left"/>
        </w:tabs>
        <w:numPr>
          <w:ilvl w:val="0"/>
          <w:numId w:val="52"/>
        </w:numPr>
        <w:rPr>
          <w:rFonts w:ascii="Arial" w:cs="Arial" w:eastAsia="Arial" w:hAnsi="Arial"/>
          <w:sz w:val="12"/>
          <w:szCs w:val="12"/>
          <w:color w:val="auto"/>
        </w:rPr>
      </w:pPr>
      <w:r>
        <w:rPr>
          <w:rFonts w:ascii="Arial" w:cs="Arial" w:eastAsia="Arial" w:hAnsi="Arial"/>
          <w:sz w:val="12"/>
          <w:szCs w:val="12"/>
          <w:color w:val="auto"/>
        </w:rPr>
        <w:t>Upon a termination due to death, complete disability, or by Ms. Krum for good reason after a change in control 20,443 shares of restricted stock would immediately vest in full. Using the closing stock price on December 31, 2024, the acceleration value of such equity awards would be equal to an aggregate of $1,761,369, plus accrued dividends of $10,491 with respect to the restricted stock.</w:t>
      </w:r>
    </w:p>
    <w:p>
      <w:pPr>
        <w:spacing w:after="0" w:line="194" w:lineRule="exact"/>
        <w:rPr>
          <w:rFonts w:ascii="Arial" w:cs="Arial" w:eastAsia="Arial" w:hAnsi="Arial"/>
          <w:sz w:val="12"/>
          <w:szCs w:val="12"/>
          <w:color w:val="auto"/>
        </w:rPr>
      </w:pPr>
    </w:p>
    <w:p>
      <w:pPr>
        <w:ind w:left="160" w:right="160" w:firstLine="7"/>
        <w:spacing w:after="0" w:line="256" w:lineRule="auto"/>
        <w:tabs>
          <w:tab w:leader="none" w:pos="347" w:val="left"/>
        </w:tabs>
        <w:numPr>
          <w:ilvl w:val="0"/>
          <w:numId w:val="52"/>
        </w:numPr>
        <w:rPr>
          <w:rFonts w:ascii="Arial" w:cs="Arial" w:eastAsia="Arial" w:hAnsi="Arial"/>
          <w:sz w:val="12"/>
          <w:szCs w:val="12"/>
          <w:color w:val="auto"/>
        </w:rPr>
      </w:pPr>
      <w:r>
        <w:rPr>
          <w:rFonts w:ascii="Arial" w:cs="Arial" w:eastAsia="Arial" w:hAnsi="Arial"/>
          <w:sz w:val="12"/>
          <w:szCs w:val="12"/>
          <w:color w:val="auto"/>
        </w:rPr>
        <w:t>Upon a termination by the Company without cause, or by Ms. Krum upon the Company’s material breach, 2,700 shares of restricted stock would immediately vest on a prorated basis based on the number of months since the grant date. Using the closing stock price on December 31, 2024, the acceleration value of such equity awards would be equal to an aggregate of $232,632, plus accrued dividends of $3,598 with respect to the restricted stock.</w:t>
      </w:r>
    </w:p>
    <w:p>
      <w:pPr>
        <w:spacing w:after="0" w:line="53" w:lineRule="exact"/>
        <w:rPr>
          <w:rFonts w:ascii="Arial" w:cs="Arial" w:eastAsia="Arial" w:hAnsi="Arial"/>
          <w:sz w:val="12"/>
          <w:szCs w:val="12"/>
          <w:color w:val="auto"/>
        </w:rPr>
      </w:pPr>
    </w:p>
    <w:p>
      <w:pPr>
        <w:ind w:left="160" w:right="220" w:firstLine="7"/>
        <w:spacing w:after="0" w:line="279" w:lineRule="auto"/>
        <w:tabs>
          <w:tab w:leader="none" w:pos="347"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These amounts represent continued health benefits for the 12-month period subsequent to the later of the remainder of the term of her employment contract, or the cessation of the severance pay period.</w:t>
      </w:r>
    </w:p>
    <w:p>
      <w:pPr>
        <w:spacing w:after="0" w:line="26" w:lineRule="exact"/>
        <w:rPr>
          <w:rFonts w:ascii="Arial" w:cs="Arial" w:eastAsia="Arial" w:hAnsi="Arial"/>
          <w:sz w:val="12"/>
          <w:szCs w:val="12"/>
          <w:color w:val="auto"/>
        </w:rPr>
      </w:pPr>
    </w:p>
    <w:p>
      <w:pPr>
        <w:ind w:left="360" w:hanging="193"/>
        <w:spacing w:after="0"/>
        <w:tabs>
          <w:tab w:leader="none" w:pos="360" w:val="left"/>
        </w:tabs>
        <w:numPr>
          <w:ilvl w:val="0"/>
          <w:numId w:val="52"/>
        </w:numPr>
        <w:rPr>
          <w:rFonts w:ascii="Arial" w:cs="Arial" w:eastAsia="Arial" w:hAnsi="Arial"/>
          <w:sz w:val="12"/>
          <w:szCs w:val="12"/>
          <w:color w:val="auto"/>
        </w:rPr>
      </w:pPr>
      <w:r>
        <w:rPr>
          <w:rFonts w:ascii="Arial" w:cs="Arial" w:eastAsia="Arial" w:hAnsi="Arial"/>
          <w:sz w:val="12"/>
          <w:szCs w:val="12"/>
          <w:color w:val="auto"/>
        </w:rPr>
        <w:t>As of December 31, 2024, Ms. Krum was not eligible to retire under the Retirement Plan.</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2"/>
          <w:szCs w:val="12"/>
          <w:color w:val="351B3D"/>
        </w:rPr>
        <w:t>62</w:t>
      </w:r>
    </w:p>
    <w:p>
      <w:pPr>
        <w:sectPr>
          <w:pgSz w:w="11900" w:h="16838" w:orient="portrait"/>
          <w:cols w:equalWidth="0" w:num="1">
            <w:col w:w="11080"/>
          </w:cols>
          <w:pgMar w:left="320" w:top="478" w:right="4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45"/>
          <w:szCs w:val="45"/>
          <w:color w:val="140F21"/>
        </w:rPr>
        <w:t>Certain Relationships and Transactions</w:t>
      </w:r>
    </w:p>
    <w:p>
      <w:pPr>
        <w:spacing w:after="0" w:line="344" w:lineRule="exact"/>
        <w:rPr>
          <w:sz w:val="20"/>
          <w:szCs w:val="20"/>
          <w:color w:val="auto"/>
        </w:rPr>
      </w:pPr>
    </w:p>
    <w:p>
      <w:pPr>
        <w:ind w:left="160" w:right="100"/>
        <w:spacing w:after="0" w:line="247" w:lineRule="auto"/>
        <w:rPr>
          <w:sz w:val="20"/>
          <w:szCs w:val="20"/>
          <w:color w:val="auto"/>
        </w:rPr>
      </w:pPr>
      <w:r>
        <w:rPr>
          <w:rFonts w:ascii="Arial" w:cs="Arial" w:eastAsia="Arial" w:hAnsi="Arial"/>
          <w:sz w:val="16"/>
          <w:szCs w:val="16"/>
          <w:color w:val="auto"/>
        </w:rPr>
        <w:t>Pursuant to written Company policy, the Audit Committee reviews for approval or ratification all transactions with any related person, which SEC rules define to include directors, director nominees, executive officers, beneficial owners of in excess of 5% of the outstanding shares of the Common Stock, and their respective immediate family members. The policy classifies as pre-approved: (a) employment of executive officers and director compensation if the compensation is required to be reported under Item 402 of Regulation S-K; (b) transactions with another company or charitable contributions if the related person’s only relationship is as an employee (other than executive officer), director or beneficial owner of less than 10% of that company’s or donee’s shares if the aggregate amount does not exceed the greater of $200,000 or 5% of that company’s or donee’s total annual revenues;</w:t>
      </w:r>
    </w:p>
    <w:p>
      <w:pPr>
        <w:spacing w:after="0" w:line="3" w:lineRule="exact"/>
        <w:rPr>
          <w:sz w:val="20"/>
          <w:szCs w:val="20"/>
          <w:color w:val="auto"/>
        </w:rPr>
      </w:pPr>
    </w:p>
    <w:p>
      <w:pPr>
        <w:ind w:left="160" w:right="100" w:firstLine="7"/>
        <w:spacing w:after="0" w:line="246" w:lineRule="auto"/>
        <w:tabs>
          <w:tab w:leader="none" w:pos="392" w:val="left"/>
        </w:tabs>
        <w:numPr>
          <w:ilvl w:val="0"/>
          <w:numId w:val="53"/>
        </w:numPr>
        <w:rPr>
          <w:rFonts w:ascii="Arial" w:cs="Arial" w:eastAsia="Arial" w:hAnsi="Arial"/>
          <w:sz w:val="16"/>
          <w:szCs w:val="16"/>
          <w:color w:val="auto"/>
        </w:rPr>
      </w:pPr>
      <w:r>
        <w:rPr>
          <w:rFonts w:ascii="Arial" w:cs="Arial" w:eastAsia="Arial" w:hAnsi="Arial"/>
          <w:sz w:val="16"/>
          <w:szCs w:val="16"/>
          <w:color w:val="auto"/>
        </w:rPr>
        <w:t>transactions where the related person’s interest arises solely from the ownership of the Company’s stock and all shareholders benefit on a pro rata basis; (d) transactions involving competitive bids; (e) regulated transactions involving services as a common carrier or public utility at rates fixed in conformity with law or governmental authority; and (f) transactions with related parties involving a bank as depositary of funds, transfer agent, registrar, trustee under a trust indenture or similar services. The Audit Committee receives notice of the occurrence of all pre-approved transactions. All other transactions with related persons are subject to approval or ratification by the Audit Committee. In determining whether to approve or ratify a transaction, the Audit Committee will take into account, among other factors it deems appropriate, whether the transaction is on terms no less favorable than terms generally available to an unaffiliated third-party under the same or similar circumstances and the extent of the related person’s interest in the transaction.</w:t>
      </w:r>
    </w:p>
    <w:p>
      <w:pPr>
        <w:spacing w:after="0" w:line="189" w:lineRule="exact"/>
        <w:rPr>
          <w:sz w:val="20"/>
          <w:szCs w:val="20"/>
          <w:color w:val="auto"/>
        </w:rPr>
      </w:pPr>
    </w:p>
    <w:p>
      <w:pPr>
        <w:ind w:left="160" w:right="260"/>
        <w:spacing w:after="0" w:line="279" w:lineRule="auto"/>
        <w:rPr>
          <w:sz w:val="20"/>
          <w:szCs w:val="20"/>
          <w:color w:val="auto"/>
        </w:rPr>
      </w:pPr>
      <w:r>
        <w:rPr>
          <w:rFonts w:ascii="Arial" w:cs="Arial" w:eastAsia="Arial" w:hAnsi="Arial"/>
          <w:sz w:val="16"/>
          <w:szCs w:val="16"/>
          <w:color w:val="auto"/>
        </w:rPr>
        <w:t>The following are the material transactions or agreements that occurred or were in effect at any time after January 1, 2024, between the Company and related persons. The Audit Committee has approved or ratified all of these transactions that occurred after the date of the adoption of the policy.</w:t>
      </w:r>
    </w:p>
    <w:p>
      <w:pPr>
        <w:spacing w:after="0" w:line="161" w:lineRule="exact"/>
        <w:rPr>
          <w:sz w:val="20"/>
          <w:szCs w:val="20"/>
          <w:color w:val="auto"/>
        </w:rPr>
      </w:pPr>
    </w:p>
    <w:p>
      <w:pPr>
        <w:ind w:left="160" w:right="140"/>
        <w:spacing w:after="0" w:line="253" w:lineRule="auto"/>
        <w:rPr>
          <w:sz w:val="20"/>
          <w:szCs w:val="20"/>
          <w:color w:val="auto"/>
        </w:rPr>
      </w:pPr>
      <w:r>
        <w:rPr>
          <w:rFonts w:ascii="Arial" w:cs="Arial" w:eastAsia="Arial" w:hAnsi="Arial"/>
          <w:sz w:val="16"/>
          <w:szCs w:val="16"/>
          <w:color w:val="351B3D"/>
        </w:rPr>
        <w:t xml:space="preserve">COOPERATION AGREEMENT. </w:t>
      </w:r>
      <w:r>
        <w:rPr>
          <w:rFonts w:ascii="Arial" w:cs="Arial" w:eastAsia="Arial" w:hAnsi="Arial"/>
          <w:sz w:val="16"/>
          <w:szCs w:val="16"/>
          <w:color w:val="000000"/>
        </w:rPr>
        <w:t>On August 3, 2018, the Company entered into a Cooperation Agreement (the “Cooperation Agreement”) with Elaine P.</w:t>
      </w:r>
      <w:r>
        <w:rPr>
          <w:rFonts w:ascii="Arial" w:cs="Arial" w:eastAsia="Arial" w:hAnsi="Arial"/>
          <w:sz w:val="16"/>
          <w:szCs w:val="16"/>
          <w:color w:val="351B3D"/>
        </w:rPr>
        <w:t xml:space="preserve"> </w:t>
      </w:r>
      <w:r>
        <w:rPr>
          <w:rFonts w:ascii="Arial" w:cs="Arial" w:eastAsia="Arial" w:hAnsi="Arial"/>
          <w:sz w:val="16"/>
          <w:szCs w:val="16"/>
          <w:color w:val="000000"/>
        </w:rPr>
        <w:t>Wynn (“Ms. Wynn”) regarding the composition of the Board and certain other matters, including, among other things, the appointment of Mr. Satre to the Board, standstill restrictions, releases, non-disparagement, reimbursement of expenses, and the grant of certain complimentary privileges. The term of the Cooperation Agreement expires on the date that Phil Satre no longer serves as Chair of the Board, unless earlier terminated pursuant to the circumstances described in the Cooperation Agreement.</w:t>
      </w:r>
    </w:p>
    <w:p>
      <w:pPr>
        <w:spacing w:after="0" w:line="180"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351B3D"/>
        </w:rPr>
        <w:t xml:space="preserve">REIMBURSABLE COSTS. </w:t>
      </w:r>
      <w:r>
        <w:rPr>
          <w:rFonts w:ascii="Arial" w:cs="Arial" w:eastAsia="Arial" w:hAnsi="Arial"/>
          <w:sz w:val="16"/>
          <w:szCs w:val="16"/>
          <w:color w:val="000000"/>
        </w:rPr>
        <w:t>The Company periodically provides services to certain executive officers, directors, or former directors of the Company,</w:t>
      </w:r>
      <w:r>
        <w:rPr>
          <w:rFonts w:ascii="Arial" w:cs="Arial" w:eastAsia="Arial" w:hAnsi="Arial"/>
          <w:sz w:val="16"/>
          <w:szCs w:val="16"/>
          <w:color w:val="351B3D"/>
        </w:rPr>
        <w:t xml:space="preserve"> </w:t>
      </w:r>
      <w:r>
        <w:rPr>
          <w:rFonts w:ascii="Arial" w:cs="Arial" w:eastAsia="Arial" w:hAnsi="Arial"/>
          <w:sz w:val="16"/>
          <w:szCs w:val="16"/>
          <w:color w:val="000000"/>
        </w:rPr>
        <w:t>including the personal use of employees, construction work and other personal services, for which the officers, directors, or former directors reimburse the Company. The Company requires prepayment for any such services, which amounts are replenished on an ongoing basis as needed. As of December 31, 2024, these net deposit balances with the Company were immaterial, as were the services provided.</w:t>
      </w:r>
    </w:p>
    <w:p>
      <w:pPr>
        <w:spacing w:after="0" w:line="178" w:lineRule="exact"/>
        <w:rPr>
          <w:sz w:val="20"/>
          <w:szCs w:val="20"/>
          <w:color w:val="auto"/>
        </w:rPr>
      </w:pPr>
    </w:p>
    <w:p>
      <w:pPr>
        <w:jc w:val="both"/>
        <w:ind w:left="160" w:right="200"/>
        <w:spacing w:after="0" w:line="262" w:lineRule="auto"/>
        <w:rPr>
          <w:sz w:val="20"/>
          <w:szCs w:val="20"/>
          <w:color w:val="auto"/>
        </w:rPr>
      </w:pPr>
      <w:r>
        <w:rPr>
          <w:rFonts w:ascii="Arial" w:cs="Arial" w:eastAsia="Arial" w:hAnsi="Arial"/>
          <w:sz w:val="16"/>
          <w:szCs w:val="16"/>
          <w:color w:val="351B3D"/>
        </w:rPr>
        <w:t xml:space="preserve">AIRCRAFT ARRANGEMENTS. </w:t>
      </w:r>
      <w:r>
        <w:rPr>
          <w:rFonts w:ascii="Arial" w:cs="Arial" w:eastAsia="Arial" w:hAnsi="Arial"/>
          <w:sz w:val="16"/>
          <w:szCs w:val="16"/>
          <w:color w:val="000000"/>
        </w:rPr>
        <w:t>NEOs, among other executives, may periodically use the Company’s aircraft for business or personal travel. Should an</w:t>
      </w:r>
      <w:r>
        <w:rPr>
          <w:rFonts w:ascii="Arial" w:cs="Arial" w:eastAsia="Arial" w:hAnsi="Arial"/>
          <w:sz w:val="16"/>
          <w:szCs w:val="16"/>
          <w:color w:val="351B3D"/>
        </w:rPr>
        <w:t xml:space="preserve"> </w:t>
      </w:r>
      <w:r>
        <w:rPr>
          <w:rFonts w:ascii="Arial" w:cs="Arial" w:eastAsia="Arial" w:hAnsi="Arial"/>
          <w:sz w:val="16"/>
          <w:szCs w:val="16"/>
          <w:color w:val="000000"/>
        </w:rPr>
        <w:t>executive use the Company’s aircraft for personal reasons, they are required to enter into a time-sharing arrangement with the Company, whereby the executive reimburses the Company for the direct, incremental cost associated with the flight. Additionally, the</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1080"/>
          </w:cols>
          <w:pgMar w:left="320" w:top="478" w:right="4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0"/>
        <w:spacing w:after="0" w:line="250" w:lineRule="auto"/>
        <w:rPr>
          <w:sz w:val="20"/>
          <w:szCs w:val="20"/>
          <w:color w:val="auto"/>
        </w:rPr>
      </w:pPr>
      <w:r>
        <w:rPr>
          <w:rFonts w:ascii="Arial" w:cs="Arial" w:eastAsia="Arial" w:hAnsi="Arial"/>
          <w:sz w:val="16"/>
          <w:szCs w:val="16"/>
          <w:color w:val="auto"/>
        </w:rPr>
        <w:t>Company is required to include as taxable compensation of an executive, the direct costs that the Company incurs in operating the aircraft where personal passengers accompany the executive on business flights, up to an amount determined by using the Internal Revenue Service Standard Industry Fare Level (SIFL) tables. During 2024, $4,272 was included in Mr. Billings’ taxable compensation for business flights with personal accompaniment, and Mr. Billings reimbursed the Company $16,800 through his deposit account described above for personal use of the aircraft. During 2024, $339 was included in Ms. Whittemore’s taxable compensation for business flights with personal accompaniment. The Company does not provide tax gross ups related to the value of aircraft usage that is imputed into compensation. Ms. Cameron-Doe and Ms. Krum did not use the Company’s aircraft for personal travel during 2024.</w:t>
      </w:r>
    </w:p>
    <w:p>
      <w:pPr>
        <w:spacing w:after="0" w:line="183" w:lineRule="exact"/>
        <w:rPr>
          <w:sz w:val="20"/>
          <w:szCs w:val="20"/>
          <w:color w:val="auto"/>
        </w:rPr>
      </w:pPr>
    </w:p>
    <w:p>
      <w:pPr>
        <w:ind w:left="160" w:right="60"/>
        <w:spacing w:after="0" w:line="253" w:lineRule="auto"/>
        <w:rPr>
          <w:sz w:val="20"/>
          <w:szCs w:val="20"/>
          <w:color w:val="auto"/>
        </w:rPr>
      </w:pPr>
      <w:r>
        <w:rPr>
          <w:rFonts w:ascii="Arial" w:cs="Arial" w:eastAsia="Arial" w:hAnsi="Arial"/>
          <w:sz w:val="16"/>
          <w:szCs w:val="16"/>
          <w:color w:val="351B3D"/>
        </w:rPr>
        <w:t xml:space="preserve">OTHER. </w:t>
      </w:r>
      <w:r>
        <w:rPr>
          <w:rFonts w:ascii="Arial" w:cs="Arial" w:eastAsia="Arial" w:hAnsi="Arial"/>
          <w:sz w:val="16"/>
          <w:szCs w:val="16"/>
          <w:color w:val="000000"/>
        </w:rPr>
        <w:t>In addition to the above, the Company (or its subsidiaries) employs Maryann Pascal, the sister-in-law of Ms. Wynn (who is a beneficial owner of</w:t>
      </w:r>
      <w:r>
        <w:rPr>
          <w:rFonts w:ascii="Arial" w:cs="Arial" w:eastAsia="Arial" w:hAnsi="Arial"/>
          <w:sz w:val="16"/>
          <w:szCs w:val="16"/>
          <w:color w:val="351B3D"/>
        </w:rPr>
        <w:t xml:space="preserve"> </w:t>
      </w:r>
      <w:r>
        <w:rPr>
          <w:rFonts w:ascii="Arial" w:cs="Arial" w:eastAsia="Arial" w:hAnsi="Arial"/>
          <w:sz w:val="16"/>
          <w:szCs w:val="16"/>
          <w:color w:val="000000"/>
        </w:rPr>
        <w:t>in excess of 5% of the outstanding shares of the Common Stock), as Vice President – Player Development at Wynn Las Vegas. The Audit Committee of the Company approved the employment arrangement and determined that compensation was at (or below) levels paid to non-family members. Total compensation paid to Ms. Pascal for 2024 included the following amounts calculated in the same manner as the Summary Compensation Table values presented for NEOs: salary of $325,000, stock awards of $40,676, bonus of $179,636, and other compensation of $4,162.</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2"/>
          <w:szCs w:val="12"/>
          <w:color w:val="351B3D"/>
        </w:rPr>
        <w:t>64</w:t>
      </w:r>
    </w:p>
    <w:p>
      <w:pPr>
        <w:sectPr>
          <w:pgSz w:w="11900" w:h="16838" w:orient="portrait"/>
          <w:cols w:equalWidth="0" w:num="1">
            <w:col w:w="11040"/>
          </w:cols>
          <w:pgMar w:left="320" w:top="478" w:right="5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45"/>
          <w:szCs w:val="45"/>
          <w:color w:val="140F21"/>
        </w:rPr>
        <w:t>Pay Ratio Disclosure</w:t>
      </w:r>
    </w:p>
    <w:p>
      <w:pPr>
        <w:spacing w:after="0" w:line="344" w:lineRule="exact"/>
        <w:rPr>
          <w:sz w:val="20"/>
          <w:szCs w:val="20"/>
          <w:color w:val="auto"/>
        </w:rPr>
      </w:pPr>
    </w:p>
    <w:p>
      <w:pPr>
        <w:ind w:left="160" w:right="260"/>
        <w:spacing w:after="0" w:line="253" w:lineRule="auto"/>
        <w:rPr>
          <w:sz w:val="20"/>
          <w:szCs w:val="20"/>
          <w:color w:val="auto"/>
        </w:rPr>
      </w:pPr>
      <w:r>
        <w:rPr>
          <w:rFonts w:ascii="Arial" w:cs="Arial" w:eastAsia="Arial" w:hAnsi="Arial"/>
          <w:sz w:val="16"/>
          <w:szCs w:val="16"/>
          <w:color w:val="auto"/>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below, as other companies may have different employee populations and compensation practices and may utilize different methodologies, exclusions, estimates and assumptions in calculating their own pay ratios.</w:t>
      </w:r>
    </w:p>
    <w:p>
      <w:pPr>
        <w:spacing w:after="0" w:line="180" w:lineRule="exact"/>
        <w:rPr>
          <w:sz w:val="20"/>
          <w:szCs w:val="20"/>
          <w:color w:val="auto"/>
        </w:rPr>
      </w:pPr>
    </w:p>
    <w:p>
      <w:pPr>
        <w:ind w:left="160" w:right="140"/>
        <w:spacing w:after="0" w:line="248" w:lineRule="auto"/>
        <w:rPr>
          <w:sz w:val="20"/>
          <w:szCs w:val="20"/>
          <w:color w:val="auto"/>
        </w:rPr>
      </w:pPr>
      <w:r>
        <w:rPr>
          <w:rFonts w:ascii="Arial" w:cs="Arial" w:eastAsia="Arial" w:hAnsi="Arial"/>
          <w:sz w:val="16"/>
          <w:szCs w:val="16"/>
          <w:color w:val="auto"/>
        </w:rPr>
        <w:t>The pay ratio reported below is a reasonable estimate calculated in a manner consistent with SEC rules based on our payroll records and the methodology described below. For these purposes, we determined the median compensated employee using taxable income for 2024, which we annualized for any employee who did not work for the entire year unless designated as a temporary employee. We determined that, as of December 31, 2024, our employee population consisted of approximately 28,000 employees, with approximately 41% working in Macau as an employee of Wynn Macau, Limited or one of its subsidiaries. In identifying the median employee, we made a cost-of-living adjustment using the International Monetary Fund’s implied purchasing power conversion rate of 4.78 with respect to employees located in Macau. Using this methodology, we determined that the median employee in 2024 was a full-time, salaried employee located in Macau. The 2024 annual total compensation of our median compensated employee, other than our CEO, was $57,631; the 2024 annual total compensation of our CEO, Mr. Billings, was $15,931,316; and the ratio of these amounts was 1-to-276.</w:t>
      </w:r>
    </w:p>
    <w:p>
      <w:pPr>
        <w:spacing w:after="0" w:line="188"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color w:val="auto"/>
        </w:rPr>
        <w:t>To identify the median employee without a cost-of-living adjustment, we converted the compensation paid in Macau currency to U.S. dollars by applying a Macau patacas to U.S. dollars exchange rate using the noon buying rate of exchange of Macau patacas to U.S. dollars of 8.00 on December 31, 2024. The 2024 annual total compensation of our median compensated employee, other than our CEO serving as of December 31, 2024, without the cost-of-living adjustment was $47,748; and the ratio of this amount to Mr. Billings’ 2024 annual total compensation was 1-to-334.</w:t>
      </w:r>
    </w:p>
    <w:p>
      <w:pPr>
        <w:spacing w:after="0" w:line="178" w:lineRule="exact"/>
        <w:rPr>
          <w:sz w:val="20"/>
          <w:szCs w:val="20"/>
          <w:color w:val="auto"/>
        </w:rPr>
      </w:pPr>
    </w:p>
    <w:p>
      <w:pPr>
        <w:ind w:left="160"/>
        <w:spacing w:after="0" w:line="251" w:lineRule="auto"/>
        <w:rPr>
          <w:sz w:val="20"/>
          <w:szCs w:val="20"/>
          <w:color w:val="auto"/>
        </w:rPr>
      </w:pPr>
      <w:r>
        <w:rPr>
          <w:rFonts w:ascii="Arial" w:cs="Arial" w:eastAsia="Arial" w:hAnsi="Arial"/>
          <w:sz w:val="16"/>
          <w:szCs w:val="16"/>
          <w:color w:val="auto"/>
        </w:rPr>
        <w:t>We believe the employee population for gaming and hospitality industries includes a large percentage of “steady extra workers.” These are permanent workers who are paid hourly and obtain hours based on business volumes (e.g., coverage during peak times such as when large conventions are in town) and personal needs of the employee. As of December 31, 2024, approximately 18% of our employee population of approximately 28,000 consisted of steady extra workers, most of whom are eligible for medical and other benefits. Based on SEC’s rules, these permanent workers are included in the employee population used in calculating the median employee compensation and may impact comparability of our median employee compensation amount with that in other industries.</w:t>
      </w:r>
    </w:p>
    <w:p>
      <w:pPr>
        <w:spacing w:after="0" w:line="183" w:lineRule="exact"/>
        <w:rPr>
          <w:sz w:val="20"/>
          <w:szCs w:val="20"/>
          <w:color w:val="auto"/>
        </w:rPr>
      </w:pPr>
    </w:p>
    <w:p>
      <w:pPr>
        <w:ind w:left="160" w:right="140"/>
        <w:spacing w:after="0" w:line="262" w:lineRule="auto"/>
        <w:rPr>
          <w:sz w:val="20"/>
          <w:szCs w:val="20"/>
          <w:color w:val="auto"/>
        </w:rPr>
      </w:pPr>
      <w:r>
        <w:rPr>
          <w:rFonts w:ascii="Arial" w:cs="Arial" w:eastAsia="Arial" w:hAnsi="Arial"/>
          <w:sz w:val="16"/>
          <w:szCs w:val="16"/>
          <w:color w:val="auto"/>
        </w:rPr>
        <w:t>Our talented and dedicated employees play an integral role in our overall success and we place great emphasis on creating an environment for our employees to excel and advance. We are committed to the development, health and well-being of our workforce through various programs, benefits and amenities. Please refer to “Our people and our stewardship” for additional information.</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1080"/>
          </w:cols>
          <w:pgMar w:left="320" w:top="478" w:right="4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45"/>
          <w:szCs w:val="45"/>
          <w:color w:val="110F1C"/>
        </w:rPr>
        <w:t>Pay vs. Performance</w:t>
      </w:r>
    </w:p>
    <w:p>
      <w:pPr>
        <w:spacing w:after="0" w:line="344" w:lineRule="exact"/>
        <w:rPr>
          <w:sz w:val="20"/>
          <w:szCs w:val="20"/>
          <w:color w:val="auto"/>
        </w:rPr>
      </w:pPr>
    </w:p>
    <w:p>
      <w:pPr>
        <w:ind w:left="160" w:right="20"/>
        <w:spacing w:after="0" w:line="262" w:lineRule="auto"/>
        <w:rPr>
          <w:sz w:val="20"/>
          <w:szCs w:val="20"/>
          <w:color w:val="auto"/>
        </w:rPr>
      </w:pPr>
      <w:r>
        <w:rPr>
          <w:rFonts w:ascii="Arial" w:cs="Arial" w:eastAsia="Arial" w:hAnsi="Arial"/>
          <w:sz w:val="16"/>
          <w:szCs w:val="16"/>
          <w:color w:val="auto"/>
        </w:rPr>
        <w:t>The following table sets forth SEC required information with respect to the Company’s financial performance and the compensation paid to our Principle Executive Officer(s) (each, a “PEO”) and our non-PEO NEOs for the fiscal years ended on December 31, 2020, December 31, 2021, December 31, 2022, December 31, 2023, and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6938010" cy="18002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38010" cy="1800225"/>
                    </a:xfrm>
                    <a:prstGeom prst="rect">
                      <a:avLst/>
                    </a:prstGeom>
                    <a:noFill/>
                  </pic:spPr>
                </pic:pic>
              </a:graphicData>
            </a:graphic>
          </wp:anchor>
        </w:drawing>
      </w:r>
    </w:p>
    <w:p>
      <w:pPr>
        <w:spacing w:after="0" w:line="194"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900" w:type="dxa"/>
            <w:vAlign w:val="bottom"/>
            <w:tcBorders>
              <w:right w:val="single" w:sz="8" w:color="351B3D"/>
            </w:tcBorders>
            <w:shd w:val="clear" w:color="auto" w:fill="351B3D"/>
          </w:tcPr>
          <w:p>
            <w:pPr>
              <w:spacing w:after="0"/>
              <w:rPr>
                <w:sz w:val="13"/>
                <w:szCs w:val="13"/>
                <w:color w:val="auto"/>
              </w:rPr>
            </w:pPr>
          </w:p>
        </w:tc>
        <w:tc>
          <w:tcPr>
            <w:tcW w:w="240" w:type="dxa"/>
            <w:vAlign w:val="bottom"/>
            <w:shd w:val="clear" w:color="auto" w:fill="351B3D"/>
          </w:tcPr>
          <w:p>
            <w:pPr>
              <w:spacing w:after="0"/>
              <w:rPr>
                <w:sz w:val="13"/>
                <w:szCs w:val="13"/>
                <w:color w:val="auto"/>
              </w:rPr>
            </w:pPr>
          </w:p>
        </w:tc>
        <w:tc>
          <w:tcPr>
            <w:tcW w:w="720" w:type="dxa"/>
            <w:vAlign w:val="bottom"/>
            <w:shd w:val="clear" w:color="auto" w:fill="351B3D"/>
          </w:tcPr>
          <w:p>
            <w:pPr>
              <w:spacing w:after="0"/>
              <w:rPr>
                <w:sz w:val="13"/>
                <w:szCs w:val="13"/>
                <w:color w:val="auto"/>
              </w:rPr>
            </w:pPr>
          </w:p>
        </w:tc>
        <w:tc>
          <w:tcPr>
            <w:tcW w:w="960" w:type="dxa"/>
            <w:vAlign w:val="bottom"/>
            <w:shd w:val="clear" w:color="auto" w:fill="351B3D"/>
          </w:tcPr>
          <w:p>
            <w:pPr>
              <w:spacing w:after="0"/>
              <w:rPr>
                <w:sz w:val="13"/>
                <w:szCs w:val="13"/>
                <w:color w:val="auto"/>
              </w:rPr>
            </w:pPr>
          </w:p>
        </w:tc>
        <w:tc>
          <w:tcPr>
            <w:tcW w:w="260" w:type="dxa"/>
            <w:vAlign w:val="bottom"/>
            <w:shd w:val="clear" w:color="auto" w:fill="351B3D"/>
          </w:tcPr>
          <w:p>
            <w:pPr>
              <w:spacing w:after="0"/>
              <w:rPr>
                <w:sz w:val="13"/>
                <w:szCs w:val="13"/>
                <w:color w:val="auto"/>
              </w:rPr>
            </w:pPr>
          </w:p>
        </w:tc>
        <w:tc>
          <w:tcPr>
            <w:tcW w:w="680" w:type="dxa"/>
            <w:vAlign w:val="bottom"/>
            <w:shd w:val="clear" w:color="auto" w:fill="351B3D"/>
          </w:tcPr>
          <w:p>
            <w:pPr>
              <w:spacing w:after="0"/>
              <w:rPr>
                <w:sz w:val="13"/>
                <w:szCs w:val="13"/>
                <w:color w:val="auto"/>
              </w:rPr>
            </w:pPr>
          </w:p>
        </w:tc>
        <w:tc>
          <w:tcPr>
            <w:tcW w:w="940" w:type="dxa"/>
            <w:vAlign w:val="bottom"/>
            <w:shd w:val="clear" w:color="auto" w:fill="351B3D"/>
          </w:tcPr>
          <w:p>
            <w:pPr>
              <w:spacing w:after="0"/>
              <w:rPr>
                <w:sz w:val="13"/>
                <w:szCs w:val="13"/>
                <w:color w:val="auto"/>
              </w:rPr>
            </w:pPr>
          </w:p>
        </w:tc>
        <w:tc>
          <w:tcPr>
            <w:tcW w:w="940" w:type="dxa"/>
            <w:vAlign w:val="bottom"/>
            <w:shd w:val="clear" w:color="auto" w:fill="351B3D"/>
          </w:tcPr>
          <w:p>
            <w:pPr>
              <w:spacing w:after="0"/>
              <w:rPr>
                <w:sz w:val="13"/>
                <w:szCs w:val="13"/>
                <w:color w:val="auto"/>
              </w:rPr>
            </w:pPr>
          </w:p>
        </w:tc>
        <w:tc>
          <w:tcPr>
            <w:tcW w:w="900" w:type="dxa"/>
            <w:vAlign w:val="bottom"/>
            <w:shd w:val="clear" w:color="auto" w:fill="351B3D"/>
          </w:tcPr>
          <w:p>
            <w:pPr>
              <w:spacing w:after="0"/>
              <w:rPr>
                <w:sz w:val="13"/>
                <w:szCs w:val="13"/>
                <w:color w:val="auto"/>
              </w:rPr>
            </w:pPr>
          </w:p>
        </w:tc>
        <w:tc>
          <w:tcPr>
            <w:tcW w:w="1660" w:type="dxa"/>
            <w:vAlign w:val="bottom"/>
            <w:gridSpan w:val="4"/>
            <w:shd w:val="clear" w:color="auto" w:fill="351B3D"/>
          </w:tcPr>
          <w:p>
            <w:pPr>
              <w:jc w:val="center"/>
              <w:spacing w:after="0"/>
              <w:rPr>
                <w:sz w:val="20"/>
                <w:szCs w:val="20"/>
                <w:color w:val="auto"/>
              </w:rPr>
            </w:pPr>
            <w:r>
              <w:rPr>
                <w:rFonts w:ascii="Arial" w:cs="Arial" w:eastAsia="Arial" w:hAnsi="Arial"/>
                <w:sz w:val="11"/>
                <w:szCs w:val="11"/>
                <w:color w:val="FFFFFF"/>
                <w:w w:val="97"/>
              </w:rPr>
              <w:t>VALUE OF INITIAL FIXED $100</w:t>
            </w:r>
          </w:p>
        </w:tc>
        <w:tc>
          <w:tcPr>
            <w:tcW w:w="80" w:type="dxa"/>
            <w:vAlign w:val="bottom"/>
            <w:shd w:val="clear" w:color="auto" w:fill="351B3D"/>
          </w:tcPr>
          <w:p>
            <w:pPr>
              <w:spacing w:after="0"/>
              <w:rPr>
                <w:sz w:val="13"/>
                <w:szCs w:val="13"/>
                <w:color w:val="auto"/>
              </w:rPr>
            </w:pPr>
          </w:p>
        </w:tc>
        <w:tc>
          <w:tcPr>
            <w:tcW w:w="780" w:type="dxa"/>
            <w:vAlign w:val="bottom"/>
            <w:shd w:val="clear" w:color="auto" w:fill="351B3D"/>
          </w:tcPr>
          <w:p>
            <w:pPr>
              <w:spacing w:after="0"/>
              <w:rPr>
                <w:sz w:val="13"/>
                <w:szCs w:val="13"/>
                <w:color w:val="auto"/>
              </w:rPr>
            </w:pPr>
          </w:p>
        </w:tc>
        <w:tc>
          <w:tcPr>
            <w:tcW w:w="80" w:type="dxa"/>
            <w:vAlign w:val="bottom"/>
            <w:shd w:val="clear" w:color="auto" w:fill="351B3D"/>
          </w:tcPr>
          <w:p>
            <w:pPr>
              <w:spacing w:after="0"/>
              <w:rPr>
                <w:sz w:val="13"/>
                <w:szCs w:val="13"/>
                <w:color w:val="auto"/>
              </w:rPr>
            </w:pPr>
          </w:p>
        </w:tc>
        <w:tc>
          <w:tcPr>
            <w:tcW w:w="780" w:type="dxa"/>
            <w:vAlign w:val="bottom"/>
            <w:shd w:val="clear" w:color="auto" w:fill="351B3D"/>
          </w:tcPr>
          <w:p>
            <w:pPr>
              <w:spacing w:after="0"/>
              <w:rPr>
                <w:sz w:val="13"/>
                <w:szCs w:val="13"/>
                <w:color w:val="auto"/>
              </w:rPr>
            </w:pPr>
          </w:p>
        </w:tc>
      </w:tr>
      <w:tr>
        <w:trPr>
          <w:trHeight w:val="167"/>
        </w:trPr>
        <w:tc>
          <w:tcPr>
            <w:tcW w:w="1900" w:type="dxa"/>
            <w:vAlign w:val="bottom"/>
            <w:tcBorders>
              <w:bottom w:val="single" w:sz="8" w:color="351B3D"/>
              <w:right w:val="single" w:sz="8" w:color="351B3D"/>
            </w:tcBorders>
            <w:shd w:val="clear" w:color="auto" w:fill="351B3D"/>
          </w:tcPr>
          <w:p>
            <w:pPr>
              <w:spacing w:after="0"/>
              <w:rPr>
                <w:sz w:val="14"/>
                <w:szCs w:val="14"/>
                <w:color w:val="auto"/>
              </w:rPr>
            </w:pPr>
          </w:p>
        </w:tc>
        <w:tc>
          <w:tcPr>
            <w:tcW w:w="240" w:type="dxa"/>
            <w:vAlign w:val="bottom"/>
            <w:tcBorders>
              <w:bottom w:val="single" w:sz="8" w:color="351B3D"/>
            </w:tcBorders>
            <w:shd w:val="clear" w:color="auto" w:fill="351B3D"/>
          </w:tcPr>
          <w:p>
            <w:pPr>
              <w:spacing w:after="0"/>
              <w:rPr>
                <w:sz w:val="14"/>
                <w:szCs w:val="14"/>
                <w:color w:val="auto"/>
              </w:rPr>
            </w:pPr>
          </w:p>
        </w:tc>
        <w:tc>
          <w:tcPr>
            <w:tcW w:w="720" w:type="dxa"/>
            <w:vAlign w:val="bottom"/>
            <w:tcBorders>
              <w:bottom w:val="single" w:sz="8" w:color="351B3D"/>
            </w:tcBorders>
            <w:shd w:val="clear" w:color="auto" w:fill="351B3D"/>
          </w:tcPr>
          <w:p>
            <w:pPr>
              <w:spacing w:after="0"/>
              <w:rPr>
                <w:sz w:val="14"/>
                <w:szCs w:val="14"/>
                <w:color w:val="auto"/>
              </w:rPr>
            </w:pPr>
          </w:p>
        </w:tc>
        <w:tc>
          <w:tcPr>
            <w:tcW w:w="960" w:type="dxa"/>
            <w:vAlign w:val="bottom"/>
            <w:tcBorders>
              <w:bottom w:val="single" w:sz="8" w:color="351B3D"/>
            </w:tcBorders>
            <w:shd w:val="clear" w:color="auto" w:fill="351B3D"/>
          </w:tcPr>
          <w:p>
            <w:pPr>
              <w:spacing w:after="0"/>
              <w:rPr>
                <w:sz w:val="14"/>
                <w:szCs w:val="14"/>
                <w:color w:val="auto"/>
              </w:rPr>
            </w:pPr>
          </w:p>
        </w:tc>
        <w:tc>
          <w:tcPr>
            <w:tcW w:w="260" w:type="dxa"/>
            <w:vAlign w:val="bottom"/>
            <w:tcBorders>
              <w:bottom w:val="single" w:sz="8" w:color="351B3D"/>
            </w:tcBorders>
            <w:shd w:val="clear" w:color="auto" w:fill="351B3D"/>
          </w:tcPr>
          <w:p>
            <w:pPr>
              <w:spacing w:after="0"/>
              <w:rPr>
                <w:sz w:val="14"/>
                <w:szCs w:val="14"/>
                <w:color w:val="auto"/>
              </w:rPr>
            </w:pPr>
          </w:p>
        </w:tc>
        <w:tc>
          <w:tcPr>
            <w:tcW w:w="680" w:type="dxa"/>
            <w:vAlign w:val="bottom"/>
            <w:tcBorders>
              <w:bottom w:val="single" w:sz="8" w:color="351B3D"/>
            </w:tcBorders>
            <w:shd w:val="clear" w:color="auto" w:fill="351B3D"/>
          </w:tcPr>
          <w:p>
            <w:pPr>
              <w:spacing w:after="0"/>
              <w:rPr>
                <w:sz w:val="14"/>
                <w:szCs w:val="14"/>
                <w:color w:val="auto"/>
              </w:rPr>
            </w:pPr>
          </w:p>
        </w:tc>
        <w:tc>
          <w:tcPr>
            <w:tcW w:w="940" w:type="dxa"/>
            <w:vAlign w:val="bottom"/>
            <w:tcBorders>
              <w:bottom w:val="single" w:sz="8" w:color="351B3D"/>
            </w:tcBorders>
            <w:shd w:val="clear" w:color="auto" w:fill="351B3D"/>
          </w:tcPr>
          <w:p>
            <w:pPr>
              <w:spacing w:after="0"/>
              <w:rPr>
                <w:sz w:val="14"/>
                <w:szCs w:val="14"/>
                <w:color w:val="auto"/>
              </w:rPr>
            </w:pPr>
          </w:p>
        </w:tc>
        <w:tc>
          <w:tcPr>
            <w:tcW w:w="940" w:type="dxa"/>
            <w:vAlign w:val="bottom"/>
            <w:tcBorders>
              <w:bottom w:val="single" w:sz="8" w:color="351B3D"/>
            </w:tcBorders>
            <w:shd w:val="clear" w:color="auto" w:fill="351B3D"/>
          </w:tcPr>
          <w:p>
            <w:pPr>
              <w:spacing w:after="0"/>
              <w:rPr>
                <w:sz w:val="14"/>
                <w:szCs w:val="14"/>
                <w:color w:val="auto"/>
              </w:rPr>
            </w:pPr>
          </w:p>
        </w:tc>
        <w:tc>
          <w:tcPr>
            <w:tcW w:w="900" w:type="dxa"/>
            <w:vAlign w:val="bottom"/>
            <w:tcBorders>
              <w:bottom w:val="single" w:sz="8" w:color="351B3D"/>
            </w:tcBorders>
            <w:shd w:val="clear" w:color="auto" w:fill="351B3D"/>
          </w:tcPr>
          <w:p>
            <w:pPr>
              <w:spacing w:after="0"/>
              <w:rPr>
                <w:sz w:val="14"/>
                <w:szCs w:val="14"/>
                <w:color w:val="auto"/>
              </w:rPr>
            </w:pPr>
          </w:p>
        </w:tc>
        <w:tc>
          <w:tcPr>
            <w:tcW w:w="1660" w:type="dxa"/>
            <w:vAlign w:val="bottom"/>
            <w:tcBorders>
              <w:bottom w:val="single" w:sz="8" w:color="351B3D"/>
            </w:tcBorders>
            <w:gridSpan w:val="4"/>
            <w:shd w:val="clear" w:color="auto" w:fill="351B3D"/>
          </w:tcPr>
          <w:p>
            <w:pPr>
              <w:ind w:left="180"/>
              <w:spacing w:after="0"/>
              <w:rPr>
                <w:sz w:val="20"/>
                <w:szCs w:val="20"/>
                <w:color w:val="auto"/>
              </w:rPr>
            </w:pPr>
            <w:r>
              <w:rPr>
                <w:rFonts w:ascii="Arial" w:cs="Arial" w:eastAsia="Arial" w:hAnsi="Arial"/>
                <w:sz w:val="11"/>
                <w:szCs w:val="11"/>
                <w:color w:val="FFFFFF"/>
              </w:rPr>
              <w:t>INVESTMENT BASED ON:</w:t>
            </w:r>
          </w:p>
        </w:tc>
        <w:tc>
          <w:tcPr>
            <w:tcW w:w="80" w:type="dxa"/>
            <w:vAlign w:val="bottom"/>
            <w:tcBorders>
              <w:bottom w:val="single" w:sz="8" w:color="351B3D"/>
            </w:tcBorders>
            <w:shd w:val="clear" w:color="auto" w:fill="351B3D"/>
          </w:tcPr>
          <w:p>
            <w:pPr>
              <w:spacing w:after="0"/>
              <w:rPr>
                <w:sz w:val="14"/>
                <w:szCs w:val="14"/>
                <w:color w:val="auto"/>
              </w:rPr>
            </w:pPr>
          </w:p>
        </w:tc>
        <w:tc>
          <w:tcPr>
            <w:tcW w:w="780" w:type="dxa"/>
            <w:vAlign w:val="bottom"/>
            <w:tcBorders>
              <w:bottom w:val="single" w:sz="8" w:color="351B3D"/>
            </w:tcBorders>
            <w:shd w:val="clear" w:color="auto" w:fill="351B3D"/>
          </w:tcPr>
          <w:p>
            <w:pPr>
              <w:spacing w:after="0"/>
              <w:rPr>
                <w:sz w:val="14"/>
                <w:szCs w:val="14"/>
                <w:color w:val="auto"/>
              </w:rPr>
            </w:pPr>
          </w:p>
        </w:tc>
        <w:tc>
          <w:tcPr>
            <w:tcW w:w="80" w:type="dxa"/>
            <w:vAlign w:val="bottom"/>
            <w:tcBorders>
              <w:bottom w:val="single" w:sz="8" w:color="351B3D"/>
            </w:tcBorders>
            <w:shd w:val="clear" w:color="auto" w:fill="351B3D"/>
          </w:tcPr>
          <w:p>
            <w:pPr>
              <w:spacing w:after="0"/>
              <w:rPr>
                <w:sz w:val="14"/>
                <w:szCs w:val="14"/>
                <w:color w:val="auto"/>
              </w:rPr>
            </w:pPr>
          </w:p>
        </w:tc>
        <w:tc>
          <w:tcPr>
            <w:tcW w:w="780" w:type="dxa"/>
            <w:vAlign w:val="bottom"/>
            <w:tcBorders>
              <w:bottom w:val="single" w:sz="8" w:color="351B3D"/>
            </w:tcBorders>
            <w:shd w:val="clear" w:color="auto" w:fill="351B3D"/>
          </w:tcPr>
          <w:p>
            <w:pPr>
              <w:spacing w:after="0"/>
              <w:rPr>
                <w:sz w:val="14"/>
                <w:szCs w:val="14"/>
                <w:color w:val="auto"/>
              </w:rPr>
            </w:pPr>
          </w:p>
        </w:tc>
      </w:tr>
      <w:tr>
        <w:trPr>
          <w:trHeight w:val="201"/>
        </w:trPr>
        <w:tc>
          <w:tcPr>
            <w:tcW w:w="1900" w:type="dxa"/>
            <w:vAlign w:val="bottom"/>
            <w:tcBorders>
              <w:right w:val="single" w:sz="8" w:color="FCFCFC"/>
            </w:tcBorders>
            <w:shd w:val="clear" w:color="auto" w:fill="351B3D"/>
          </w:tcPr>
          <w:p>
            <w:pPr>
              <w:spacing w:after="0"/>
              <w:rPr>
                <w:sz w:val="17"/>
                <w:szCs w:val="17"/>
                <w:color w:val="auto"/>
              </w:rPr>
            </w:pPr>
          </w:p>
        </w:tc>
        <w:tc>
          <w:tcPr>
            <w:tcW w:w="240" w:type="dxa"/>
            <w:vAlign w:val="bottom"/>
            <w:shd w:val="clear" w:color="auto" w:fill="351B3D"/>
          </w:tcPr>
          <w:p>
            <w:pPr>
              <w:spacing w:after="0"/>
              <w:rPr>
                <w:sz w:val="17"/>
                <w:szCs w:val="17"/>
                <w:color w:val="auto"/>
              </w:rPr>
            </w:pPr>
          </w:p>
        </w:tc>
        <w:tc>
          <w:tcPr>
            <w:tcW w:w="720" w:type="dxa"/>
            <w:vAlign w:val="bottom"/>
            <w:shd w:val="clear" w:color="auto" w:fill="351B3D"/>
          </w:tcPr>
          <w:p>
            <w:pPr>
              <w:spacing w:after="0"/>
              <w:rPr>
                <w:sz w:val="17"/>
                <w:szCs w:val="17"/>
                <w:color w:val="auto"/>
              </w:rPr>
            </w:pPr>
          </w:p>
        </w:tc>
        <w:tc>
          <w:tcPr>
            <w:tcW w:w="960" w:type="dxa"/>
            <w:vAlign w:val="bottom"/>
            <w:shd w:val="clear" w:color="auto" w:fill="351B3D"/>
          </w:tcPr>
          <w:p>
            <w:pPr>
              <w:spacing w:after="0"/>
              <w:rPr>
                <w:sz w:val="17"/>
                <w:szCs w:val="17"/>
                <w:color w:val="auto"/>
              </w:rPr>
            </w:pPr>
          </w:p>
        </w:tc>
        <w:tc>
          <w:tcPr>
            <w:tcW w:w="260" w:type="dxa"/>
            <w:vAlign w:val="bottom"/>
            <w:shd w:val="clear" w:color="auto" w:fill="351B3D"/>
          </w:tcPr>
          <w:p>
            <w:pPr>
              <w:spacing w:after="0"/>
              <w:rPr>
                <w:sz w:val="17"/>
                <w:szCs w:val="17"/>
                <w:color w:val="auto"/>
              </w:rPr>
            </w:pPr>
          </w:p>
        </w:tc>
        <w:tc>
          <w:tcPr>
            <w:tcW w:w="680" w:type="dxa"/>
            <w:vAlign w:val="bottom"/>
            <w:shd w:val="clear" w:color="auto" w:fill="351B3D"/>
          </w:tcPr>
          <w:p>
            <w:pPr>
              <w:spacing w:after="0"/>
              <w:rPr>
                <w:sz w:val="17"/>
                <w:szCs w:val="17"/>
                <w:color w:val="auto"/>
              </w:rPr>
            </w:pPr>
          </w:p>
        </w:tc>
        <w:tc>
          <w:tcPr>
            <w:tcW w:w="940" w:type="dxa"/>
            <w:vAlign w:val="bottom"/>
            <w:shd w:val="clear" w:color="auto" w:fill="351B3D"/>
          </w:tcPr>
          <w:p>
            <w:pPr>
              <w:spacing w:after="0"/>
              <w:rPr>
                <w:sz w:val="17"/>
                <w:szCs w:val="17"/>
                <w:color w:val="auto"/>
              </w:rPr>
            </w:pPr>
          </w:p>
        </w:tc>
        <w:tc>
          <w:tcPr>
            <w:tcW w:w="940" w:type="dxa"/>
            <w:vAlign w:val="bottom"/>
            <w:shd w:val="clear" w:color="auto" w:fill="351B3D"/>
          </w:tcPr>
          <w:p>
            <w:pPr>
              <w:jc w:val="center"/>
              <w:spacing w:after="0"/>
              <w:rPr>
                <w:sz w:val="20"/>
                <w:szCs w:val="20"/>
                <w:color w:val="auto"/>
              </w:rPr>
            </w:pPr>
            <w:r>
              <w:rPr>
                <w:rFonts w:ascii="Arial" w:cs="Arial" w:eastAsia="Arial" w:hAnsi="Arial"/>
                <w:sz w:val="11"/>
                <w:szCs w:val="11"/>
                <w:color w:val="FFFFFF"/>
                <w:w w:val="97"/>
              </w:rPr>
              <w:t>AVERAGE</w:t>
            </w:r>
          </w:p>
        </w:tc>
        <w:tc>
          <w:tcPr>
            <w:tcW w:w="900" w:type="dxa"/>
            <w:vAlign w:val="bottom"/>
            <w:shd w:val="clear" w:color="auto" w:fill="351B3D"/>
          </w:tcPr>
          <w:p>
            <w:pPr>
              <w:spacing w:after="0"/>
              <w:rPr>
                <w:sz w:val="17"/>
                <w:szCs w:val="17"/>
                <w:color w:val="auto"/>
              </w:rPr>
            </w:pPr>
          </w:p>
        </w:tc>
        <w:tc>
          <w:tcPr>
            <w:tcW w:w="240" w:type="dxa"/>
            <w:vAlign w:val="bottom"/>
            <w:shd w:val="clear" w:color="auto" w:fill="351B3D"/>
          </w:tcPr>
          <w:p>
            <w:pPr>
              <w:spacing w:after="0"/>
              <w:rPr>
                <w:sz w:val="17"/>
                <w:szCs w:val="17"/>
                <w:color w:val="auto"/>
              </w:rPr>
            </w:pPr>
          </w:p>
        </w:tc>
        <w:tc>
          <w:tcPr>
            <w:tcW w:w="560" w:type="dxa"/>
            <w:vAlign w:val="bottom"/>
            <w:shd w:val="clear" w:color="auto" w:fill="351B3D"/>
          </w:tcPr>
          <w:p>
            <w:pPr>
              <w:spacing w:after="0"/>
              <w:rPr>
                <w:sz w:val="17"/>
                <w:szCs w:val="17"/>
                <w:color w:val="auto"/>
              </w:rPr>
            </w:pPr>
          </w:p>
        </w:tc>
        <w:tc>
          <w:tcPr>
            <w:tcW w:w="280" w:type="dxa"/>
            <w:vAlign w:val="bottom"/>
            <w:shd w:val="clear" w:color="auto" w:fill="351B3D"/>
          </w:tcPr>
          <w:p>
            <w:pPr>
              <w:spacing w:after="0"/>
              <w:rPr>
                <w:sz w:val="17"/>
                <w:szCs w:val="17"/>
                <w:color w:val="auto"/>
              </w:rPr>
            </w:pPr>
          </w:p>
        </w:tc>
        <w:tc>
          <w:tcPr>
            <w:tcW w:w="580" w:type="dxa"/>
            <w:vAlign w:val="bottom"/>
            <w:shd w:val="clear" w:color="auto" w:fill="351B3D"/>
          </w:tcPr>
          <w:p>
            <w:pPr>
              <w:spacing w:after="0"/>
              <w:rPr>
                <w:sz w:val="17"/>
                <w:szCs w:val="17"/>
                <w:color w:val="auto"/>
              </w:rPr>
            </w:pPr>
          </w:p>
        </w:tc>
        <w:tc>
          <w:tcPr>
            <w:tcW w:w="80" w:type="dxa"/>
            <w:vAlign w:val="bottom"/>
            <w:shd w:val="clear" w:color="auto" w:fill="351B3D"/>
          </w:tcPr>
          <w:p>
            <w:pPr>
              <w:spacing w:after="0"/>
              <w:rPr>
                <w:sz w:val="17"/>
                <w:szCs w:val="17"/>
                <w:color w:val="auto"/>
              </w:rPr>
            </w:pPr>
          </w:p>
        </w:tc>
        <w:tc>
          <w:tcPr>
            <w:tcW w:w="780" w:type="dxa"/>
            <w:vAlign w:val="bottom"/>
            <w:shd w:val="clear" w:color="auto" w:fill="351B3D"/>
          </w:tcPr>
          <w:p>
            <w:pPr>
              <w:spacing w:after="0"/>
              <w:rPr>
                <w:sz w:val="17"/>
                <w:szCs w:val="17"/>
                <w:color w:val="auto"/>
              </w:rPr>
            </w:pPr>
          </w:p>
        </w:tc>
        <w:tc>
          <w:tcPr>
            <w:tcW w:w="80" w:type="dxa"/>
            <w:vAlign w:val="bottom"/>
            <w:shd w:val="clear" w:color="auto" w:fill="351B3D"/>
          </w:tcPr>
          <w:p>
            <w:pPr>
              <w:spacing w:after="0"/>
              <w:rPr>
                <w:sz w:val="17"/>
                <w:szCs w:val="17"/>
                <w:color w:val="auto"/>
              </w:rPr>
            </w:pPr>
          </w:p>
        </w:tc>
        <w:tc>
          <w:tcPr>
            <w:tcW w:w="780" w:type="dxa"/>
            <w:vAlign w:val="bottom"/>
            <w:shd w:val="clear" w:color="auto" w:fill="351B3D"/>
          </w:tcPr>
          <w:p>
            <w:pPr>
              <w:spacing w:after="0"/>
              <w:rPr>
                <w:sz w:val="17"/>
                <w:szCs w:val="17"/>
                <w:color w:val="auto"/>
              </w:rPr>
            </w:pPr>
          </w:p>
        </w:tc>
      </w:tr>
      <w:tr>
        <w:trPr>
          <w:trHeight w:val="120"/>
        </w:trPr>
        <w:tc>
          <w:tcPr>
            <w:tcW w:w="1900" w:type="dxa"/>
            <w:vAlign w:val="bottom"/>
            <w:tcBorders>
              <w:right w:val="single" w:sz="8" w:color="FCFCFC"/>
            </w:tcBorders>
            <w:shd w:val="clear" w:color="auto" w:fill="351B3D"/>
          </w:tcPr>
          <w:p>
            <w:pPr>
              <w:spacing w:after="0"/>
              <w:rPr>
                <w:sz w:val="10"/>
                <w:szCs w:val="10"/>
                <w:color w:val="auto"/>
              </w:rPr>
            </w:pPr>
          </w:p>
        </w:tc>
        <w:tc>
          <w:tcPr>
            <w:tcW w:w="240" w:type="dxa"/>
            <w:vAlign w:val="bottom"/>
            <w:shd w:val="clear" w:color="auto" w:fill="351B3D"/>
          </w:tcPr>
          <w:p>
            <w:pPr>
              <w:spacing w:after="0"/>
              <w:rPr>
                <w:sz w:val="10"/>
                <w:szCs w:val="10"/>
                <w:color w:val="auto"/>
              </w:rPr>
            </w:pPr>
          </w:p>
        </w:tc>
        <w:tc>
          <w:tcPr>
            <w:tcW w:w="720" w:type="dxa"/>
            <w:vAlign w:val="bottom"/>
            <w:shd w:val="clear" w:color="auto" w:fill="351B3D"/>
          </w:tcPr>
          <w:p>
            <w:pPr>
              <w:spacing w:after="0"/>
              <w:rPr>
                <w:sz w:val="10"/>
                <w:szCs w:val="10"/>
                <w:color w:val="auto"/>
              </w:rPr>
            </w:pPr>
          </w:p>
        </w:tc>
        <w:tc>
          <w:tcPr>
            <w:tcW w:w="960" w:type="dxa"/>
            <w:vAlign w:val="bottom"/>
            <w:shd w:val="clear" w:color="auto" w:fill="351B3D"/>
          </w:tcPr>
          <w:p>
            <w:pPr>
              <w:spacing w:after="0"/>
              <w:rPr>
                <w:sz w:val="10"/>
                <w:szCs w:val="10"/>
                <w:color w:val="auto"/>
              </w:rPr>
            </w:pPr>
          </w:p>
        </w:tc>
        <w:tc>
          <w:tcPr>
            <w:tcW w:w="260" w:type="dxa"/>
            <w:vAlign w:val="bottom"/>
            <w:shd w:val="clear" w:color="auto" w:fill="351B3D"/>
          </w:tcPr>
          <w:p>
            <w:pPr>
              <w:spacing w:after="0"/>
              <w:rPr>
                <w:sz w:val="10"/>
                <w:szCs w:val="10"/>
                <w:color w:val="auto"/>
              </w:rPr>
            </w:pPr>
          </w:p>
        </w:tc>
        <w:tc>
          <w:tcPr>
            <w:tcW w:w="680" w:type="dxa"/>
            <w:vAlign w:val="bottom"/>
            <w:shd w:val="clear" w:color="auto" w:fill="351B3D"/>
          </w:tcPr>
          <w:p>
            <w:pPr>
              <w:spacing w:after="0"/>
              <w:rPr>
                <w:sz w:val="10"/>
                <w:szCs w:val="10"/>
                <w:color w:val="auto"/>
              </w:rPr>
            </w:pPr>
          </w:p>
        </w:tc>
        <w:tc>
          <w:tcPr>
            <w:tcW w:w="940" w:type="dxa"/>
            <w:vAlign w:val="bottom"/>
            <w:shd w:val="clear" w:color="auto" w:fill="351B3D"/>
          </w:tcPr>
          <w:p>
            <w:pPr>
              <w:spacing w:after="0"/>
              <w:rPr>
                <w:sz w:val="10"/>
                <w:szCs w:val="10"/>
                <w:color w:val="auto"/>
              </w:rPr>
            </w:pPr>
          </w:p>
        </w:tc>
        <w:tc>
          <w:tcPr>
            <w:tcW w:w="940" w:type="dxa"/>
            <w:vAlign w:val="bottom"/>
            <w:shd w:val="clear" w:color="auto" w:fill="351B3D"/>
          </w:tcPr>
          <w:p>
            <w:pPr>
              <w:jc w:val="center"/>
              <w:spacing w:after="0" w:line="121" w:lineRule="exact"/>
              <w:rPr>
                <w:sz w:val="20"/>
                <w:szCs w:val="20"/>
                <w:color w:val="auto"/>
              </w:rPr>
            </w:pPr>
            <w:r>
              <w:rPr>
                <w:rFonts w:ascii="Arial" w:cs="Arial" w:eastAsia="Arial" w:hAnsi="Arial"/>
                <w:sz w:val="11"/>
                <w:szCs w:val="11"/>
                <w:color w:val="FFFFFF"/>
                <w:w w:val="99"/>
              </w:rPr>
              <w:t>SUMMARY</w:t>
            </w:r>
          </w:p>
        </w:tc>
        <w:tc>
          <w:tcPr>
            <w:tcW w:w="900" w:type="dxa"/>
            <w:vAlign w:val="bottom"/>
            <w:shd w:val="clear" w:color="auto" w:fill="351B3D"/>
          </w:tcPr>
          <w:p>
            <w:pPr>
              <w:spacing w:after="0"/>
              <w:rPr>
                <w:sz w:val="10"/>
                <w:szCs w:val="10"/>
                <w:color w:val="auto"/>
              </w:rPr>
            </w:pPr>
          </w:p>
        </w:tc>
        <w:tc>
          <w:tcPr>
            <w:tcW w:w="240" w:type="dxa"/>
            <w:vAlign w:val="bottom"/>
            <w:shd w:val="clear" w:color="auto" w:fill="351B3D"/>
          </w:tcPr>
          <w:p>
            <w:pPr>
              <w:spacing w:after="0"/>
              <w:rPr>
                <w:sz w:val="10"/>
                <w:szCs w:val="10"/>
                <w:color w:val="auto"/>
              </w:rPr>
            </w:pPr>
          </w:p>
        </w:tc>
        <w:tc>
          <w:tcPr>
            <w:tcW w:w="560" w:type="dxa"/>
            <w:vAlign w:val="bottom"/>
            <w:shd w:val="clear" w:color="auto" w:fill="351B3D"/>
          </w:tcPr>
          <w:p>
            <w:pPr>
              <w:spacing w:after="0"/>
              <w:rPr>
                <w:sz w:val="10"/>
                <w:szCs w:val="10"/>
                <w:color w:val="auto"/>
              </w:rPr>
            </w:pPr>
          </w:p>
        </w:tc>
        <w:tc>
          <w:tcPr>
            <w:tcW w:w="280" w:type="dxa"/>
            <w:vAlign w:val="bottom"/>
            <w:shd w:val="clear" w:color="auto" w:fill="351B3D"/>
          </w:tcPr>
          <w:p>
            <w:pPr>
              <w:spacing w:after="0"/>
              <w:rPr>
                <w:sz w:val="10"/>
                <w:szCs w:val="10"/>
                <w:color w:val="auto"/>
              </w:rPr>
            </w:pPr>
          </w:p>
        </w:tc>
        <w:tc>
          <w:tcPr>
            <w:tcW w:w="580" w:type="dxa"/>
            <w:vAlign w:val="bottom"/>
            <w:shd w:val="clear" w:color="auto" w:fill="351B3D"/>
          </w:tcPr>
          <w:p>
            <w:pPr>
              <w:spacing w:after="0"/>
              <w:rPr>
                <w:sz w:val="10"/>
                <w:szCs w:val="10"/>
                <w:color w:val="auto"/>
              </w:rPr>
            </w:pPr>
          </w:p>
        </w:tc>
        <w:tc>
          <w:tcPr>
            <w:tcW w:w="80" w:type="dxa"/>
            <w:vAlign w:val="bottom"/>
            <w:shd w:val="clear" w:color="auto" w:fill="351B3D"/>
          </w:tcPr>
          <w:p>
            <w:pPr>
              <w:spacing w:after="0"/>
              <w:rPr>
                <w:sz w:val="10"/>
                <w:szCs w:val="10"/>
                <w:color w:val="auto"/>
              </w:rPr>
            </w:pPr>
          </w:p>
        </w:tc>
        <w:tc>
          <w:tcPr>
            <w:tcW w:w="780" w:type="dxa"/>
            <w:vAlign w:val="bottom"/>
            <w:shd w:val="clear" w:color="auto" w:fill="351B3D"/>
          </w:tcPr>
          <w:p>
            <w:pPr>
              <w:spacing w:after="0"/>
              <w:rPr>
                <w:sz w:val="10"/>
                <w:szCs w:val="10"/>
                <w:color w:val="auto"/>
              </w:rPr>
            </w:pPr>
          </w:p>
        </w:tc>
        <w:tc>
          <w:tcPr>
            <w:tcW w:w="80" w:type="dxa"/>
            <w:vAlign w:val="bottom"/>
            <w:shd w:val="clear" w:color="auto" w:fill="351B3D"/>
          </w:tcPr>
          <w:p>
            <w:pPr>
              <w:spacing w:after="0"/>
              <w:rPr>
                <w:sz w:val="10"/>
                <w:szCs w:val="10"/>
                <w:color w:val="auto"/>
              </w:rPr>
            </w:pPr>
          </w:p>
        </w:tc>
        <w:tc>
          <w:tcPr>
            <w:tcW w:w="780" w:type="dxa"/>
            <w:vAlign w:val="bottom"/>
            <w:shd w:val="clear" w:color="auto" w:fill="351B3D"/>
          </w:tcPr>
          <w:p>
            <w:pPr>
              <w:spacing w:after="0"/>
              <w:rPr>
                <w:sz w:val="10"/>
                <w:szCs w:val="10"/>
                <w:color w:val="auto"/>
              </w:rPr>
            </w:pPr>
          </w:p>
        </w:tc>
      </w:tr>
      <w:tr>
        <w:trPr>
          <w:trHeight w:val="120"/>
        </w:trPr>
        <w:tc>
          <w:tcPr>
            <w:tcW w:w="1900" w:type="dxa"/>
            <w:vAlign w:val="bottom"/>
            <w:tcBorders>
              <w:right w:val="single" w:sz="8" w:color="FCFCFC"/>
            </w:tcBorders>
            <w:shd w:val="clear" w:color="auto" w:fill="351B3D"/>
          </w:tcPr>
          <w:p>
            <w:pPr>
              <w:spacing w:after="0"/>
              <w:rPr>
                <w:sz w:val="10"/>
                <w:szCs w:val="10"/>
                <w:color w:val="auto"/>
              </w:rPr>
            </w:pPr>
          </w:p>
        </w:tc>
        <w:tc>
          <w:tcPr>
            <w:tcW w:w="960" w:type="dxa"/>
            <w:vAlign w:val="bottom"/>
            <w:gridSpan w:val="2"/>
            <w:shd w:val="clear" w:color="auto" w:fill="351B3D"/>
          </w:tcPr>
          <w:p>
            <w:pPr>
              <w:jc w:val="center"/>
              <w:spacing w:after="0" w:line="121" w:lineRule="exact"/>
              <w:rPr>
                <w:sz w:val="20"/>
                <w:szCs w:val="20"/>
                <w:color w:val="auto"/>
              </w:rPr>
            </w:pPr>
            <w:r>
              <w:rPr>
                <w:rFonts w:ascii="Arial" w:cs="Arial" w:eastAsia="Arial" w:hAnsi="Arial"/>
                <w:sz w:val="11"/>
                <w:szCs w:val="11"/>
                <w:color w:val="FFFFFF"/>
                <w:w w:val="95"/>
              </w:rPr>
              <w:t>SUMMARY</w:t>
            </w:r>
          </w:p>
        </w:tc>
        <w:tc>
          <w:tcPr>
            <w:tcW w:w="960" w:type="dxa"/>
            <w:vAlign w:val="bottom"/>
            <w:shd w:val="clear" w:color="auto" w:fill="351B3D"/>
          </w:tcPr>
          <w:p>
            <w:pPr>
              <w:jc w:val="center"/>
              <w:spacing w:after="0" w:line="121" w:lineRule="exact"/>
              <w:rPr>
                <w:sz w:val="20"/>
                <w:szCs w:val="20"/>
                <w:color w:val="auto"/>
              </w:rPr>
            </w:pPr>
            <w:r>
              <w:rPr>
                <w:rFonts w:ascii="Arial" w:cs="Arial" w:eastAsia="Arial" w:hAnsi="Arial"/>
                <w:sz w:val="11"/>
                <w:szCs w:val="11"/>
                <w:color w:val="FFFFFF"/>
                <w:w w:val="95"/>
              </w:rPr>
              <w:t>SUMMARY</w:t>
            </w:r>
          </w:p>
        </w:tc>
        <w:tc>
          <w:tcPr>
            <w:tcW w:w="260" w:type="dxa"/>
            <w:vAlign w:val="bottom"/>
            <w:shd w:val="clear" w:color="auto" w:fill="351B3D"/>
          </w:tcPr>
          <w:p>
            <w:pPr>
              <w:spacing w:after="0"/>
              <w:rPr>
                <w:sz w:val="10"/>
                <w:szCs w:val="10"/>
                <w:color w:val="auto"/>
              </w:rPr>
            </w:pPr>
          </w:p>
        </w:tc>
        <w:tc>
          <w:tcPr>
            <w:tcW w:w="680" w:type="dxa"/>
            <w:vAlign w:val="bottom"/>
            <w:shd w:val="clear" w:color="auto" w:fill="351B3D"/>
          </w:tcPr>
          <w:p>
            <w:pPr>
              <w:spacing w:after="0"/>
              <w:rPr>
                <w:sz w:val="10"/>
                <w:szCs w:val="10"/>
                <w:color w:val="auto"/>
              </w:rPr>
            </w:pPr>
          </w:p>
        </w:tc>
        <w:tc>
          <w:tcPr>
            <w:tcW w:w="940" w:type="dxa"/>
            <w:vAlign w:val="bottom"/>
            <w:shd w:val="clear" w:color="auto" w:fill="351B3D"/>
          </w:tcPr>
          <w:p>
            <w:pPr>
              <w:spacing w:after="0"/>
              <w:rPr>
                <w:sz w:val="10"/>
                <w:szCs w:val="10"/>
                <w:color w:val="auto"/>
              </w:rPr>
            </w:pPr>
          </w:p>
        </w:tc>
        <w:tc>
          <w:tcPr>
            <w:tcW w:w="940" w:type="dxa"/>
            <w:vAlign w:val="bottom"/>
            <w:shd w:val="clear" w:color="auto" w:fill="351B3D"/>
          </w:tcPr>
          <w:p>
            <w:pPr>
              <w:jc w:val="center"/>
              <w:spacing w:after="0" w:line="121" w:lineRule="exact"/>
              <w:rPr>
                <w:sz w:val="20"/>
                <w:szCs w:val="20"/>
                <w:color w:val="auto"/>
              </w:rPr>
            </w:pPr>
            <w:r>
              <w:rPr>
                <w:rFonts w:ascii="Arial" w:cs="Arial" w:eastAsia="Arial" w:hAnsi="Arial"/>
                <w:sz w:val="11"/>
                <w:szCs w:val="11"/>
                <w:color w:val="FFFFFF"/>
                <w:w w:val="96"/>
              </w:rPr>
              <w:t>COMPENSATION</w:t>
            </w:r>
          </w:p>
        </w:tc>
        <w:tc>
          <w:tcPr>
            <w:tcW w:w="900" w:type="dxa"/>
            <w:vAlign w:val="bottom"/>
            <w:shd w:val="clear" w:color="auto" w:fill="351B3D"/>
          </w:tcPr>
          <w:p>
            <w:pPr>
              <w:jc w:val="center"/>
              <w:spacing w:after="0" w:line="121" w:lineRule="exact"/>
              <w:rPr>
                <w:sz w:val="20"/>
                <w:szCs w:val="20"/>
                <w:color w:val="auto"/>
              </w:rPr>
            </w:pPr>
            <w:r>
              <w:rPr>
                <w:rFonts w:ascii="Arial" w:cs="Arial" w:eastAsia="Arial" w:hAnsi="Arial"/>
                <w:sz w:val="11"/>
                <w:szCs w:val="11"/>
                <w:color w:val="FFFFFF"/>
                <w:w w:val="93"/>
              </w:rPr>
              <w:t>AVERAGE</w:t>
            </w:r>
          </w:p>
        </w:tc>
        <w:tc>
          <w:tcPr>
            <w:tcW w:w="240" w:type="dxa"/>
            <w:vAlign w:val="bottom"/>
            <w:shd w:val="clear" w:color="auto" w:fill="351B3D"/>
          </w:tcPr>
          <w:p>
            <w:pPr>
              <w:spacing w:after="0"/>
              <w:rPr>
                <w:sz w:val="10"/>
                <w:szCs w:val="10"/>
                <w:color w:val="auto"/>
              </w:rPr>
            </w:pPr>
          </w:p>
        </w:tc>
        <w:tc>
          <w:tcPr>
            <w:tcW w:w="560" w:type="dxa"/>
            <w:vAlign w:val="bottom"/>
            <w:shd w:val="clear" w:color="auto" w:fill="351B3D"/>
          </w:tcPr>
          <w:p>
            <w:pPr>
              <w:spacing w:after="0"/>
              <w:rPr>
                <w:sz w:val="10"/>
                <w:szCs w:val="10"/>
                <w:color w:val="auto"/>
              </w:rPr>
            </w:pPr>
          </w:p>
        </w:tc>
        <w:tc>
          <w:tcPr>
            <w:tcW w:w="280" w:type="dxa"/>
            <w:vAlign w:val="bottom"/>
            <w:shd w:val="clear" w:color="auto" w:fill="351B3D"/>
          </w:tcPr>
          <w:p>
            <w:pPr>
              <w:spacing w:after="0"/>
              <w:rPr>
                <w:sz w:val="10"/>
                <w:szCs w:val="10"/>
                <w:color w:val="auto"/>
              </w:rPr>
            </w:pPr>
          </w:p>
        </w:tc>
        <w:tc>
          <w:tcPr>
            <w:tcW w:w="580" w:type="dxa"/>
            <w:vAlign w:val="bottom"/>
            <w:shd w:val="clear" w:color="auto" w:fill="351B3D"/>
          </w:tcPr>
          <w:p>
            <w:pPr>
              <w:spacing w:after="0"/>
              <w:rPr>
                <w:sz w:val="10"/>
                <w:szCs w:val="10"/>
                <w:color w:val="auto"/>
              </w:rPr>
            </w:pPr>
          </w:p>
        </w:tc>
        <w:tc>
          <w:tcPr>
            <w:tcW w:w="80" w:type="dxa"/>
            <w:vAlign w:val="bottom"/>
            <w:shd w:val="clear" w:color="auto" w:fill="351B3D"/>
          </w:tcPr>
          <w:p>
            <w:pPr>
              <w:spacing w:after="0"/>
              <w:rPr>
                <w:sz w:val="10"/>
                <w:szCs w:val="10"/>
                <w:color w:val="auto"/>
              </w:rPr>
            </w:pPr>
          </w:p>
        </w:tc>
        <w:tc>
          <w:tcPr>
            <w:tcW w:w="780" w:type="dxa"/>
            <w:vAlign w:val="bottom"/>
            <w:shd w:val="clear" w:color="auto" w:fill="351B3D"/>
          </w:tcPr>
          <w:p>
            <w:pPr>
              <w:spacing w:after="0"/>
              <w:rPr>
                <w:sz w:val="10"/>
                <w:szCs w:val="10"/>
                <w:color w:val="auto"/>
              </w:rPr>
            </w:pPr>
          </w:p>
        </w:tc>
        <w:tc>
          <w:tcPr>
            <w:tcW w:w="80" w:type="dxa"/>
            <w:vAlign w:val="bottom"/>
            <w:shd w:val="clear" w:color="auto" w:fill="351B3D"/>
          </w:tcPr>
          <w:p>
            <w:pPr>
              <w:spacing w:after="0"/>
              <w:rPr>
                <w:sz w:val="10"/>
                <w:szCs w:val="10"/>
                <w:color w:val="auto"/>
              </w:rPr>
            </w:pPr>
          </w:p>
        </w:tc>
        <w:tc>
          <w:tcPr>
            <w:tcW w:w="780" w:type="dxa"/>
            <w:vAlign w:val="bottom"/>
            <w:shd w:val="clear" w:color="auto" w:fill="351B3D"/>
          </w:tcPr>
          <w:p>
            <w:pPr>
              <w:spacing w:after="0"/>
              <w:rPr>
                <w:sz w:val="10"/>
                <w:szCs w:val="10"/>
                <w:color w:val="auto"/>
              </w:rPr>
            </w:pPr>
          </w:p>
        </w:tc>
      </w:tr>
      <w:tr>
        <w:trPr>
          <w:trHeight w:val="120"/>
        </w:trPr>
        <w:tc>
          <w:tcPr>
            <w:tcW w:w="1900" w:type="dxa"/>
            <w:vAlign w:val="bottom"/>
            <w:tcBorders>
              <w:right w:val="single" w:sz="8" w:color="FCFCFC"/>
            </w:tcBorders>
            <w:shd w:val="clear" w:color="auto" w:fill="351B3D"/>
          </w:tcPr>
          <w:p>
            <w:pPr>
              <w:spacing w:after="0"/>
              <w:rPr>
                <w:sz w:val="10"/>
                <w:szCs w:val="10"/>
                <w:color w:val="auto"/>
              </w:rPr>
            </w:pPr>
          </w:p>
        </w:tc>
        <w:tc>
          <w:tcPr>
            <w:tcW w:w="960" w:type="dxa"/>
            <w:vAlign w:val="bottom"/>
            <w:gridSpan w:val="2"/>
            <w:shd w:val="clear" w:color="auto" w:fill="351B3D"/>
          </w:tcPr>
          <w:p>
            <w:pPr>
              <w:jc w:val="center"/>
              <w:spacing w:after="0" w:line="121" w:lineRule="exact"/>
              <w:rPr>
                <w:sz w:val="20"/>
                <w:szCs w:val="20"/>
                <w:color w:val="auto"/>
              </w:rPr>
            </w:pPr>
            <w:r>
              <w:rPr>
                <w:rFonts w:ascii="Arial" w:cs="Arial" w:eastAsia="Arial" w:hAnsi="Arial"/>
                <w:sz w:val="11"/>
                <w:szCs w:val="11"/>
                <w:color w:val="FFFFFF"/>
                <w:w w:val="96"/>
              </w:rPr>
              <w:t>COMPENSATION</w:t>
            </w:r>
          </w:p>
        </w:tc>
        <w:tc>
          <w:tcPr>
            <w:tcW w:w="960" w:type="dxa"/>
            <w:vAlign w:val="bottom"/>
            <w:shd w:val="clear" w:color="auto" w:fill="351B3D"/>
          </w:tcPr>
          <w:p>
            <w:pPr>
              <w:jc w:val="center"/>
              <w:spacing w:after="0" w:line="121" w:lineRule="exact"/>
              <w:rPr>
                <w:sz w:val="20"/>
                <w:szCs w:val="20"/>
                <w:color w:val="auto"/>
              </w:rPr>
            </w:pPr>
            <w:r>
              <w:rPr>
                <w:rFonts w:ascii="Arial" w:cs="Arial" w:eastAsia="Arial" w:hAnsi="Arial"/>
                <w:sz w:val="11"/>
                <w:szCs w:val="11"/>
                <w:color w:val="FFFFFF"/>
                <w:w w:val="96"/>
              </w:rPr>
              <w:t>COMPENSATION</w:t>
            </w:r>
          </w:p>
        </w:tc>
        <w:tc>
          <w:tcPr>
            <w:tcW w:w="940" w:type="dxa"/>
            <w:vAlign w:val="bottom"/>
            <w:gridSpan w:val="2"/>
            <w:shd w:val="clear" w:color="auto" w:fill="351B3D"/>
          </w:tcPr>
          <w:p>
            <w:pPr>
              <w:jc w:val="center"/>
              <w:spacing w:after="0" w:line="121" w:lineRule="exact"/>
              <w:rPr>
                <w:sz w:val="20"/>
                <w:szCs w:val="20"/>
                <w:color w:val="auto"/>
              </w:rPr>
            </w:pPr>
            <w:r>
              <w:rPr>
                <w:rFonts w:ascii="Arial" w:cs="Arial" w:eastAsia="Arial" w:hAnsi="Arial"/>
                <w:sz w:val="11"/>
                <w:szCs w:val="11"/>
                <w:color w:val="FFFFFF"/>
                <w:w w:val="96"/>
              </w:rPr>
              <w:t>COMPENSATION</w:t>
            </w:r>
          </w:p>
        </w:tc>
        <w:tc>
          <w:tcPr>
            <w:tcW w:w="940" w:type="dxa"/>
            <w:vAlign w:val="bottom"/>
            <w:shd w:val="clear" w:color="auto" w:fill="351B3D"/>
          </w:tcPr>
          <w:p>
            <w:pPr>
              <w:jc w:val="center"/>
              <w:spacing w:after="0" w:line="121" w:lineRule="exact"/>
              <w:rPr>
                <w:sz w:val="20"/>
                <w:szCs w:val="20"/>
                <w:color w:val="auto"/>
              </w:rPr>
            </w:pPr>
            <w:r>
              <w:rPr>
                <w:rFonts w:ascii="Arial" w:cs="Arial" w:eastAsia="Arial" w:hAnsi="Arial"/>
                <w:sz w:val="11"/>
                <w:szCs w:val="11"/>
                <w:color w:val="FFFFFF"/>
                <w:w w:val="96"/>
              </w:rPr>
              <w:t>COMPENSATION</w:t>
            </w:r>
          </w:p>
        </w:tc>
        <w:tc>
          <w:tcPr>
            <w:tcW w:w="940" w:type="dxa"/>
            <w:vAlign w:val="bottom"/>
            <w:shd w:val="clear" w:color="auto" w:fill="351B3D"/>
          </w:tcPr>
          <w:p>
            <w:pPr>
              <w:jc w:val="center"/>
              <w:spacing w:after="0" w:line="121" w:lineRule="exact"/>
              <w:rPr>
                <w:sz w:val="20"/>
                <w:szCs w:val="20"/>
                <w:color w:val="auto"/>
              </w:rPr>
            </w:pPr>
            <w:r>
              <w:rPr>
                <w:rFonts w:ascii="Arial" w:cs="Arial" w:eastAsia="Arial" w:hAnsi="Arial"/>
                <w:sz w:val="11"/>
                <w:szCs w:val="11"/>
                <w:color w:val="FFFFFF"/>
                <w:w w:val="92"/>
              </w:rPr>
              <w:t>TABLE TOTAL</w:t>
            </w:r>
          </w:p>
        </w:tc>
        <w:tc>
          <w:tcPr>
            <w:tcW w:w="900" w:type="dxa"/>
            <w:vAlign w:val="bottom"/>
            <w:shd w:val="clear" w:color="auto" w:fill="351B3D"/>
          </w:tcPr>
          <w:p>
            <w:pPr>
              <w:jc w:val="center"/>
              <w:spacing w:after="0" w:line="121" w:lineRule="exact"/>
              <w:rPr>
                <w:sz w:val="20"/>
                <w:szCs w:val="20"/>
                <w:color w:val="auto"/>
              </w:rPr>
            </w:pPr>
            <w:r>
              <w:rPr>
                <w:rFonts w:ascii="Arial" w:cs="Arial" w:eastAsia="Arial" w:hAnsi="Arial"/>
                <w:sz w:val="11"/>
                <w:szCs w:val="11"/>
                <w:color w:val="FFFFFF"/>
                <w:w w:val="96"/>
              </w:rPr>
              <w:t>COMPENSATION</w:t>
            </w:r>
          </w:p>
        </w:tc>
        <w:tc>
          <w:tcPr>
            <w:tcW w:w="240" w:type="dxa"/>
            <w:vAlign w:val="bottom"/>
            <w:shd w:val="clear" w:color="auto" w:fill="351B3D"/>
          </w:tcPr>
          <w:p>
            <w:pPr>
              <w:spacing w:after="0"/>
              <w:rPr>
                <w:sz w:val="10"/>
                <w:szCs w:val="10"/>
                <w:color w:val="auto"/>
              </w:rPr>
            </w:pPr>
          </w:p>
        </w:tc>
        <w:tc>
          <w:tcPr>
            <w:tcW w:w="560" w:type="dxa"/>
            <w:vAlign w:val="bottom"/>
            <w:shd w:val="clear" w:color="auto" w:fill="351B3D"/>
          </w:tcPr>
          <w:p>
            <w:pPr>
              <w:spacing w:after="0"/>
              <w:rPr>
                <w:sz w:val="10"/>
                <w:szCs w:val="10"/>
                <w:color w:val="auto"/>
              </w:rPr>
            </w:pPr>
          </w:p>
        </w:tc>
        <w:tc>
          <w:tcPr>
            <w:tcW w:w="860" w:type="dxa"/>
            <w:vAlign w:val="bottom"/>
            <w:gridSpan w:val="2"/>
            <w:shd w:val="clear" w:color="auto" w:fill="351B3D"/>
          </w:tcPr>
          <w:p>
            <w:pPr>
              <w:jc w:val="center"/>
              <w:spacing w:after="0" w:line="121" w:lineRule="exact"/>
              <w:rPr>
                <w:sz w:val="20"/>
                <w:szCs w:val="20"/>
                <w:color w:val="auto"/>
              </w:rPr>
            </w:pPr>
            <w:r>
              <w:rPr>
                <w:rFonts w:ascii="Arial" w:cs="Arial" w:eastAsia="Arial" w:hAnsi="Arial"/>
                <w:sz w:val="11"/>
                <w:szCs w:val="11"/>
                <w:color w:val="FFFFFF"/>
                <w:w w:val="95"/>
              </w:rPr>
              <w:t>PEER GROUP</w:t>
            </w:r>
          </w:p>
        </w:tc>
        <w:tc>
          <w:tcPr>
            <w:tcW w:w="80" w:type="dxa"/>
            <w:vAlign w:val="bottom"/>
            <w:shd w:val="clear" w:color="auto" w:fill="351B3D"/>
          </w:tcPr>
          <w:p>
            <w:pPr>
              <w:spacing w:after="0"/>
              <w:rPr>
                <w:sz w:val="10"/>
                <w:szCs w:val="10"/>
                <w:color w:val="auto"/>
              </w:rPr>
            </w:pPr>
          </w:p>
        </w:tc>
        <w:tc>
          <w:tcPr>
            <w:tcW w:w="780" w:type="dxa"/>
            <w:vAlign w:val="bottom"/>
            <w:shd w:val="clear" w:color="auto" w:fill="351B3D"/>
          </w:tcPr>
          <w:p>
            <w:pPr>
              <w:spacing w:after="0"/>
              <w:rPr>
                <w:sz w:val="10"/>
                <w:szCs w:val="10"/>
                <w:color w:val="auto"/>
              </w:rPr>
            </w:pPr>
          </w:p>
        </w:tc>
        <w:tc>
          <w:tcPr>
            <w:tcW w:w="80" w:type="dxa"/>
            <w:vAlign w:val="bottom"/>
            <w:shd w:val="clear" w:color="auto" w:fill="351B3D"/>
          </w:tcPr>
          <w:p>
            <w:pPr>
              <w:spacing w:after="0"/>
              <w:rPr>
                <w:sz w:val="10"/>
                <w:szCs w:val="10"/>
                <w:color w:val="auto"/>
              </w:rPr>
            </w:pPr>
          </w:p>
        </w:tc>
        <w:tc>
          <w:tcPr>
            <w:tcW w:w="780" w:type="dxa"/>
            <w:vAlign w:val="bottom"/>
            <w:shd w:val="clear" w:color="auto" w:fill="351B3D"/>
          </w:tcPr>
          <w:p>
            <w:pPr>
              <w:spacing w:after="0"/>
              <w:rPr>
                <w:sz w:val="10"/>
                <w:szCs w:val="10"/>
                <w:color w:val="auto"/>
              </w:rPr>
            </w:pPr>
          </w:p>
        </w:tc>
      </w:tr>
      <w:tr>
        <w:trPr>
          <w:trHeight w:val="120"/>
        </w:trPr>
        <w:tc>
          <w:tcPr>
            <w:tcW w:w="1900" w:type="dxa"/>
            <w:vAlign w:val="bottom"/>
            <w:tcBorders>
              <w:right w:val="single" w:sz="8" w:color="FCFCFC"/>
            </w:tcBorders>
            <w:shd w:val="clear" w:color="auto" w:fill="351B3D"/>
          </w:tcPr>
          <w:p>
            <w:pPr>
              <w:spacing w:after="0"/>
              <w:rPr>
                <w:sz w:val="10"/>
                <w:szCs w:val="10"/>
                <w:color w:val="auto"/>
              </w:rPr>
            </w:pPr>
          </w:p>
        </w:tc>
        <w:tc>
          <w:tcPr>
            <w:tcW w:w="960" w:type="dxa"/>
            <w:vAlign w:val="bottom"/>
            <w:gridSpan w:val="2"/>
            <w:shd w:val="clear" w:color="auto" w:fill="351B3D"/>
          </w:tcPr>
          <w:p>
            <w:pPr>
              <w:jc w:val="center"/>
              <w:spacing w:after="0" w:line="121" w:lineRule="exact"/>
              <w:rPr>
                <w:sz w:val="20"/>
                <w:szCs w:val="20"/>
                <w:color w:val="auto"/>
              </w:rPr>
            </w:pPr>
            <w:r>
              <w:rPr>
                <w:rFonts w:ascii="Arial" w:cs="Arial" w:eastAsia="Arial" w:hAnsi="Arial"/>
                <w:sz w:val="11"/>
                <w:szCs w:val="11"/>
                <w:color w:val="FFFFFF"/>
                <w:w w:val="95"/>
              </w:rPr>
              <w:t>TABLE TOTAL</w:t>
            </w:r>
          </w:p>
        </w:tc>
        <w:tc>
          <w:tcPr>
            <w:tcW w:w="960" w:type="dxa"/>
            <w:vAlign w:val="bottom"/>
            <w:shd w:val="clear" w:color="auto" w:fill="351B3D"/>
          </w:tcPr>
          <w:p>
            <w:pPr>
              <w:jc w:val="center"/>
              <w:spacing w:after="0" w:line="121" w:lineRule="exact"/>
              <w:rPr>
                <w:sz w:val="20"/>
                <w:szCs w:val="20"/>
                <w:color w:val="auto"/>
              </w:rPr>
            </w:pPr>
            <w:r>
              <w:rPr>
                <w:rFonts w:ascii="Arial" w:cs="Arial" w:eastAsia="Arial" w:hAnsi="Arial"/>
                <w:sz w:val="11"/>
                <w:szCs w:val="11"/>
                <w:color w:val="FFFFFF"/>
                <w:w w:val="95"/>
              </w:rPr>
              <w:t>TABLE TOTAL</w:t>
            </w:r>
          </w:p>
        </w:tc>
        <w:tc>
          <w:tcPr>
            <w:tcW w:w="940" w:type="dxa"/>
            <w:vAlign w:val="bottom"/>
            <w:gridSpan w:val="2"/>
            <w:shd w:val="clear" w:color="auto" w:fill="351B3D"/>
          </w:tcPr>
          <w:p>
            <w:pPr>
              <w:jc w:val="center"/>
              <w:spacing w:after="0" w:line="121" w:lineRule="exact"/>
              <w:rPr>
                <w:sz w:val="20"/>
                <w:szCs w:val="20"/>
                <w:color w:val="auto"/>
              </w:rPr>
            </w:pPr>
            <w:r>
              <w:rPr>
                <w:rFonts w:ascii="Arial" w:cs="Arial" w:eastAsia="Arial" w:hAnsi="Arial"/>
                <w:sz w:val="11"/>
                <w:szCs w:val="11"/>
                <w:color w:val="FFFFFF"/>
                <w:w w:val="95"/>
              </w:rPr>
              <w:t>ACTUALLY PAID</w:t>
            </w:r>
          </w:p>
        </w:tc>
        <w:tc>
          <w:tcPr>
            <w:tcW w:w="940" w:type="dxa"/>
            <w:vAlign w:val="bottom"/>
            <w:shd w:val="clear" w:color="auto" w:fill="351B3D"/>
          </w:tcPr>
          <w:p>
            <w:pPr>
              <w:jc w:val="center"/>
              <w:spacing w:after="0" w:line="121" w:lineRule="exact"/>
              <w:rPr>
                <w:sz w:val="20"/>
                <w:szCs w:val="20"/>
                <w:color w:val="auto"/>
              </w:rPr>
            </w:pPr>
            <w:r>
              <w:rPr>
                <w:rFonts w:ascii="Arial" w:cs="Arial" w:eastAsia="Arial" w:hAnsi="Arial"/>
                <w:sz w:val="11"/>
                <w:szCs w:val="11"/>
                <w:color w:val="FFFFFF"/>
                <w:w w:val="95"/>
              </w:rPr>
              <w:t>ACTUALLY PAID</w:t>
            </w:r>
          </w:p>
        </w:tc>
        <w:tc>
          <w:tcPr>
            <w:tcW w:w="940" w:type="dxa"/>
            <w:vAlign w:val="bottom"/>
            <w:shd w:val="clear" w:color="auto" w:fill="351B3D"/>
          </w:tcPr>
          <w:p>
            <w:pPr>
              <w:jc w:val="center"/>
              <w:spacing w:after="0" w:line="121" w:lineRule="exact"/>
              <w:rPr>
                <w:sz w:val="20"/>
                <w:szCs w:val="20"/>
                <w:color w:val="auto"/>
              </w:rPr>
            </w:pPr>
            <w:r>
              <w:rPr>
                <w:rFonts w:ascii="Arial" w:cs="Arial" w:eastAsia="Arial" w:hAnsi="Arial"/>
                <w:sz w:val="11"/>
                <w:szCs w:val="11"/>
                <w:color w:val="FFFFFF"/>
              </w:rPr>
              <w:t>FOR</w:t>
            </w:r>
          </w:p>
        </w:tc>
        <w:tc>
          <w:tcPr>
            <w:tcW w:w="900" w:type="dxa"/>
            <w:vAlign w:val="bottom"/>
            <w:shd w:val="clear" w:color="auto" w:fill="351B3D"/>
          </w:tcPr>
          <w:p>
            <w:pPr>
              <w:jc w:val="center"/>
              <w:spacing w:after="0" w:line="121" w:lineRule="exact"/>
              <w:rPr>
                <w:sz w:val="20"/>
                <w:szCs w:val="20"/>
                <w:color w:val="auto"/>
              </w:rPr>
            </w:pPr>
            <w:r>
              <w:rPr>
                <w:rFonts w:ascii="Arial" w:cs="Arial" w:eastAsia="Arial" w:hAnsi="Arial"/>
                <w:sz w:val="11"/>
                <w:szCs w:val="11"/>
                <w:color w:val="FFFFFF"/>
                <w:w w:val="95"/>
              </w:rPr>
              <w:t>ACTUALLY PAID</w:t>
            </w:r>
          </w:p>
        </w:tc>
        <w:tc>
          <w:tcPr>
            <w:tcW w:w="240" w:type="dxa"/>
            <w:vAlign w:val="bottom"/>
            <w:shd w:val="clear" w:color="auto" w:fill="351B3D"/>
          </w:tcPr>
          <w:p>
            <w:pPr>
              <w:spacing w:after="0"/>
              <w:rPr>
                <w:sz w:val="10"/>
                <w:szCs w:val="10"/>
                <w:color w:val="auto"/>
              </w:rPr>
            </w:pPr>
          </w:p>
        </w:tc>
        <w:tc>
          <w:tcPr>
            <w:tcW w:w="560" w:type="dxa"/>
            <w:vAlign w:val="bottom"/>
            <w:shd w:val="clear" w:color="auto" w:fill="351B3D"/>
          </w:tcPr>
          <w:p>
            <w:pPr>
              <w:jc w:val="right"/>
              <w:ind w:right="167"/>
              <w:spacing w:after="0" w:line="121" w:lineRule="exact"/>
              <w:rPr>
                <w:sz w:val="20"/>
                <w:szCs w:val="20"/>
                <w:color w:val="auto"/>
              </w:rPr>
            </w:pPr>
            <w:r>
              <w:rPr>
                <w:rFonts w:ascii="Arial" w:cs="Arial" w:eastAsia="Arial" w:hAnsi="Arial"/>
                <w:sz w:val="11"/>
                <w:szCs w:val="11"/>
                <w:color w:val="FFFFFF"/>
                <w:w w:val="90"/>
              </w:rPr>
              <w:t>TOTAL</w:t>
            </w:r>
          </w:p>
        </w:tc>
        <w:tc>
          <w:tcPr>
            <w:tcW w:w="280" w:type="dxa"/>
            <w:vAlign w:val="bottom"/>
            <w:shd w:val="clear" w:color="auto" w:fill="351B3D"/>
          </w:tcPr>
          <w:p>
            <w:pPr>
              <w:spacing w:after="0"/>
              <w:rPr>
                <w:sz w:val="10"/>
                <w:szCs w:val="10"/>
                <w:color w:val="auto"/>
              </w:rPr>
            </w:pPr>
          </w:p>
        </w:tc>
        <w:tc>
          <w:tcPr>
            <w:tcW w:w="580" w:type="dxa"/>
            <w:vAlign w:val="bottom"/>
            <w:shd w:val="clear" w:color="auto" w:fill="351B3D"/>
          </w:tcPr>
          <w:p>
            <w:pPr>
              <w:jc w:val="center"/>
              <w:ind w:right="187"/>
              <w:spacing w:after="0" w:line="121" w:lineRule="exact"/>
              <w:rPr>
                <w:sz w:val="20"/>
                <w:szCs w:val="20"/>
                <w:color w:val="auto"/>
              </w:rPr>
            </w:pPr>
            <w:r>
              <w:rPr>
                <w:rFonts w:ascii="Arial" w:cs="Arial" w:eastAsia="Arial" w:hAnsi="Arial"/>
                <w:sz w:val="11"/>
                <w:szCs w:val="11"/>
                <w:color w:val="FFFFFF"/>
                <w:w w:val="95"/>
              </w:rPr>
              <w:t>TOTAL</w:t>
            </w:r>
          </w:p>
        </w:tc>
        <w:tc>
          <w:tcPr>
            <w:tcW w:w="80" w:type="dxa"/>
            <w:vAlign w:val="bottom"/>
            <w:shd w:val="clear" w:color="auto" w:fill="351B3D"/>
          </w:tcPr>
          <w:p>
            <w:pPr>
              <w:spacing w:after="0"/>
              <w:rPr>
                <w:sz w:val="10"/>
                <w:szCs w:val="10"/>
                <w:color w:val="auto"/>
              </w:rPr>
            </w:pPr>
          </w:p>
        </w:tc>
        <w:tc>
          <w:tcPr>
            <w:tcW w:w="780" w:type="dxa"/>
            <w:vAlign w:val="bottom"/>
            <w:shd w:val="clear" w:color="auto" w:fill="351B3D"/>
          </w:tcPr>
          <w:p>
            <w:pPr>
              <w:spacing w:after="0"/>
              <w:rPr>
                <w:sz w:val="10"/>
                <w:szCs w:val="10"/>
                <w:color w:val="auto"/>
              </w:rPr>
            </w:pPr>
          </w:p>
        </w:tc>
        <w:tc>
          <w:tcPr>
            <w:tcW w:w="80" w:type="dxa"/>
            <w:vAlign w:val="bottom"/>
            <w:shd w:val="clear" w:color="auto" w:fill="351B3D"/>
          </w:tcPr>
          <w:p>
            <w:pPr>
              <w:spacing w:after="0"/>
              <w:rPr>
                <w:sz w:val="10"/>
                <w:szCs w:val="10"/>
                <w:color w:val="auto"/>
              </w:rPr>
            </w:pPr>
          </w:p>
        </w:tc>
        <w:tc>
          <w:tcPr>
            <w:tcW w:w="780" w:type="dxa"/>
            <w:vAlign w:val="bottom"/>
            <w:shd w:val="clear" w:color="auto" w:fill="351B3D"/>
          </w:tcPr>
          <w:p>
            <w:pPr>
              <w:jc w:val="center"/>
              <w:ind w:right="7"/>
              <w:spacing w:after="0" w:line="121" w:lineRule="exact"/>
              <w:rPr>
                <w:sz w:val="20"/>
                <w:szCs w:val="20"/>
                <w:color w:val="auto"/>
              </w:rPr>
            </w:pPr>
            <w:r>
              <w:rPr>
                <w:rFonts w:ascii="Arial" w:cs="Arial" w:eastAsia="Arial" w:hAnsi="Arial"/>
                <w:sz w:val="11"/>
                <w:szCs w:val="11"/>
                <w:color w:val="FFFFFF"/>
                <w:w w:val="96"/>
              </w:rPr>
              <w:t>ADJUSTED</w:t>
            </w:r>
          </w:p>
        </w:tc>
      </w:tr>
      <w:tr>
        <w:trPr>
          <w:trHeight w:val="120"/>
        </w:trPr>
        <w:tc>
          <w:tcPr>
            <w:tcW w:w="1900" w:type="dxa"/>
            <w:vAlign w:val="bottom"/>
            <w:tcBorders>
              <w:right w:val="single" w:sz="8" w:color="FCFCFC"/>
            </w:tcBorders>
            <w:shd w:val="clear" w:color="auto" w:fill="351B3D"/>
          </w:tcPr>
          <w:p>
            <w:pPr>
              <w:spacing w:after="0"/>
              <w:rPr>
                <w:sz w:val="10"/>
                <w:szCs w:val="10"/>
                <w:color w:val="auto"/>
              </w:rPr>
            </w:pPr>
          </w:p>
        </w:tc>
        <w:tc>
          <w:tcPr>
            <w:tcW w:w="240" w:type="dxa"/>
            <w:vAlign w:val="bottom"/>
            <w:shd w:val="clear" w:color="auto" w:fill="351B3D"/>
          </w:tcPr>
          <w:p>
            <w:pPr>
              <w:spacing w:after="0"/>
              <w:rPr>
                <w:sz w:val="10"/>
                <w:szCs w:val="10"/>
                <w:color w:val="auto"/>
              </w:rPr>
            </w:pPr>
          </w:p>
        </w:tc>
        <w:tc>
          <w:tcPr>
            <w:tcW w:w="720" w:type="dxa"/>
            <w:vAlign w:val="bottom"/>
            <w:shd w:val="clear" w:color="auto" w:fill="351B3D"/>
          </w:tcPr>
          <w:p>
            <w:pPr>
              <w:jc w:val="center"/>
              <w:ind w:right="207"/>
              <w:spacing w:after="0" w:line="121" w:lineRule="exact"/>
              <w:rPr>
                <w:sz w:val="20"/>
                <w:szCs w:val="20"/>
                <w:color w:val="auto"/>
              </w:rPr>
            </w:pPr>
            <w:r>
              <w:rPr>
                <w:rFonts w:ascii="Arial" w:cs="Arial" w:eastAsia="Arial" w:hAnsi="Arial"/>
                <w:sz w:val="11"/>
                <w:szCs w:val="11"/>
                <w:color w:val="FFFFFF"/>
                <w:w w:val="94"/>
              </w:rPr>
              <w:t>FOR</w:t>
            </w:r>
          </w:p>
        </w:tc>
        <w:tc>
          <w:tcPr>
            <w:tcW w:w="960" w:type="dxa"/>
            <w:vAlign w:val="bottom"/>
            <w:shd w:val="clear" w:color="auto" w:fill="351B3D"/>
          </w:tcPr>
          <w:p>
            <w:pPr>
              <w:jc w:val="center"/>
              <w:spacing w:after="0" w:line="121" w:lineRule="exact"/>
              <w:rPr>
                <w:sz w:val="20"/>
                <w:szCs w:val="20"/>
                <w:color w:val="auto"/>
              </w:rPr>
            </w:pPr>
            <w:r>
              <w:rPr>
                <w:rFonts w:ascii="Arial" w:cs="Arial" w:eastAsia="Arial" w:hAnsi="Arial"/>
                <w:sz w:val="11"/>
                <w:szCs w:val="11"/>
                <w:color w:val="FFFFFF"/>
                <w:w w:val="94"/>
              </w:rPr>
              <w:t>FOR</w:t>
            </w:r>
          </w:p>
        </w:tc>
        <w:tc>
          <w:tcPr>
            <w:tcW w:w="260" w:type="dxa"/>
            <w:vAlign w:val="bottom"/>
            <w:shd w:val="clear" w:color="auto" w:fill="351B3D"/>
          </w:tcPr>
          <w:p>
            <w:pPr>
              <w:spacing w:after="0"/>
              <w:rPr>
                <w:sz w:val="10"/>
                <w:szCs w:val="10"/>
                <w:color w:val="auto"/>
              </w:rPr>
            </w:pPr>
          </w:p>
        </w:tc>
        <w:tc>
          <w:tcPr>
            <w:tcW w:w="680" w:type="dxa"/>
            <w:vAlign w:val="bottom"/>
            <w:shd w:val="clear" w:color="auto" w:fill="351B3D"/>
          </w:tcPr>
          <w:p>
            <w:pPr>
              <w:jc w:val="center"/>
              <w:ind w:right="207"/>
              <w:spacing w:after="0" w:line="121" w:lineRule="exact"/>
              <w:rPr>
                <w:sz w:val="20"/>
                <w:szCs w:val="20"/>
                <w:color w:val="auto"/>
              </w:rPr>
            </w:pPr>
            <w:r>
              <w:rPr>
                <w:rFonts w:ascii="Arial" w:cs="Arial" w:eastAsia="Arial" w:hAnsi="Arial"/>
                <w:sz w:val="11"/>
                <w:szCs w:val="11"/>
                <w:color w:val="FFFFFF"/>
                <w:w w:val="91"/>
              </w:rPr>
              <w:t>TO</w:t>
            </w:r>
          </w:p>
        </w:tc>
        <w:tc>
          <w:tcPr>
            <w:tcW w:w="940" w:type="dxa"/>
            <w:vAlign w:val="bottom"/>
            <w:shd w:val="clear" w:color="auto" w:fill="351B3D"/>
          </w:tcPr>
          <w:p>
            <w:pPr>
              <w:jc w:val="center"/>
              <w:spacing w:after="0" w:line="121" w:lineRule="exact"/>
              <w:rPr>
                <w:sz w:val="20"/>
                <w:szCs w:val="20"/>
                <w:color w:val="auto"/>
              </w:rPr>
            </w:pPr>
            <w:r>
              <w:rPr>
                <w:rFonts w:ascii="Arial" w:cs="Arial" w:eastAsia="Arial" w:hAnsi="Arial"/>
                <w:sz w:val="11"/>
                <w:szCs w:val="11"/>
                <w:color w:val="FFFFFF"/>
              </w:rPr>
              <w:t>TO</w:t>
            </w:r>
          </w:p>
        </w:tc>
        <w:tc>
          <w:tcPr>
            <w:tcW w:w="940" w:type="dxa"/>
            <w:vAlign w:val="bottom"/>
            <w:shd w:val="clear" w:color="auto" w:fill="351B3D"/>
          </w:tcPr>
          <w:p>
            <w:pPr>
              <w:jc w:val="center"/>
              <w:spacing w:after="0" w:line="121" w:lineRule="exact"/>
              <w:rPr>
                <w:sz w:val="20"/>
                <w:szCs w:val="20"/>
                <w:color w:val="auto"/>
              </w:rPr>
            </w:pPr>
            <w:r>
              <w:rPr>
                <w:rFonts w:ascii="Arial" w:cs="Arial" w:eastAsia="Arial" w:hAnsi="Arial"/>
                <w:sz w:val="11"/>
                <w:szCs w:val="11"/>
                <w:color w:val="FFFFFF"/>
                <w:w w:val="95"/>
              </w:rPr>
              <w:t>NON-PEO NEOs</w:t>
            </w:r>
          </w:p>
        </w:tc>
        <w:tc>
          <w:tcPr>
            <w:tcW w:w="900" w:type="dxa"/>
            <w:vAlign w:val="bottom"/>
            <w:shd w:val="clear" w:color="auto" w:fill="351B3D"/>
          </w:tcPr>
          <w:p>
            <w:pPr>
              <w:jc w:val="center"/>
              <w:spacing w:after="0" w:line="121" w:lineRule="exact"/>
              <w:rPr>
                <w:sz w:val="20"/>
                <w:szCs w:val="20"/>
                <w:color w:val="auto"/>
              </w:rPr>
            </w:pPr>
            <w:r>
              <w:rPr>
                <w:rFonts w:ascii="Arial" w:cs="Arial" w:eastAsia="Arial" w:hAnsi="Arial"/>
                <w:sz w:val="11"/>
                <w:szCs w:val="11"/>
                <w:color w:val="FFFFFF"/>
                <w:w w:val="94"/>
              </w:rPr>
              <w:t>TO NON-PEO</w:t>
            </w:r>
          </w:p>
        </w:tc>
        <w:tc>
          <w:tcPr>
            <w:tcW w:w="1660" w:type="dxa"/>
            <w:vAlign w:val="bottom"/>
            <w:gridSpan w:val="4"/>
            <w:shd w:val="clear" w:color="auto" w:fill="351B3D"/>
          </w:tcPr>
          <w:p>
            <w:pPr>
              <w:jc w:val="center"/>
              <w:spacing w:after="0" w:line="121" w:lineRule="exact"/>
              <w:rPr>
                <w:sz w:val="20"/>
                <w:szCs w:val="20"/>
                <w:color w:val="auto"/>
              </w:rPr>
            </w:pPr>
            <w:r>
              <w:rPr>
                <w:rFonts w:ascii="Arial" w:cs="Arial" w:eastAsia="Arial" w:hAnsi="Arial"/>
                <w:sz w:val="11"/>
                <w:szCs w:val="11"/>
                <w:color w:val="FFFFFF"/>
                <w:w w:val="96"/>
              </w:rPr>
              <w:t>SHAREHOLDER SHAREHOLDER</w:t>
            </w:r>
          </w:p>
        </w:tc>
        <w:tc>
          <w:tcPr>
            <w:tcW w:w="80" w:type="dxa"/>
            <w:vAlign w:val="bottom"/>
            <w:shd w:val="clear" w:color="auto" w:fill="351B3D"/>
          </w:tcPr>
          <w:p>
            <w:pPr>
              <w:spacing w:after="0"/>
              <w:rPr>
                <w:sz w:val="10"/>
                <w:szCs w:val="10"/>
                <w:color w:val="auto"/>
              </w:rPr>
            </w:pPr>
          </w:p>
        </w:tc>
        <w:tc>
          <w:tcPr>
            <w:tcW w:w="780" w:type="dxa"/>
            <w:vAlign w:val="bottom"/>
            <w:shd w:val="clear" w:color="auto" w:fill="351B3D"/>
          </w:tcPr>
          <w:p>
            <w:pPr>
              <w:jc w:val="right"/>
              <w:ind w:right="47"/>
              <w:spacing w:after="0" w:line="121" w:lineRule="exact"/>
              <w:rPr>
                <w:sz w:val="20"/>
                <w:szCs w:val="20"/>
                <w:color w:val="auto"/>
              </w:rPr>
            </w:pPr>
            <w:r>
              <w:rPr>
                <w:rFonts w:ascii="Arial" w:cs="Arial" w:eastAsia="Arial" w:hAnsi="Arial"/>
                <w:sz w:val="11"/>
                <w:szCs w:val="11"/>
                <w:color w:val="FFFFFF"/>
                <w:w w:val="95"/>
              </w:rPr>
              <w:t>NET INCOME</w:t>
            </w:r>
          </w:p>
        </w:tc>
        <w:tc>
          <w:tcPr>
            <w:tcW w:w="80" w:type="dxa"/>
            <w:vAlign w:val="bottom"/>
            <w:shd w:val="clear" w:color="auto" w:fill="351B3D"/>
          </w:tcPr>
          <w:p>
            <w:pPr>
              <w:spacing w:after="0"/>
              <w:rPr>
                <w:sz w:val="10"/>
                <w:szCs w:val="10"/>
                <w:color w:val="auto"/>
              </w:rPr>
            </w:pPr>
          </w:p>
        </w:tc>
        <w:tc>
          <w:tcPr>
            <w:tcW w:w="780" w:type="dxa"/>
            <w:vAlign w:val="bottom"/>
            <w:shd w:val="clear" w:color="auto" w:fill="351B3D"/>
          </w:tcPr>
          <w:p>
            <w:pPr>
              <w:jc w:val="center"/>
              <w:ind w:right="27"/>
              <w:spacing w:after="0" w:line="121" w:lineRule="exact"/>
              <w:rPr>
                <w:sz w:val="20"/>
                <w:szCs w:val="20"/>
                <w:color w:val="auto"/>
              </w:rPr>
            </w:pPr>
            <w:r>
              <w:rPr>
                <w:rFonts w:ascii="Arial" w:cs="Arial" w:eastAsia="Arial" w:hAnsi="Arial"/>
                <w:sz w:val="11"/>
                <w:szCs w:val="11"/>
                <w:color w:val="FFFFFF"/>
                <w:w w:val="95"/>
              </w:rPr>
              <w:t>PROPERTY</w:t>
            </w:r>
          </w:p>
        </w:tc>
      </w:tr>
      <w:tr>
        <w:trPr>
          <w:trHeight w:val="180"/>
        </w:trPr>
        <w:tc>
          <w:tcPr>
            <w:tcW w:w="1900" w:type="dxa"/>
            <w:vAlign w:val="bottom"/>
            <w:tcBorders>
              <w:bottom w:val="single" w:sz="8" w:color="351B3D"/>
              <w:right w:val="single" w:sz="8" w:color="FCFCFC"/>
            </w:tcBorders>
            <w:shd w:val="clear" w:color="auto" w:fill="351B3D"/>
          </w:tcPr>
          <w:p>
            <w:pPr>
              <w:spacing w:after="0"/>
              <w:rPr>
                <w:sz w:val="20"/>
                <w:szCs w:val="20"/>
                <w:color w:val="auto"/>
              </w:rPr>
            </w:pPr>
            <w:r>
              <w:rPr>
                <w:rFonts w:ascii="Arial" w:cs="Arial" w:eastAsia="Arial" w:hAnsi="Arial"/>
                <w:sz w:val="11"/>
                <w:szCs w:val="11"/>
                <w:color w:val="FFFFFF"/>
              </w:rPr>
              <w:t> YEAR   </w:t>
            </w:r>
          </w:p>
        </w:tc>
        <w:tc>
          <w:tcPr>
            <w:tcW w:w="960" w:type="dxa"/>
            <w:vAlign w:val="bottom"/>
            <w:tcBorders>
              <w:bottom w:val="single" w:sz="8" w:color="351B3D"/>
            </w:tcBorders>
            <w:gridSpan w:val="2"/>
            <w:shd w:val="clear" w:color="auto" w:fill="351B3D"/>
          </w:tcPr>
          <w:p>
            <w:pPr>
              <w:jc w:val="center"/>
              <w:spacing w:after="0"/>
              <w:rPr>
                <w:sz w:val="20"/>
                <w:szCs w:val="20"/>
                <w:color w:val="auto"/>
              </w:rPr>
            </w:pPr>
            <w:r>
              <w:rPr>
                <w:rFonts w:ascii="Arial" w:cs="Arial" w:eastAsia="Arial" w:hAnsi="Arial"/>
                <w:sz w:val="11"/>
                <w:szCs w:val="11"/>
                <w:color w:val="FFFFFF"/>
                <w:w w:val="97"/>
              </w:rPr>
              <w:t>PEO A (1)(2)</w:t>
            </w:r>
          </w:p>
        </w:tc>
        <w:tc>
          <w:tcPr>
            <w:tcW w:w="960" w:type="dxa"/>
            <w:vAlign w:val="bottom"/>
            <w:tcBorders>
              <w:bottom w:val="single" w:sz="8" w:color="351B3D"/>
            </w:tcBorders>
            <w:shd w:val="clear" w:color="auto" w:fill="351B3D"/>
          </w:tcPr>
          <w:p>
            <w:pPr>
              <w:jc w:val="center"/>
              <w:spacing w:after="0"/>
              <w:rPr>
                <w:sz w:val="20"/>
                <w:szCs w:val="20"/>
                <w:color w:val="auto"/>
              </w:rPr>
            </w:pPr>
            <w:r>
              <w:rPr>
                <w:rFonts w:ascii="Arial" w:cs="Arial" w:eastAsia="Arial" w:hAnsi="Arial"/>
                <w:sz w:val="11"/>
                <w:szCs w:val="11"/>
                <w:color w:val="FFFFFF"/>
                <w:w w:val="99"/>
              </w:rPr>
              <w:t>PEO B (3)</w:t>
            </w:r>
          </w:p>
        </w:tc>
        <w:tc>
          <w:tcPr>
            <w:tcW w:w="940" w:type="dxa"/>
            <w:vAlign w:val="bottom"/>
            <w:tcBorders>
              <w:bottom w:val="single" w:sz="8" w:color="351B3D"/>
            </w:tcBorders>
            <w:gridSpan w:val="2"/>
            <w:shd w:val="clear" w:color="auto" w:fill="351B3D"/>
          </w:tcPr>
          <w:p>
            <w:pPr>
              <w:jc w:val="center"/>
              <w:spacing w:after="0"/>
              <w:rPr>
                <w:sz w:val="20"/>
                <w:szCs w:val="20"/>
                <w:color w:val="auto"/>
              </w:rPr>
            </w:pPr>
            <w:r>
              <w:rPr>
                <w:rFonts w:ascii="Arial" w:cs="Arial" w:eastAsia="Arial" w:hAnsi="Arial"/>
                <w:sz w:val="11"/>
                <w:szCs w:val="11"/>
                <w:color w:val="FFFFFF"/>
                <w:w w:val="96"/>
              </w:rPr>
              <w:t>PEO A (1)(2)(5)</w:t>
            </w:r>
          </w:p>
        </w:tc>
        <w:tc>
          <w:tcPr>
            <w:tcW w:w="940" w:type="dxa"/>
            <w:vAlign w:val="bottom"/>
            <w:tcBorders>
              <w:bottom w:val="single" w:sz="8" w:color="351B3D"/>
            </w:tcBorders>
            <w:shd w:val="clear" w:color="auto" w:fill="351B3D"/>
          </w:tcPr>
          <w:p>
            <w:pPr>
              <w:jc w:val="center"/>
              <w:spacing w:after="0"/>
              <w:rPr>
                <w:sz w:val="20"/>
                <w:szCs w:val="20"/>
                <w:color w:val="auto"/>
              </w:rPr>
            </w:pPr>
            <w:r>
              <w:rPr>
                <w:rFonts w:ascii="Arial" w:cs="Arial" w:eastAsia="Arial" w:hAnsi="Arial"/>
                <w:sz w:val="11"/>
                <w:szCs w:val="11"/>
                <w:color w:val="FFFFFF"/>
                <w:w w:val="98"/>
              </w:rPr>
              <w:t>PEO B (3)(5)(7)</w:t>
            </w:r>
          </w:p>
        </w:tc>
        <w:tc>
          <w:tcPr>
            <w:tcW w:w="940" w:type="dxa"/>
            <w:vAlign w:val="bottom"/>
            <w:tcBorders>
              <w:bottom w:val="single" w:sz="8" w:color="351B3D"/>
            </w:tcBorders>
            <w:shd w:val="clear" w:color="auto" w:fill="351B3D"/>
          </w:tcPr>
          <w:p>
            <w:pPr>
              <w:jc w:val="center"/>
              <w:spacing w:after="0"/>
              <w:rPr>
                <w:sz w:val="20"/>
                <w:szCs w:val="20"/>
                <w:color w:val="auto"/>
              </w:rPr>
            </w:pPr>
            <w:r>
              <w:rPr>
                <w:rFonts w:ascii="Arial" w:cs="Arial" w:eastAsia="Arial" w:hAnsi="Arial"/>
                <w:sz w:val="11"/>
                <w:szCs w:val="11"/>
                <w:color w:val="FFFFFF"/>
                <w:w w:val="88"/>
              </w:rPr>
              <w:t>(4)</w:t>
            </w:r>
          </w:p>
        </w:tc>
        <w:tc>
          <w:tcPr>
            <w:tcW w:w="900" w:type="dxa"/>
            <w:vAlign w:val="bottom"/>
            <w:tcBorders>
              <w:bottom w:val="single" w:sz="8" w:color="351B3D"/>
            </w:tcBorders>
            <w:shd w:val="clear" w:color="auto" w:fill="351B3D"/>
          </w:tcPr>
          <w:p>
            <w:pPr>
              <w:jc w:val="center"/>
              <w:spacing w:after="0"/>
              <w:rPr>
                <w:sz w:val="20"/>
                <w:szCs w:val="20"/>
                <w:color w:val="auto"/>
              </w:rPr>
            </w:pPr>
            <w:r>
              <w:rPr>
                <w:rFonts w:ascii="Arial" w:cs="Arial" w:eastAsia="Arial" w:hAnsi="Arial"/>
                <w:sz w:val="11"/>
                <w:szCs w:val="11"/>
                <w:color w:val="FFFFFF"/>
                <w:w w:val="96"/>
              </w:rPr>
              <w:t>NEOs (4)(5)(8)</w:t>
            </w:r>
          </w:p>
        </w:tc>
        <w:tc>
          <w:tcPr>
            <w:tcW w:w="800" w:type="dxa"/>
            <w:vAlign w:val="bottom"/>
            <w:tcBorders>
              <w:bottom w:val="single" w:sz="8" w:color="351B3D"/>
            </w:tcBorders>
            <w:gridSpan w:val="2"/>
            <w:shd w:val="clear" w:color="auto" w:fill="351B3D"/>
          </w:tcPr>
          <w:p>
            <w:pPr>
              <w:ind w:left="120"/>
              <w:spacing w:after="0"/>
              <w:rPr>
                <w:sz w:val="20"/>
                <w:szCs w:val="20"/>
                <w:color w:val="auto"/>
              </w:rPr>
            </w:pPr>
            <w:r>
              <w:rPr>
                <w:rFonts w:ascii="Arial" w:cs="Arial" w:eastAsia="Arial" w:hAnsi="Arial"/>
                <w:sz w:val="11"/>
                <w:szCs w:val="11"/>
                <w:color w:val="FFFFFF"/>
              </w:rPr>
              <w:t>RETURN (6)</w:t>
            </w:r>
          </w:p>
        </w:tc>
        <w:tc>
          <w:tcPr>
            <w:tcW w:w="860" w:type="dxa"/>
            <w:vAlign w:val="bottom"/>
            <w:tcBorders>
              <w:bottom w:val="single" w:sz="8" w:color="351B3D"/>
            </w:tcBorders>
            <w:gridSpan w:val="2"/>
            <w:shd w:val="clear" w:color="auto" w:fill="351B3D"/>
          </w:tcPr>
          <w:p>
            <w:pPr>
              <w:jc w:val="center"/>
              <w:spacing w:after="0"/>
              <w:rPr>
                <w:sz w:val="20"/>
                <w:szCs w:val="20"/>
                <w:color w:val="auto"/>
              </w:rPr>
            </w:pPr>
            <w:r>
              <w:rPr>
                <w:rFonts w:ascii="Arial" w:cs="Arial" w:eastAsia="Arial" w:hAnsi="Arial"/>
                <w:sz w:val="11"/>
                <w:szCs w:val="11"/>
                <w:color w:val="FFFFFF"/>
                <w:w w:val="99"/>
              </w:rPr>
              <w:t>RETURN (6)</w:t>
            </w:r>
          </w:p>
        </w:tc>
        <w:tc>
          <w:tcPr>
            <w:tcW w:w="80" w:type="dxa"/>
            <w:vAlign w:val="bottom"/>
            <w:tcBorders>
              <w:bottom w:val="single" w:sz="8" w:color="351B3D"/>
            </w:tcBorders>
            <w:shd w:val="clear" w:color="auto" w:fill="351B3D"/>
          </w:tcPr>
          <w:p>
            <w:pPr>
              <w:spacing w:after="0"/>
              <w:rPr>
                <w:sz w:val="15"/>
                <w:szCs w:val="15"/>
                <w:color w:val="auto"/>
              </w:rPr>
            </w:pPr>
          </w:p>
        </w:tc>
        <w:tc>
          <w:tcPr>
            <w:tcW w:w="780" w:type="dxa"/>
            <w:vAlign w:val="bottom"/>
            <w:tcBorders>
              <w:bottom w:val="single" w:sz="8" w:color="351B3D"/>
            </w:tcBorders>
            <w:shd w:val="clear" w:color="auto" w:fill="351B3D"/>
          </w:tcPr>
          <w:p>
            <w:pPr>
              <w:jc w:val="right"/>
              <w:ind w:right="127"/>
              <w:spacing w:after="0"/>
              <w:rPr>
                <w:sz w:val="20"/>
                <w:szCs w:val="20"/>
                <w:color w:val="auto"/>
              </w:rPr>
            </w:pPr>
            <w:r>
              <w:rPr>
                <w:rFonts w:ascii="Arial" w:cs="Arial" w:eastAsia="Arial" w:hAnsi="Arial"/>
                <w:sz w:val="11"/>
                <w:szCs w:val="11"/>
                <w:color w:val="FFFFFF"/>
              </w:rPr>
              <w:t>(LOSS) (9)</w:t>
            </w:r>
          </w:p>
        </w:tc>
        <w:tc>
          <w:tcPr>
            <w:tcW w:w="80" w:type="dxa"/>
            <w:vAlign w:val="bottom"/>
            <w:tcBorders>
              <w:bottom w:val="single" w:sz="8" w:color="351B3D"/>
            </w:tcBorders>
            <w:shd w:val="clear" w:color="auto" w:fill="351B3D"/>
          </w:tcPr>
          <w:p>
            <w:pPr>
              <w:spacing w:after="0"/>
              <w:rPr>
                <w:sz w:val="15"/>
                <w:szCs w:val="15"/>
                <w:color w:val="auto"/>
              </w:rPr>
            </w:pPr>
          </w:p>
        </w:tc>
        <w:tc>
          <w:tcPr>
            <w:tcW w:w="780" w:type="dxa"/>
            <w:vAlign w:val="bottom"/>
            <w:tcBorders>
              <w:bottom w:val="single" w:sz="8" w:color="351B3D"/>
            </w:tcBorders>
            <w:shd w:val="clear" w:color="auto" w:fill="351B3D"/>
          </w:tcPr>
          <w:p>
            <w:pPr>
              <w:jc w:val="center"/>
              <w:ind w:right="7"/>
              <w:spacing w:after="0"/>
              <w:rPr>
                <w:sz w:val="20"/>
                <w:szCs w:val="20"/>
                <w:color w:val="auto"/>
              </w:rPr>
            </w:pPr>
            <w:r>
              <w:rPr>
                <w:rFonts w:ascii="Arial" w:cs="Arial" w:eastAsia="Arial" w:hAnsi="Arial"/>
                <w:sz w:val="11"/>
                <w:szCs w:val="11"/>
                <w:color w:val="FFFFFF"/>
                <w:w w:val="96"/>
              </w:rPr>
              <w:t>EBITDAR (10)</w:t>
            </w:r>
          </w:p>
        </w:tc>
      </w:tr>
      <w:tr>
        <w:trPr>
          <w:trHeight w:val="274"/>
        </w:trPr>
        <w:tc>
          <w:tcPr>
            <w:tcW w:w="1900" w:type="dxa"/>
            <w:vAlign w:val="bottom"/>
            <w:tcBorders>
              <w:bottom w:val="single" w:sz="8" w:color="D6D1D8"/>
              <w:right w:val="single" w:sz="8" w:color="D6D1D8"/>
            </w:tcBorders>
            <w:shd w:val="clear" w:color="auto" w:fill="D6D1D8"/>
          </w:tcPr>
          <w:p>
            <w:pPr>
              <w:spacing w:after="0"/>
              <w:rPr>
                <w:sz w:val="20"/>
                <w:szCs w:val="20"/>
                <w:color w:val="auto"/>
              </w:rPr>
            </w:pPr>
            <w:r>
              <w:rPr>
                <w:rFonts w:ascii="Arial" w:cs="Arial" w:eastAsia="Arial" w:hAnsi="Arial"/>
                <w:sz w:val="11"/>
                <w:szCs w:val="11"/>
                <w:color w:val="auto"/>
              </w:rPr>
              <w:t> 2024</w:t>
            </w:r>
          </w:p>
        </w:tc>
        <w:tc>
          <w:tcPr>
            <w:tcW w:w="240" w:type="dxa"/>
            <w:vAlign w:val="bottom"/>
            <w:tcBorders>
              <w:bottom w:val="single" w:sz="8" w:color="D6D1D8"/>
            </w:tcBorders>
            <w:shd w:val="clear" w:color="auto" w:fill="D6D1D8"/>
          </w:tcPr>
          <w:p>
            <w:pPr>
              <w:spacing w:after="0"/>
              <w:rPr>
                <w:sz w:val="23"/>
                <w:szCs w:val="23"/>
                <w:color w:val="auto"/>
              </w:rPr>
            </w:pPr>
          </w:p>
        </w:tc>
        <w:tc>
          <w:tcPr>
            <w:tcW w:w="720" w:type="dxa"/>
            <w:vAlign w:val="bottom"/>
            <w:tcBorders>
              <w:bottom w:val="single" w:sz="8" w:color="D6D1D8"/>
            </w:tcBorders>
            <w:shd w:val="clear" w:color="auto" w:fill="D6D1D8"/>
          </w:tcPr>
          <w:p>
            <w:pPr>
              <w:jc w:val="right"/>
              <w:ind w:right="127"/>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D6D1D8"/>
            </w:tcBorders>
            <w:shd w:val="clear" w:color="auto" w:fill="D6D1D8"/>
          </w:tcPr>
          <w:p>
            <w:pPr>
              <w:jc w:val="right"/>
              <w:ind w:right="107"/>
              <w:spacing w:after="0"/>
              <w:rPr>
                <w:sz w:val="20"/>
                <w:szCs w:val="20"/>
                <w:color w:val="auto"/>
              </w:rPr>
            </w:pPr>
            <w:r>
              <w:rPr>
                <w:rFonts w:ascii="Arial" w:cs="Arial" w:eastAsia="Arial" w:hAnsi="Arial"/>
                <w:sz w:val="11"/>
                <w:szCs w:val="11"/>
                <w:color w:val="auto"/>
              </w:rPr>
              <w:t>$ 15,931,316</w:t>
            </w:r>
          </w:p>
        </w:tc>
        <w:tc>
          <w:tcPr>
            <w:tcW w:w="260" w:type="dxa"/>
            <w:vAlign w:val="bottom"/>
            <w:tcBorders>
              <w:bottom w:val="single" w:sz="8" w:color="D6D1D8"/>
            </w:tcBorders>
            <w:shd w:val="clear" w:color="auto" w:fill="D6D1D8"/>
          </w:tcPr>
          <w:p>
            <w:pPr>
              <w:spacing w:after="0"/>
              <w:rPr>
                <w:sz w:val="23"/>
                <w:szCs w:val="23"/>
                <w:color w:val="auto"/>
              </w:rPr>
            </w:pPr>
          </w:p>
        </w:tc>
        <w:tc>
          <w:tcPr>
            <w:tcW w:w="680" w:type="dxa"/>
            <w:vAlign w:val="bottom"/>
            <w:tcBorders>
              <w:bottom w:val="single" w:sz="8" w:color="D6D1D8"/>
            </w:tcBorders>
            <w:shd w:val="clear" w:color="auto" w:fill="D6D1D8"/>
          </w:tcPr>
          <w:p>
            <w:pPr>
              <w:jc w:val="right"/>
              <w:ind w:right="147"/>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D6D1D8"/>
            </w:tcBorders>
            <w:shd w:val="clear" w:color="auto" w:fill="D6D1D8"/>
          </w:tcPr>
          <w:p>
            <w:pPr>
              <w:jc w:val="right"/>
              <w:ind w:right="107"/>
              <w:spacing w:after="0"/>
              <w:rPr>
                <w:sz w:val="20"/>
                <w:szCs w:val="20"/>
                <w:color w:val="auto"/>
              </w:rPr>
            </w:pPr>
            <w:r>
              <w:rPr>
                <w:rFonts w:ascii="Arial" w:cs="Arial" w:eastAsia="Arial" w:hAnsi="Arial"/>
                <w:sz w:val="11"/>
                <w:szCs w:val="11"/>
                <w:color w:val="auto"/>
              </w:rPr>
              <w:t>$ 14,188,727</w:t>
            </w:r>
          </w:p>
        </w:tc>
        <w:tc>
          <w:tcPr>
            <w:tcW w:w="940" w:type="dxa"/>
            <w:vAlign w:val="bottom"/>
            <w:tcBorders>
              <w:bottom w:val="single" w:sz="8" w:color="D6D1D8"/>
            </w:tcBorders>
            <w:shd w:val="clear" w:color="auto" w:fill="D6D1D8"/>
          </w:tcPr>
          <w:p>
            <w:pPr>
              <w:jc w:val="center"/>
              <w:spacing w:after="0"/>
              <w:rPr>
                <w:sz w:val="20"/>
                <w:szCs w:val="20"/>
                <w:color w:val="auto"/>
              </w:rPr>
            </w:pPr>
            <w:r>
              <w:rPr>
                <w:rFonts w:ascii="Arial" w:cs="Arial" w:eastAsia="Arial" w:hAnsi="Arial"/>
                <w:sz w:val="11"/>
                <w:szCs w:val="11"/>
                <w:color w:val="auto"/>
                <w:w w:val="96"/>
              </w:rPr>
              <w:t>$ 4,158,160</w:t>
            </w:r>
          </w:p>
        </w:tc>
        <w:tc>
          <w:tcPr>
            <w:tcW w:w="900" w:type="dxa"/>
            <w:vAlign w:val="bottom"/>
            <w:tcBorders>
              <w:bottom w:val="single" w:sz="8" w:color="D6D1D8"/>
            </w:tcBorders>
            <w:shd w:val="clear" w:color="auto" w:fill="D6D1D8"/>
          </w:tcPr>
          <w:p>
            <w:pPr>
              <w:jc w:val="center"/>
              <w:spacing w:after="0"/>
              <w:rPr>
                <w:sz w:val="20"/>
                <w:szCs w:val="20"/>
                <w:color w:val="auto"/>
              </w:rPr>
            </w:pPr>
            <w:r>
              <w:rPr>
                <w:rFonts w:ascii="Arial" w:cs="Arial" w:eastAsia="Arial" w:hAnsi="Arial"/>
                <w:sz w:val="11"/>
                <w:szCs w:val="11"/>
                <w:color w:val="auto"/>
                <w:w w:val="92"/>
              </w:rPr>
              <w:t>$ 4,094,550</w:t>
            </w:r>
          </w:p>
        </w:tc>
        <w:tc>
          <w:tcPr>
            <w:tcW w:w="240" w:type="dxa"/>
            <w:vAlign w:val="bottom"/>
            <w:tcBorders>
              <w:bottom w:val="single" w:sz="8" w:color="D6D1D8"/>
            </w:tcBorders>
            <w:shd w:val="clear" w:color="auto" w:fill="D6D1D8"/>
          </w:tcPr>
          <w:p>
            <w:pPr>
              <w:ind w:left="18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D6D1D8"/>
            </w:tcBorders>
            <w:shd w:val="clear" w:color="auto" w:fill="D6D1D8"/>
          </w:tcPr>
          <w:p>
            <w:pPr>
              <w:jc w:val="right"/>
              <w:ind w:right="87"/>
              <w:spacing w:after="0"/>
              <w:rPr>
                <w:sz w:val="20"/>
                <w:szCs w:val="20"/>
                <w:color w:val="auto"/>
              </w:rPr>
            </w:pPr>
            <w:r>
              <w:rPr>
                <w:rFonts w:ascii="Arial" w:cs="Arial" w:eastAsia="Arial" w:hAnsi="Arial"/>
                <w:sz w:val="11"/>
                <w:szCs w:val="11"/>
                <w:color w:val="auto"/>
              </w:rPr>
              <w:t>77.81</w:t>
            </w:r>
          </w:p>
        </w:tc>
        <w:tc>
          <w:tcPr>
            <w:tcW w:w="280" w:type="dxa"/>
            <w:vAlign w:val="bottom"/>
            <w:tcBorders>
              <w:bottom w:val="single" w:sz="8" w:color="D6D1D8"/>
            </w:tcBorders>
            <w:shd w:val="clear" w:color="auto" w:fill="D6D1D8"/>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D6D1D8"/>
            </w:tcBorders>
            <w:shd w:val="clear" w:color="auto" w:fill="D6D1D8"/>
          </w:tcPr>
          <w:p>
            <w:pPr>
              <w:jc w:val="right"/>
              <w:ind w:right="127"/>
              <w:spacing w:after="0"/>
              <w:rPr>
                <w:sz w:val="20"/>
                <w:szCs w:val="20"/>
                <w:color w:val="auto"/>
              </w:rPr>
            </w:pPr>
            <w:r>
              <w:rPr>
                <w:rFonts w:ascii="Arial" w:cs="Arial" w:eastAsia="Arial" w:hAnsi="Arial"/>
                <w:sz w:val="11"/>
                <w:szCs w:val="11"/>
                <w:color w:val="auto"/>
              </w:rPr>
              <w:t>84.53</w:t>
            </w:r>
          </w:p>
        </w:tc>
        <w:tc>
          <w:tcPr>
            <w:tcW w:w="80" w:type="dxa"/>
            <w:vAlign w:val="bottom"/>
            <w:tcBorders>
              <w:bottom w:val="single" w:sz="8" w:color="D6D1D8"/>
            </w:tcBorders>
            <w:shd w:val="clear" w:color="auto" w:fill="D6D1D8"/>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D6D1D8"/>
            </w:tcBorders>
            <w:shd w:val="clear" w:color="auto" w:fill="D6D1D8"/>
          </w:tcPr>
          <w:p>
            <w:pPr>
              <w:jc w:val="right"/>
              <w:spacing w:after="0"/>
              <w:rPr>
                <w:sz w:val="20"/>
                <w:szCs w:val="20"/>
                <w:color w:val="auto"/>
              </w:rPr>
            </w:pPr>
            <w:r>
              <w:rPr>
                <w:rFonts w:ascii="Arial" w:cs="Arial" w:eastAsia="Arial" w:hAnsi="Arial"/>
                <w:sz w:val="11"/>
                <w:szCs w:val="11"/>
                <w:color w:val="auto"/>
              </w:rPr>
              <w:t>501,078,000</w:t>
            </w:r>
          </w:p>
        </w:tc>
        <w:tc>
          <w:tcPr>
            <w:tcW w:w="80" w:type="dxa"/>
            <w:vAlign w:val="bottom"/>
            <w:tcBorders>
              <w:bottom w:val="single" w:sz="8" w:color="D6D1D8"/>
            </w:tcBorders>
            <w:shd w:val="clear" w:color="auto" w:fill="D6D1D8"/>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D6D1D8"/>
            </w:tcBorders>
            <w:shd w:val="clear" w:color="auto" w:fill="D6D1D8"/>
          </w:tcPr>
          <w:p>
            <w:pPr>
              <w:jc w:val="right"/>
              <w:ind w:right="27"/>
              <w:spacing w:after="0"/>
              <w:rPr>
                <w:sz w:val="20"/>
                <w:szCs w:val="20"/>
                <w:color w:val="auto"/>
              </w:rPr>
            </w:pPr>
            <w:r>
              <w:rPr>
                <w:rFonts w:ascii="Arial" w:cs="Arial" w:eastAsia="Arial" w:hAnsi="Arial"/>
                <w:sz w:val="11"/>
                <w:szCs w:val="11"/>
                <w:color w:val="auto"/>
                <w:w w:val="96"/>
              </w:rPr>
              <w:t>2,364,917,000</w:t>
            </w:r>
          </w:p>
        </w:tc>
      </w:tr>
      <w:tr>
        <w:trPr>
          <w:trHeight w:val="235"/>
        </w:trPr>
        <w:tc>
          <w:tcPr>
            <w:tcW w:w="1900" w:type="dxa"/>
            <w:vAlign w:val="bottom"/>
          </w:tcPr>
          <w:p>
            <w:pPr>
              <w:spacing w:after="0"/>
              <w:rPr>
                <w:sz w:val="20"/>
                <w:szCs w:val="20"/>
                <w:color w:val="auto"/>
              </w:rPr>
            </w:pPr>
            <w:r>
              <w:rPr>
                <w:rFonts w:ascii="Arial" w:cs="Arial" w:eastAsia="Arial" w:hAnsi="Arial"/>
                <w:sz w:val="11"/>
                <w:szCs w:val="11"/>
                <w:color w:val="auto"/>
              </w:rPr>
              <w:t> 2023</w:t>
            </w:r>
          </w:p>
        </w:tc>
        <w:tc>
          <w:tcPr>
            <w:tcW w:w="240" w:type="dxa"/>
            <w:vAlign w:val="bottom"/>
          </w:tcPr>
          <w:p>
            <w:pPr>
              <w:spacing w:after="0"/>
              <w:rPr>
                <w:sz w:val="20"/>
                <w:szCs w:val="20"/>
                <w:color w:val="auto"/>
              </w:rPr>
            </w:pPr>
          </w:p>
        </w:tc>
        <w:tc>
          <w:tcPr>
            <w:tcW w:w="720" w:type="dxa"/>
            <w:vAlign w:val="bottom"/>
          </w:tcPr>
          <w:p>
            <w:pPr>
              <w:jc w:val="right"/>
              <w:ind w:right="127"/>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07"/>
              <w:spacing w:after="0"/>
              <w:rPr>
                <w:sz w:val="20"/>
                <w:szCs w:val="20"/>
                <w:color w:val="auto"/>
              </w:rPr>
            </w:pPr>
            <w:r>
              <w:rPr>
                <w:rFonts w:ascii="Arial" w:cs="Arial" w:eastAsia="Arial" w:hAnsi="Arial"/>
                <w:sz w:val="11"/>
                <w:szCs w:val="11"/>
                <w:color w:val="auto"/>
              </w:rPr>
              <w:t>$ 16,152,634</w:t>
            </w:r>
          </w:p>
        </w:tc>
        <w:tc>
          <w:tcPr>
            <w:tcW w:w="260" w:type="dxa"/>
            <w:vAlign w:val="bottom"/>
          </w:tcPr>
          <w:p>
            <w:pPr>
              <w:spacing w:after="0"/>
              <w:rPr>
                <w:sz w:val="20"/>
                <w:szCs w:val="20"/>
                <w:color w:val="auto"/>
              </w:rPr>
            </w:pPr>
          </w:p>
        </w:tc>
        <w:tc>
          <w:tcPr>
            <w:tcW w:w="680" w:type="dxa"/>
            <w:vAlign w:val="bottom"/>
          </w:tcPr>
          <w:p>
            <w:pPr>
              <w:jc w:val="right"/>
              <w:ind w:right="147"/>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107"/>
              <w:spacing w:after="0"/>
              <w:rPr>
                <w:sz w:val="20"/>
                <w:szCs w:val="20"/>
                <w:color w:val="auto"/>
              </w:rPr>
            </w:pPr>
            <w:r>
              <w:rPr>
                <w:rFonts w:ascii="Arial" w:cs="Arial" w:eastAsia="Arial" w:hAnsi="Arial"/>
                <w:sz w:val="11"/>
                <w:szCs w:val="11"/>
                <w:color w:val="auto"/>
              </w:rPr>
              <w:t>$ 17,456,662</w:t>
            </w:r>
          </w:p>
        </w:tc>
        <w:tc>
          <w:tcPr>
            <w:tcW w:w="940" w:type="dxa"/>
            <w:vAlign w:val="bottom"/>
          </w:tcPr>
          <w:p>
            <w:pPr>
              <w:jc w:val="center"/>
              <w:spacing w:after="0"/>
              <w:rPr>
                <w:sz w:val="20"/>
                <w:szCs w:val="20"/>
                <w:color w:val="auto"/>
              </w:rPr>
            </w:pPr>
            <w:r>
              <w:rPr>
                <w:rFonts w:ascii="Arial" w:cs="Arial" w:eastAsia="Arial" w:hAnsi="Arial"/>
                <w:sz w:val="11"/>
                <w:szCs w:val="11"/>
                <w:color w:val="auto"/>
                <w:w w:val="96"/>
              </w:rPr>
              <w:t>$ 4,621,082</w:t>
            </w:r>
          </w:p>
        </w:tc>
        <w:tc>
          <w:tcPr>
            <w:tcW w:w="900" w:type="dxa"/>
            <w:vAlign w:val="bottom"/>
          </w:tcPr>
          <w:p>
            <w:pPr>
              <w:jc w:val="center"/>
              <w:spacing w:after="0"/>
              <w:rPr>
                <w:sz w:val="20"/>
                <w:szCs w:val="20"/>
                <w:color w:val="auto"/>
              </w:rPr>
            </w:pPr>
            <w:r>
              <w:rPr>
                <w:rFonts w:ascii="Arial" w:cs="Arial" w:eastAsia="Arial" w:hAnsi="Arial"/>
                <w:sz w:val="11"/>
                <w:szCs w:val="11"/>
                <w:color w:val="auto"/>
                <w:w w:val="92"/>
              </w:rPr>
              <w:t>$ 5,238,530</w:t>
            </w:r>
          </w:p>
        </w:tc>
        <w:tc>
          <w:tcPr>
            <w:tcW w:w="240" w:type="dxa"/>
            <w:vAlign w:val="bottom"/>
          </w:tcPr>
          <w:p>
            <w:pPr>
              <w:ind w:left="18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66.70</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27"/>
              <w:spacing w:after="0"/>
              <w:rPr>
                <w:sz w:val="20"/>
                <w:szCs w:val="20"/>
                <w:color w:val="auto"/>
              </w:rPr>
            </w:pPr>
            <w:r>
              <w:rPr>
                <w:rFonts w:ascii="Arial" w:cs="Arial" w:eastAsia="Arial" w:hAnsi="Arial"/>
                <w:sz w:val="11"/>
                <w:szCs w:val="11"/>
                <w:color w:val="auto"/>
              </w:rPr>
              <w:t>75.96</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729,994,000</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27"/>
              <w:spacing w:after="0"/>
              <w:rPr>
                <w:sz w:val="20"/>
                <w:szCs w:val="20"/>
                <w:color w:val="auto"/>
              </w:rPr>
            </w:pPr>
            <w:r>
              <w:rPr>
                <w:rFonts w:ascii="Arial" w:cs="Arial" w:eastAsia="Arial" w:hAnsi="Arial"/>
                <w:sz w:val="11"/>
                <w:szCs w:val="11"/>
                <w:color w:val="auto"/>
                <w:w w:val="96"/>
              </w:rPr>
              <w:t>2,114,943,000</w:t>
            </w:r>
          </w:p>
        </w:tc>
      </w:tr>
      <w:tr>
        <w:trPr>
          <w:trHeight w:val="60"/>
        </w:trPr>
        <w:tc>
          <w:tcPr>
            <w:tcW w:w="1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74"/>
        </w:trPr>
        <w:tc>
          <w:tcPr>
            <w:tcW w:w="1900" w:type="dxa"/>
            <w:vAlign w:val="bottom"/>
            <w:tcBorders>
              <w:bottom w:val="single" w:sz="8" w:color="D6D1D8"/>
              <w:right w:val="single" w:sz="8" w:color="D6D1D8"/>
            </w:tcBorders>
            <w:shd w:val="clear" w:color="auto" w:fill="D6D1D8"/>
          </w:tcPr>
          <w:p>
            <w:pPr>
              <w:spacing w:after="0"/>
              <w:rPr>
                <w:sz w:val="20"/>
                <w:szCs w:val="20"/>
                <w:color w:val="auto"/>
              </w:rPr>
            </w:pPr>
            <w:r>
              <w:rPr>
                <w:rFonts w:ascii="Arial" w:cs="Arial" w:eastAsia="Arial" w:hAnsi="Arial"/>
                <w:sz w:val="11"/>
                <w:szCs w:val="11"/>
                <w:color w:val="auto"/>
              </w:rPr>
              <w:t> 2022</w:t>
            </w:r>
          </w:p>
        </w:tc>
        <w:tc>
          <w:tcPr>
            <w:tcW w:w="240" w:type="dxa"/>
            <w:vAlign w:val="bottom"/>
            <w:tcBorders>
              <w:bottom w:val="single" w:sz="8" w:color="D6D1D8"/>
            </w:tcBorders>
            <w:shd w:val="clear" w:color="auto" w:fill="D6D1D8"/>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D6D1D8"/>
            </w:tcBorders>
            <w:shd w:val="clear" w:color="auto" w:fill="D6D1D8"/>
          </w:tcPr>
          <w:p>
            <w:pPr>
              <w:jc w:val="right"/>
              <w:ind w:right="127"/>
              <w:spacing w:after="0"/>
              <w:rPr>
                <w:sz w:val="20"/>
                <w:szCs w:val="20"/>
                <w:color w:val="auto"/>
              </w:rPr>
            </w:pPr>
            <w:r>
              <w:rPr>
                <w:rFonts w:ascii="Arial" w:cs="Arial" w:eastAsia="Arial" w:hAnsi="Arial"/>
                <w:sz w:val="11"/>
                <w:szCs w:val="11"/>
                <w:color w:val="auto"/>
              </w:rPr>
              <w:t>7,830,157</w:t>
            </w:r>
          </w:p>
        </w:tc>
        <w:tc>
          <w:tcPr>
            <w:tcW w:w="960" w:type="dxa"/>
            <w:vAlign w:val="bottom"/>
            <w:tcBorders>
              <w:bottom w:val="single" w:sz="8" w:color="D6D1D8"/>
            </w:tcBorders>
            <w:shd w:val="clear" w:color="auto" w:fill="D6D1D8"/>
          </w:tcPr>
          <w:p>
            <w:pPr>
              <w:jc w:val="right"/>
              <w:ind w:right="107"/>
              <w:spacing w:after="0"/>
              <w:rPr>
                <w:sz w:val="20"/>
                <w:szCs w:val="20"/>
                <w:color w:val="auto"/>
              </w:rPr>
            </w:pPr>
            <w:r>
              <w:rPr>
                <w:rFonts w:ascii="Arial" w:cs="Arial" w:eastAsia="Arial" w:hAnsi="Arial"/>
                <w:sz w:val="11"/>
                <w:szCs w:val="11"/>
                <w:color w:val="auto"/>
              </w:rPr>
              <w:t>$ 12,229,087</w:t>
            </w:r>
          </w:p>
        </w:tc>
        <w:tc>
          <w:tcPr>
            <w:tcW w:w="260" w:type="dxa"/>
            <w:vAlign w:val="bottom"/>
            <w:tcBorders>
              <w:bottom w:val="single" w:sz="8" w:color="D6D1D8"/>
            </w:tcBorders>
            <w:shd w:val="clear" w:color="auto" w:fill="D6D1D8"/>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D6D1D8"/>
            </w:tcBorders>
            <w:shd w:val="clear" w:color="auto" w:fill="D6D1D8"/>
          </w:tcPr>
          <w:p>
            <w:pPr>
              <w:jc w:val="right"/>
              <w:ind w:right="107"/>
              <w:spacing w:after="0"/>
              <w:rPr>
                <w:sz w:val="20"/>
                <w:szCs w:val="20"/>
                <w:color w:val="auto"/>
              </w:rPr>
            </w:pPr>
            <w:r>
              <w:rPr>
                <w:rFonts w:ascii="Arial" w:cs="Arial" w:eastAsia="Arial" w:hAnsi="Arial"/>
                <w:sz w:val="11"/>
                <w:szCs w:val="11"/>
                <w:color w:val="auto"/>
              </w:rPr>
              <w:t>(698,593)</w:t>
            </w:r>
          </w:p>
        </w:tc>
        <w:tc>
          <w:tcPr>
            <w:tcW w:w="940" w:type="dxa"/>
            <w:vAlign w:val="bottom"/>
            <w:tcBorders>
              <w:bottom w:val="single" w:sz="8" w:color="D6D1D8"/>
            </w:tcBorders>
            <w:shd w:val="clear" w:color="auto" w:fill="D6D1D8"/>
          </w:tcPr>
          <w:p>
            <w:pPr>
              <w:jc w:val="right"/>
              <w:ind w:right="107"/>
              <w:spacing w:after="0"/>
              <w:rPr>
                <w:sz w:val="20"/>
                <w:szCs w:val="20"/>
                <w:color w:val="auto"/>
              </w:rPr>
            </w:pPr>
            <w:r>
              <w:rPr>
                <w:rFonts w:ascii="Arial" w:cs="Arial" w:eastAsia="Arial" w:hAnsi="Arial"/>
                <w:sz w:val="11"/>
                <w:szCs w:val="11"/>
                <w:color w:val="auto"/>
              </w:rPr>
              <w:t>$  6,644,349</w:t>
            </w:r>
          </w:p>
        </w:tc>
        <w:tc>
          <w:tcPr>
            <w:tcW w:w="940" w:type="dxa"/>
            <w:vAlign w:val="bottom"/>
            <w:tcBorders>
              <w:bottom w:val="single" w:sz="8" w:color="D6D1D8"/>
            </w:tcBorders>
            <w:shd w:val="clear" w:color="auto" w:fill="D6D1D8"/>
          </w:tcPr>
          <w:p>
            <w:pPr>
              <w:jc w:val="center"/>
              <w:spacing w:after="0"/>
              <w:rPr>
                <w:sz w:val="20"/>
                <w:szCs w:val="20"/>
                <w:color w:val="auto"/>
              </w:rPr>
            </w:pPr>
            <w:r>
              <w:rPr>
                <w:rFonts w:ascii="Arial" w:cs="Arial" w:eastAsia="Arial" w:hAnsi="Arial"/>
                <w:sz w:val="11"/>
                <w:szCs w:val="11"/>
                <w:color w:val="auto"/>
                <w:w w:val="96"/>
              </w:rPr>
              <w:t>$ 5,265,417</w:t>
            </w:r>
          </w:p>
        </w:tc>
        <w:tc>
          <w:tcPr>
            <w:tcW w:w="900" w:type="dxa"/>
            <w:vAlign w:val="bottom"/>
            <w:tcBorders>
              <w:bottom w:val="single" w:sz="8" w:color="D6D1D8"/>
            </w:tcBorders>
            <w:shd w:val="clear" w:color="auto" w:fill="D6D1D8"/>
          </w:tcPr>
          <w:p>
            <w:pPr>
              <w:jc w:val="center"/>
              <w:spacing w:after="0"/>
              <w:rPr>
                <w:sz w:val="20"/>
                <w:szCs w:val="20"/>
                <w:color w:val="auto"/>
              </w:rPr>
            </w:pPr>
            <w:r>
              <w:rPr>
                <w:rFonts w:ascii="Arial" w:cs="Arial" w:eastAsia="Arial" w:hAnsi="Arial"/>
                <w:sz w:val="11"/>
                <w:szCs w:val="11"/>
                <w:color w:val="auto"/>
                <w:w w:val="92"/>
              </w:rPr>
              <w:t>$ 5,161,405</w:t>
            </w:r>
          </w:p>
        </w:tc>
        <w:tc>
          <w:tcPr>
            <w:tcW w:w="240" w:type="dxa"/>
            <w:vAlign w:val="bottom"/>
            <w:tcBorders>
              <w:bottom w:val="single" w:sz="8" w:color="D6D1D8"/>
            </w:tcBorders>
            <w:shd w:val="clear" w:color="auto" w:fill="D6D1D8"/>
          </w:tcPr>
          <w:p>
            <w:pPr>
              <w:ind w:left="18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D6D1D8"/>
            </w:tcBorders>
            <w:shd w:val="clear" w:color="auto" w:fill="D6D1D8"/>
          </w:tcPr>
          <w:p>
            <w:pPr>
              <w:jc w:val="right"/>
              <w:ind w:right="87"/>
              <w:spacing w:after="0"/>
              <w:rPr>
                <w:sz w:val="20"/>
                <w:szCs w:val="20"/>
                <w:color w:val="auto"/>
              </w:rPr>
            </w:pPr>
            <w:r>
              <w:rPr>
                <w:rFonts w:ascii="Arial" w:cs="Arial" w:eastAsia="Arial" w:hAnsi="Arial"/>
                <w:sz w:val="11"/>
                <w:szCs w:val="11"/>
                <w:color w:val="auto"/>
              </w:rPr>
              <w:t>59.91</w:t>
            </w:r>
          </w:p>
        </w:tc>
        <w:tc>
          <w:tcPr>
            <w:tcW w:w="280" w:type="dxa"/>
            <w:vAlign w:val="bottom"/>
            <w:tcBorders>
              <w:bottom w:val="single" w:sz="8" w:color="D6D1D8"/>
            </w:tcBorders>
            <w:shd w:val="clear" w:color="auto" w:fill="D6D1D8"/>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D6D1D8"/>
            </w:tcBorders>
            <w:shd w:val="clear" w:color="auto" w:fill="D6D1D8"/>
          </w:tcPr>
          <w:p>
            <w:pPr>
              <w:jc w:val="right"/>
              <w:ind w:right="127"/>
              <w:spacing w:after="0"/>
              <w:rPr>
                <w:sz w:val="20"/>
                <w:szCs w:val="20"/>
                <w:color w:val="auto"/>
              </w:rPr>
            </w:pPr>
            <w:r>
              <w:rPr>
                <w:rFonts w:ascii="Arial" w:cs="Arial" w:eastAsia="Arial" w:hAnsi="Arial"/>
                <w:sz w:val="11"/>
                <w:szCs w:val="11"/>
                <w:color w:val="auto"/>
              </w:rPr>
              <w:t>58.28</w:t>
            </w:r>
          </w:p>
        </w:tc>
        <w:tc>
          <w:tcPr>
            <w:tcW w:w="80" w:type="dxa"/>
            <w:vAlign w:val="bottom"/>
            <w:tcBorders>
              <w:bottom w:val="single" w:sz="8" w:color="D6D1D8"/>
            </w:tcBorders>
            <w:shd w:val="clear" w:color="auto" w:fill="D6D1D8"/>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D6D1D8"/>
            </w:tcBorders>
            <w:shd w:val="clear" w:color="auto" w:fill="D6D1D8"/>
          </w:tcPr>
          <w:p>
            <w:pPr>
              <w:jc w:val="right"/>
              <w:spacing w:after="0"/>
              <w:rPr>
                <w:sz w:val="20"/>
                <w:szCs w:val="20"/>
                <w:color w:val="auto"/>
              </w:rPr>
            </w:pPr>
            <w:r>
              <w:rPr>
                <w:rFonts w:ascii="Arial" w:cs="Arial" w:eastAsia="Arial" w:hAnsi="Arial"/>
                <w:sz w:val="11"/>
                <w:szCs w:val="11"/>
                <w:color w:val="auto"/>
              </w:rPr>
              <w:t>(423,856,000)</w:t>
            </w:r>
          </w:p>
        </w:tc>
        <w:tc>
          <w:tcPr>
            <w:tcW w:w="80" w:type="dxa"/>
            <w:vAlign w:val="bottom"/>
            <w:tcBorders>
              <w:bottom w:val="single" w:sz="8" w:color="D6D1D8"/>
            </w:tcBorders>
            <w:shd w:val="clear" w:color="auto" w:fill="D6D1D8"/>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D6D1D8"/>
            </w:tcBorders>
            <w:shd w:val="clear" w:color="auto" w:fill="D6D1D8"/>
          </w:tcPr>
          <w:p>
            <w:pPr>
              <w:jc w:val="right"/>
              <w:ind w:right="27"/>
              <w:spacing w:after="0"/>
              <w:rPr>
                <w:sz w:val="20"/>
                <w:szCs w:val="20"/>
                <w:color w:val="auto"/>
              </w:rPr>
            </w:pPr>
            <w:r>
              <w:rPr>
                <w:rFonts w:ascii="Arial" w:cs="Arial" w:eastAsia="Arial" w:hAnsi="Arial"/>
                <w:sz w:val="11"/>
                <w:szCs w:val="11"/>
                <w:color w:val="auto"/>
              </w:rPr>
              <w:t>725,387,000</w:t>
            </w:r>
          </w:p>
        </w:tc>
      </w:tr>
      <w:tr>
        <w:trPr>
          <w:trHeight w:val="235"/>
        </w:trPr>
        <w:tc>
          <w:tcPr>
            <w:tcW w:w="1900" w:type="dxa"/>
            <w:vAlign w:val="bottom"/>
          </w:tcPr>
          <w:p>
            <w:pPr>
              <w:spacing w:after="0"/>
              <w:rPr>
                <w:sz w:val="20"/>
                <w:szCs w:val="20"/>
                <w:color w:val="auto"/>
              </w:rPr>
            </w:pPr>
            <w:r>
              <w:rPr>
                <w:rFonts w:ascii="Arial" w:cs="Arial" w:eastAsia="Arial" w:hAnsi="Arial"/>
                <w:sz w:val="11"/>
                <w:szCs w:val="11"/>
                <w:color w:val="auto"/>
              </w:rPr>
              <w:t> 2021</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7"/>
              <w:spacing w:after="0"/>
              <w:rPr>
                <w:sz w:val="20"/>
                <w:szCs w:val="20"/>
                <w:color w:val="auto"/>
              </w:rPr>
            </w:pPr>
            <w:r>
              <w:rPr>
                <w:rFonts w:ascii="Arial" w:cs="Arial" w:eastAsia="Arial" w:hAnsi="Arial"/>
                <w:sz w:val="11"/>
                <w:szCs w:val="11"/>
                <w:color w:val="auto"/>
                <w:w w:val="94"/>
              </w:rPr>
              <w:t>12,928,747</w:t>
            </w:r>
          </w:p>
        </w:tc>
        <w:tc>
          <w:tcPr>
            <w:tcW w:w="960" w:type="dxa"/>
            <w:vAlign w:val="bottom"/>
          </w:tcPr>
          <w:p>
            <w:pPr>
              <w:jc w:val="right"/>
              <w:ind w:right="107"/>
              <w:spacing w:after="0"/>
              <w:rPr>
                <w:sz w:val="20"/>
                <w:szCs w:val="20"/>
                <w:color w:val="auto"/>
              </w:rPr>
            </w:pPr>
            <w:r>
              <w:rPr>
                <w:rFonts w:ascii="Arial" w:cs="Arial" w:eastAsia="Arial" w:hAnsi="Arial"/>
                <w:sz w:val="11"/>
                <w:szCs w:val="11"/>
                <w:color w:val="auto"/>
              </w:rPr>
              <w:t>-</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47"/>
              <w:spacing w:after="0"/>
              <w:rPr>
                <w:sz w:val="20"/>
                <w:szCs w:val="20"/>
                <w:color w:val="auto"/>
              </w:rPr>
            </w:pPr>
            <w:r>
              <w:rPr>
                <w:rFonts w:ascii="Arial" w:cs="Arial" w:eastAsia="Arial" w:hAnsi="Arial"/>
                <w:sz w:val="11"/>
                <w:szCs w:val="11"/>
                <w:color w:val="auto"/>
                <w:w w:val="93"/>
              </w:rPr>
              <w:t>7,935,501</w:t>
            </w:r>
          </w:p>
        </w:tc>
        <w:tc>
          <w:tcPr>
            <w:tcW w:w="940" w:type="dxa"/>
            <w:vAlign w:val="bottom"/>
          </w:tcPr>
          <w:p>
            <w:pPr>
              <w:jc w:val="right"/>
              <w:ind w:right="107"/>
              <w:spacing w:after="0"/>
              <w:rPr>
                <w:sz w:val="20"/>
                <w:szCs w:val="20"/>
                <w:color w:val="auto"/>
              </w:rPr>
            </w:pPr>
            <w:r>
              <w:rPr>
                <w:rFonts w:ascii="Arial" w:cs="Arial" w:eastAsia="Arial" w:hAnsi="Arial"/>
                <w:sz w:val="11"/>
                <w:szCs w:val="11"/>
                <w:color w:val="auto"/>
              </w:rPr>
              <w:t>-</w:t>
            </w:r>
          </w:p>
        </w:tc>
        <w:tc>
          <w:tcPr>
            <w:tcW w:w="940" w:type="dxa"/>
            <w:vAlign w:val="bottom"/>
          </w:tcPr>
          <w:p>
            <w:pPr>
              <w:jc w:val="center"/>
              <w:spacing w:after="0"/>
              <w:rPr>
                <w:sz w:val="20"/>
                <w:szCs w:val="20"/>
                <w:color w:val="auto"/>
              </w:rPr>
            </w:pPr>
            <w:r>
              <w:rPr>
                <w:rFonts w:ascii="Arial" w:cs="Arial" w:eastAsia="Arial" w:hAnsi="Arial"/>
                <w:sz w:val="11"/>
                <w:szCs w:val="11"/>
                <w:color w:val="auto"/>
                <w:w w:val="96"/>
              </w:rPr>
              <w:t>$ 6,936,390</w:t>
            </w:r>
          </w:p>
        </w:tc>
        <w:tc>
          <w:tcPr>
            <w:tcW w:w="900" w:type="dxa"/>
            <w:vAlign w:val="bottom"/>
          </w:tcPr>
          <w:p>
            <w:pPr>
              <w:jc w:val="center"/>
              <w:spacing w:after="0"/>
              <w:rPr>
                <w:sz w:val="20"/>
                <w:szCs w:val="20"/>
                <w:color w:val="auto"/>
              </w:rPr>
            </w:pPr>
            <w:r>
              <w:rPr>
                <w:rFonts w:ascii="Arial" w:cs="Arial" w:eastAsia="Arial" w:hAnsi="Arial"/>
                <w:sz w:val="11"/>
                <w:szCs w:val="11"/>
                <w:color w:val="auto"/>
                <w:w w:val="92"/>
              </w:rPr>
              <w:t>$ 7,397,174</w:t>
            </w:r>
          </w:p>
        </w:tc>
        <w:tc>
          <w:tcPr>
            <w:tcW w:w="240" w:type="dxa"/>
            <w:vAlign w:val="bottom"/>
          </w:tcPr>
          <w:p>
            <w:pPr>
              <w:ind w:left="18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61.77</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27"/>
              <w:spacing w:after="0"/>
              <w:rPr>
                <w:sz w:val="20"/>
                <w:szCs w:val="20"/>
                <w:color w:val="auto"/>
              </w:rPr>
            </w:pPr>
            <w:r>
              <w:rPr>
                <w:rFonts w:ascii="Arial" w:cs="Arial" w:eastAsia="Arial" w:hAnsi="Arial"/>
                <w:sz w:val="11"/>
                <w:szCs w:val="11"/>
                <w:color w:val="auto"/>
              </w:rPr>
              <w:t>78.17</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(755,786,000)</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27"/>
              <w:spacing w:after="0"/>
              <w:rPr>
                <w:sz w:val="20"/>
                <w:szCs w:val="20"/>
                <w:color w:val="auto"/>
              </w:rPr>
            </w:pPr>
            <w:r>
              <w:rPr>
                <w:rFonts w:ascii="Arial" w:cs="Arial" w:eastAsia="Arial" w:hAnsi="Arial"/>
                <w:sz w:val="11"/>
                <w:szCs w:val="11"/>
                <w:color w:val="auto"/>
              </w:rPr>
              <w:t>569,441,000</w:t>
            </w:r>
          </w:p>
        </w:tc>
      </w:tr>
      <w:tr>
        <w:trPr>
          <w:trHeight w:val="60"/>
        </w:trPr>
        <w:tc>
          <w:tcPr>
            <w:tcW w:w="1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35"/>
        </w:trPr>
        <w:tc>
          <w:tcPr>
            <w:tcW w:w="1900" w:type="dxa"/>
            <w:vAlign w:val="bottom"/>
            <w:tcBorders>
              <w:right w:val="single" w:sz="8" w:color="D6D1D8"/>
            </w:tcBorders>
            <w:shd w:val="clear" w:color="auto" w:fill="D6D1D8"/>
          </w:tcPr>
          <w:p>
            <w:pPr>
              <w:spacing w:after="0"/>
              <w:rPr>
                <w:sz w:val="20"/>
                <w:szCs w:val="20"/>
                <w:color w:val="auto"/>
              </w:rPr>
            </w:pPr>
            <w:r>
              <w:rPr>
                <w:rFonts w:ascii="Arial" w:cs="Arial" w:eastAsia="Arial" w:hAnsi="Arial"/>
                <w:sz w:val="11"/>
                <w:szCs w:val="11"/>
                <w:color w:val="auto"/>
              </w:rPr>
              <w:t> 2020</w:t>
            </w:r>
          </w:p>
        </w:tc>
        <w:tc>
          <w:tcPr>
            <w:tcW w:w="240" w:type="dxa"/>
            <w:vAlign w:val="bottom"/>
            <w:shd w:val="clear" w:color="auto" w:fill="D6D1D8"/>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D6D1D8"/>
          </w:tcPr>
          <w:p>
            <w:pPr>
              <w:jc w:val="right"/>
              <w:ind w:right="127"/>
              <w:spacing w:after="0"/>
              <w:rPr>
                <w:sz w:val="20"/>
                <w:szCs w:val="20"/>
                <w:color w:val="auto"/>
              </w:rPr>
            </w:pPr>
            <w:r>
              <w:rPr>
                <w:rFonts w:ascii="Arial" w:cs="Arial" w:eastAsia="Arial" w:hAnsi="Arial"/>
                <w:sz w:val="11"/>
                <w:szCs w:val="11"/>
                <w:color w:val="auto"/>
                <w:w w:val="94"/>
              </w:rPr>
              <w:t>24,571,980</w:t>
            </w:r>
          </w:p>
        </w:tc>
        <w:tc>
          <w:tcPr>
            <w:tcW w:w="960" w:type="dxa"/>
            <w:vAlign w:val="bottom"/>
            <w:shd w:val="clear" w:color="auto" w:fill="D6D1D8"/>
          </w:tcPr>
          <w:p>
            <w:pPr>
              <w:jc w:val="right"/>
              <w:ind w:right="107"/>
              <w:spacing w:after="0"/>
              <w:rPr>
                <w:sz w:val="20"/>
                <w:szCs w:val="20"/>
                <w:color w:val="auto"/>
              </w:rPr>
            </w:pPr>
            <w:r>
              <w:rPr>
                <w:rFonts w:ascii="Arial" w:cs="Arial" w:eastAsia="Arial" w:hAnsi="Arial"/>
                <w:sz w:val="11"/>
                <w:szCs w:val="11"/>
                <w:color w:val="auto"/>
              </w:rPr>
              <w:t>-</w:t>
            </w:r>
          </w:p>
        </w:tc>
        <w:tc>
          <w:tcPr>
            <w:tcW w:w="260" w:type="dxa"/>
            <w:vAlign w:val="bottom"/>
            <w:shd w:val="clear" w:color="auto" w:fill="D6D1D8"/>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D6D1D8"/>
          </w:tcPr>
          <w:p>
            <w:pPr>
              <w:jc w:val="right"/>
              <w:ind w:right="147"/>
              <w:spacing w:after="0"/>
              <w:rPr>
                <w:sz w:val="20"/>
                <w:szCs w:val="20"/>
                <w:color w:val="auto"/>
              </w:rPr>
            </w:pPr>
            <w:r>
              <w:rPr>
                <w:rFonts w:ascii="Arial" w:cs="Arial" w:eastAsia="Arial" w:hAnsi="Arial"/>
                <w:sz w:val="11"/>
                <w:szCs w:val="11"/>
                <w:color w:val="auto"/>
                <w:w w:val="93"/>
              </w:rPr>
              <w:t>7,387,812</w:t>
            </w:r>
          </w:p>
        </w:tc>
        <w:tc>
          <w:tcPr>
            <w:tcW w:w="940" w:type="dxa"/>
            <w:vAlign w:val="bottom"/>
            <w:shd w:val="clear" w:color="auto" w:fill="D6D1D8"/>
          </w:tcPr>
          <w:p>
            <w:pPr>
              <w:jc w:val="right"/>
              <w:ind w:right="107"/>
              <w:spacing w:after="0"/>
              <w:rPr>
                <w:sz w:val="20"/>
                <w:szCs w:val="20"/>
                <w:color w:val="auto"/>
              </w:rPr>
            </w:pPr>
            <w:r>
              <w:rPr>
                <w:rFonts w:ascii="Arial" w:cs="Arial" w:eastAsia="Arial" w:hAnsi="Arial"/>
                <w:sz w:val="11"/>
                <w:szCs w:val="11"/>
                <w:color w:val="auto"/>
              </w:rPr>
              <w:t>-</w:t>
            </w:r>
          </w:p>
        </w:tc>
        <w:tc>
          <w:tcPr>
            <w:tcW w:w="940" w:type="dxa"/>
            <w:vAlign w:val="bottom"/>
            <w:shd w:val="clear" w:color="auto" w:fill="D6D1D8"/>
          </w:tcPr>
          <w:p>
            <w:pPr>
              <w:jc w:val="center"/>
              <w:spacing w:after="0"/>
              <w:rPr>
                <w:sz w:val="20"/>
                <w:szCs w:val="20"/>
                <w:color w:val="auto"/>
              </w:rPr>
            </w:pPr>
            <w:r>
              <w:rPr>
                <w:rFonts w:ascii="Arial" w:cs="Arial" w:eastAsia="Arial" w:hAnsi="Arial"/>
                <w:sz w:val="11"/>
                <w:szCs w:val="11"/>
                <w:color w:val="auto"/>
                <w:w w:val="96"/>
              </w:rPr>
              <w:t>$ 5,210,698</w:t>
            </w:r>
          </w:p>
        </w:tc>
        <w:tc>
          <w:tcPr>
            <w:tcW w:w="900" w:type="dxa"/>
            <w:vAlign w:val="bottom"/>
            <w:shd w:val="clear" w:color="auto" w:fill="D6D1D8"/>
          </w:tcPr>
          <w:p>
            <w:pPr>
              <w:jc w:val="center"/>
              <w:spacing w:after="0"/>
              <w:rPr>
                <w:sz w:val="20"/>
                <w:szCs w:val="20"/>
                <w:color w:val="auto"/>
              </w:rPr>
            </w:pPr>
            <w:r>
              <w:rPr>
                <w:rFonts w:ascii="Arial" w:cs="Arial" w:eastAsia="Arial" w:hAnsi="Arial"/>
                <w:sz w:val="11"/>
                <w:szCs w:val="11"/>
                <w:color w:val="auto"/>
                <w:w w:val="92"/>
              </w:rPr>
              <w:t>$ 4,256,704</w:t>
            </w:r>
          </w:p>
        </w:tc>
        <w:tc>
          <w:tcPr>
            <w:tcW w:w="240" w:type="dxa"/>
            <w:vAlign w:val="bottom"/>
            <w:shd w:val="clear" w:color="auto" w:fill="D6D1D8"/>
          </w:tcPr>
          <w:p>
            <w:pPr>
              <w:ind w:left="18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D6D1D8"/>
          </w:tcPr>
          <w:p>
            <w:pPr>
              <w:jc w:val="right"/>
              <w:ind w:right="87"/>
              <w:spacing w:after="0"/>
              <w:rPr>
                <w:sz w:val="20"/>
                <w:szCs w:val="20"/>
                <w:color w:val="auto"/>
              </w:rPr>
            </w:pPr>
            <w:r>
              <w:rPr>
                <w:rFonts w:ascii="Arial" w:cs="Arial" w:eastAsia="Arial" w:hAnsi="Arial"/>
                <w:sz w:val="11"/>
                <w:szCs w:val="11"/>
                <w:color w:val="auto"/>
              </w:rPr>
              <w:t>81.96</w:t>
            </w:r>
          </w:p>
        </w:tc>
        <w:tc>
          <w:tcPr>
            <w:tcW w:w="280" w:type="dxa"/>
            <w:vAlign w:val="bottom"/>
            <w:shd w:val="clear" w:color="auto" w:fill="D6D1D8"/>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D6D1D8"/>
          </w:tcPr>
          <w:p>
            <w:pPr>
              <w:jc w:val="right"/>
              <w:ind w:right="127"/>
              <w:spacing w:after="0"/>
              <w:rPr>
                <w:sz w:val="20"/>
                <w:szCs w:val="20"/>
                <w:color w:val="auto"/>
              </w:rPr>
            </w:pPr>
            <w:r>
              <w:rPr>
                <w:rFonts w:ascii="Arial" w:cs="Arial" w:eastAsia="Arial" w:hAnsi="Arial"/>
                <w:sz w:val="11"/>
                <w:szCs w:val="11"/>
                <w:color w:val="auto"/>
              </w:rPr>
              <w:t>89.66</w:t>
            </w:r>
          </w:p>
        </w:tc>
        <w:tc>
          <w:tcPr>
            <w:tcW w:w="80" w:type="dxa"/>
            <w:vAlign w:val="bottom"/>
            <w:shd w:val="clear" w:color="auto" w:fill="D6D1D8"/>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D6D1D8"/>
          </w:tcPr>
          <w:p>
            <w:pPr>
              <w:jc w:val="right"/>
              <w:spacing w:after="0"/>
              <w:rPr>
                <w:sz w:val="20"/>
                <w:szCs w:val="20"/>
                <w:color w:val="auto"/>
              </w:rPr>
            </w:pPr>
            <w:r>
              <w:rPr>
                <w:rFonts w:ascii="Arial" w:cs="Arial" w:eastAsia="Arial" w:hAnsi="Arial"/>
                <w:sz w:val="11"/>
                <w:szCs w:val="11"/>
                <w:color w:val="auto"/>
                <w:w w:val="95"/>
              </w:rPr>
              <w:t>(2,067,245,000)</w:t>
            </w:r>
          </w:p>
        </w:tc>
        <w:tc>
          <w:tcPr>
            <w:tcW w:w="80" w:type="dxa"/>
            <w:vAlign w:val="bottom"/>
            <w:shd w:val="clear" w:color="auto" w:fill="D6D1D8"/>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D6D1D8"/>
          </w:tcPr>
          <w:p>
            <w:pPr>
              <w:jc w:val="right"/>
              <w:spacing w:after="0"/>
              <w:rPr>
                <w:sz w:val="20"/>
                <w:szCs w:val="20"/>
                <w:color w:val="auto"/>
              </w:rPr>
            </w:pPr>
            <w:r>
              <w:rPr>
                <w:rFonts w:ascii="Arial" w:cs="Arial" w:eastAsia="Arial" w:hAnsi="Arial"/>
                <w:sz w:val="11"/>
                <w:szCs w:val="11"/>
                <w:color w:val="auto"/>
              </w:rPr>
              <w:t>(324,305,000)</w:t>
            </w:r>
          </w:p>
        </w:tc>
      </w:tr>
      <w:tr>
        <w:trPr>
          <w:trHeight w:val="60"/>
        </w:trPr>
        <w:tc>
          <w:tcPr>
            <w:tcW w:w="1900" w:type="dxa"/>
            <w:vAlign w:val="bottom"/>
            <w:tcBorders>
              <w:right w:val="single" w:sz="8" w:color="D6D1D8"/>
            </w:tcBorders>
            <w:shd w:val="clear" w:color="auto" w:fill="D6D1D8"/>
          </w:tcPr>
          <w:p>
            <w:pPr>
              <w:spacing w:after="0"/>
              <w:rPr>
                <w:sz w:val="5"/>
                <w:szCs w:val="5"/>
                <w:color w:val="auto"/>
              </w:rPr>
            </w:pPr>
          </w:p>
        </w:tc>
        <w:tc>
          <w:tcPr>
            <w:tcW w:w="240" w:type="dxa"/>
            <w:vAlign w:val="bottom"/>
            <w:shd w:val="clear" w:color="auto" w:fill="D6D1D8"/>
          </w:tcPr>
          <w:p>
            <w:pPr>
              <w:spacing w:after="0"/>
              <w:rPr>
                <w:sz w:val="5"/>
                <w:szCs w:val="5"/>
                <w:color w:val="auto"/>
              </w:rPr>
            </w:pPr>
          </w:p>
        </w:tc>
        <w:tc>
          <w:tcPr>
            <w:tcW w:w="720" w:type="dxa"/>
            <w:vAlign w:val="bottom"/>
            <w:shd w:val="clear" w:color="auto" w:fill="D6D1D8"/>
          </w:tcPr>
          <w:p>
            <w:pPr>
              <w:spacing w:after="0"/>
              <w:rPr>
                <w:sz w:val="5"/>
                <w:szCs w:val="5"/>
                <w:color w:val="auto"/>
              </w:rPr>
            </w:pPr>
          </w:p>
        </w:tc>
        <w:tc>
          <w:tcPr>
            <w:tcW w:w="960" w:type="dxa"/>
            <w:vAlign w:val="bottom"/>
            <w:shd w:val="clear" w:color="auto" w:fill="D6D1D8"/>
          </w:tcPr>
          <w:p>
            <w:pPr>
              <w:spacing w:after="0"/>
              <w:rPr>
                <w:sz w:val="5"/>
                <w:szCs w:val="5"/>
                <w:color w:val="auto"/>
              </w:rPr>
            </w:pPr>
          </w:p>
        </w:tc>
        <w:tc>
          <w:tcPr>
            <w:tcW w:w="260" w:type="dxa"/>
            <w:vAlign w:val="bottom"/>
            <w:shd w:val="clear" w:color="auto" w:fill="D6D1D8"/>
          </w:tcPr>
          <w:p>
            <w:pPr>
              <w:spacing w:after="0"/>
              <w:rPr>
                <w:sz w:val="5"/>
                <w:szCs w:val="5"/>
                <w:color w:val="auto"/>
              </w:rPr>
            </w:pPr>
          </w:p>
        </w:tc>
        <w:tc>
          <w:tcPr>
            <w:tcW w:w="680" w:type="dxa"/>
            <w:vAlign w:val="bottom"/>
            <w:shd w:val="clear" w:color="auto" w:fill="D6D1D8"/>
          </w:tcPr>
          <w:p>
            <w:pPr>
              <w:spacing w:after="0"/>
              <w:rPr>
                <w:sz w:val="5"/>
                <w:szCs w:val="5"/>
                <w:color w:val="auto"/>
              </w:rPr>
            </w:pPr>
          </w:p>
        </w:tc>
        <w:tc>
          <w:tcPr>
            <w:tcW w:w="940" w:type="dxa"/>
            <w:vAlign w:val="bottom"/>
            <w:shd w:val="clear" w:color="auto" w:fill="D6D1D8"/>
          </w:tcPr>
          <w:p>
            <w:pPr>
              <w:spacing w:after="0"/>
              <w:rPr>
                <w:sz w:val="5"/>
                <w:szCs w:val="5"/>
                <w:color w:val="auto"/>
              </w:rPr>
            </w:pPr>
          </w:p>
        </w:tc>
        <w:tc>
          <w:tcPr>
            <w:tcW w:w="940" w:type="dxa"/>
            <w:vAlign w:val="bottom"/>
            <w:shd w:val="clear" w:color="auto" w:fill="D6D1D8"/>
          </w:tcPr>
          <w:p>
            <w:pPr>
              <w:spacing w:after="0"/>
              <w:rPr>
                <w:sz w:val="5"/>
                <w:szCs w:val="5"/>
                <w:color w:val="auto"/>
              </w:rPr>
            </w:pPr>
          </w:p>
        </w:tc>
        <w:tc>
          <w:tcPr>
            <w:tcW w:w="900" w:type="dxa"/>
            <w:vAlign w:val="bottom"/>
            <w:shd w:val="clear" w:color="auto" w:fill="D6D1D8"/>
          </w:tcPr>
          <w:p>
            <w:pPr>
              <w:spacing w:after="0"/>
              <w:rPr>
                <w:sz w:val="5"/>
                <w:szCs w:val="5"/>
                <w:color w:val="auto"/>
              </w:rPr>
            </w:pPr>
          </w:p>
        </w:tc>
        <w:tc>
          <w:tcPr>
            <w:tcW w:w="240" w:type="dxa"/>
            <w:vAlign w:val="bottom"/>
            <w:shd w:val="clear" w:color="auto" w:fill="D6D1D8"/>
          </w:tcPr>
          <w:p>
            <w:pPr>
              <w:spacing w:after="0"/>
              <w:rPr>
                <w:sz w:val="5"/>
                <w:szCs w:val="5"/>
                <w:color w:val="auto"/>
              </w:rPr>
            </w:pPr>
          </w:p>
        </w:tc>
        <w:tc>
          <w:tcPr>
            <w:tcW w:w="560" w:type="dxa"/>
            <w:vAlign w:val="bottom"/>
            <w:shd w:val="clear" w:color="auto" w:fill="D6D1D8"/>
          </w:tcPr>
          <w:p>
            <w:pPr>
              <w:spacing w:after="0"/>
              <w:rPr>
                <w:sz w:val="5"/>
                <w:szCs w:val="5"/>
                <w:color w:val="auto"/>
              </w:rPr>
            </w:pPr>
          </w:p>
        </w:tc>
        <w:tc>
          <w:tcPr>
            <w:tcW w:w="280" w:type="dxa"/>
            <w:vAlign w:val="bottom"/>
            <w:shd w:val="clear" w:color="auto" w:fill="D6D1D8"/>
          </w:tcPr>
          <w:p>
            <w:pPr>
              <w:spacing w:after="0"/>
              <w:rPr>
                <w:sz w:val="5"/>
                <w:szCs w:val="5"/>
                <w:color w:val="auto"/>
              </w:rPr>
            </w:pPr>
          </w:p>
        </w:tc>
        <w:tc>
          <w:tcPr>
            <w:tcW w:w="580" w:type="dxa"/>
            <w:vAlign w:val="bottom"/>
            <w:shd w:val="clear" w:color="auto" w:fill="D6D1D8"/>
          </w:tcPr>
          <w:p>
            <w:pPr>
              <w:spacing w:after="0"/>
              <w:rPr>
                <w:sz w:val="5"/>
                <w:szCs w:val="5"/>
                <w:color w:val="auto"/>
              </w:rPr>
            </w:pPr>
          </w:p>
        </w:tc>
        <w:tc>
          <w:tcPr>
            <w:tcW w:w="80" w:type="dxa"/>
            <w:vAlign w:val="bottom"/>
            <w:shd w:val="clear" w:color="auto" w:fill="D6D1D8"/>
          </w:tcPr>
          <w:p>
            <w:pPr>
              <w:spacing w:after="0"/>
              <w:rPr>
                <w:sz w:val="5"/>
                <w:szCs w:val="5"/>
                <w:color w:val="auto"/>
              </w:rPr>
            </w:pPr>
          </w:p>
        </w:tc>
        <w:tc>
          <w:tcPr>
            <w:tcW w:w="780" w:type="dxa"/>
            <w:vAlign w:val="bottom"/>
            <w:shd w:val="clear" w:color="auto" w:fill="D6D1D8"/>
          </w:tcPr>
          <w:p>
            <w:pPr>
              <w:spacing w:after="0"/>
              <w:rPr>
                <w:sz w:val="5"/>
                <w:szCs w:val="5"/>
                <w:color w:val="auto"/>
              </w:rPr>
            </w:pPr>
          </w:p>
        </w:tc>
        <w:tc>
          <w:tcPr>
            <w:tcW w:w="80" w:type="dxa"/>
            <w:vAlign w:val="bottom"/>
            <w:shd w:val="clear" w:color="auto" w:fill="D6D1D8"/>
          </w:tcPr>
          <w:p>
            <w:pPr>
              <w:spacing w:after="0"/>
              <w:rPr>
                <w:sz w:val="5"/>
                <w:szCs w:val="5"/>
                <w:color w:val="auto"/>
              </w:rPr>
            </w:pPr>
          </w:p>
        </w:tc>
        <w:tc>
          <w:tcPr>
            <w:tcW w:w="780" w:type="dxa"/>
            <w:vAlign w:val="bottom"/>
            <w:shd w:val="clear" w:color="auto" w:fill="D6D1D8"/>
          </w:tcPr>
          <w:p>
            <w:pPr>
              <w:spacing w:after="0"/>
              <w:rPr>
                <w:sz w:val="5"/>
                <w:szCs w:val="5"/>
                <w:color w:val="auto"/>
              </w:rPr>
            </w:pPr>
          </w:p>
        </w:tc>
      </w:tr>
    </w:tbl>
    <w:p>
      <w:pPr>
        <w:spacing w:after="0" w:line="102" w:lineRule="exact"/>
        <w:rPr>
          <w:sz w:val="20"/>
          <w:szCs w:val="20"/>
          <w:color w:val="auto"/>
        </w:rPr>
      </w:pPr>
    </w:p>
    <w:p>
      <w:pPr>
        <w:jc w:val="both"/>
        <w:ind w:left="160" w:right="20" w:firstLine="7"/>
        <w:spacing w:after="0" w:line="256" w:lineRule="auto"/>
        <w:tabs>
          <w:tab w:leader="none" w:pos="347" w:val="left"/>
        </w:tabs>
        <w:numPr>
          <w:ilvl w:val="0"/>
          <w:numId w:val="54"/>
        </w:numPr>
        <w:rPr>
          <w:rFonts w:ascii="Arial" w:cs="Arial" w:eastAsia="Arial" w:hAnsi="Arial"/>
          <w:sz w:val="12"/>
          <w:szCs w:val="12"/>
          <w:color w:val="auto"/>
        </w:rPr>
      </w:pPr>
      <w:r>
        <w:rPr>
          <w:rFonts w:ascii="Arial" w:cs="Arial" w:eastAsia="Arial" w:hAnsi="Arial"/>
          <w:sz w:val="12"/>
          <w:szCs w:val="12"/>
          <w:color w:val="auto"/>
        </w:rPr>
        <w:t>Effective February 1, 2022, Mr. Billings (“PEO B”) succeeded Mr. Maddox (“PEO A”) as the Company’s Chief Executive Officer and the Principal Executive Officer. For the year 2022, the amounts set forth in these columns reflect Mr. Maddox’s compensation for the period between January 1, 2022 and January 31, 2022, including severance. Mr. Maddox was the PEO of the Company for fiscal years 2021 and 2020. Mr. Billings was the Company’s Chief Executive Officer and the PEO for 2023 and February 1, 2022 through December 31, 2022 for 2022.</w:t>
      </w:r>
    </w:p>
    <w:p>
      <w:pPr>
        <w:spacing w:after="0" w:line="66" w:lineRule="exact"/>
        <w:rPr>
          <w:rFonts w:ascii="Arial" w:cs="Arial" w:eastAsia="Arial" w:hAnsi="Arial"/>
          <w:sz w:val="12"/>
          <w:szCs w:val="12"/>
          <w:color w:val="auto"/>
        </w:rPr>
      </w:pPr>
    </w:p>
    <w:p>
      <w:pPr>
        <w:ind w:left="360" w:hanging="193"/>
        <w:spacing w:after="0"/>
        <w:tabs>
          <w:tab w:leader="none" w:pos="3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For the year 2022, compensation information for Mr. Maddox includes consideration of the terms set forth in the Maddox Transition Agreement, including forfeitures.</w:t>
      </w:r>
    </w:p>
    <w:p>
      <w:pPr>
        <w:spacing w:after="0" w:line="102" w:lineRule="exact"/>
        <w:rPr>
          <w:rFonts w:ascii="Arial" w:cs="Arial" w:eastAsia="Arial" w:hAnsi="Arial"/>
          <w:sz w:val="12"/>
          <w:szCs w:val="12"/>
          <w:color w:val="auto"/>
        </w:rPr>
      </w:pPr>
    </w:p>
    <w:p>
      <w:pPr>
        <w:ind w:left="160" w:right="140" w:firstLine="7"/>
        <w:spacing w:after="0" w:line="279" w:lineRule="auto"/>
        <w:tabs>
          <w:tab w:leader="none" w:pos="347"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amounts set forth in these columns reflect Mr. Billings’ total compensation. For fiscal year 2022, such amounts include compensation Mr. Billings received as the Company’s Chief Financial Officer for the period between January 1, 2022 and January 31, 2022.</w:t>
      </w:r>
    </w:p>
    <w:p>
      <w:pPr>
        <w:spacing w:after="0" w:line="53" w:lineRule="exact"/>
        <w:rPr>
          <w:rFonts w:ascii="Arial" w:cs="Arial" w:eastAsia="Arial" w:hAnsi="Arial"/>
          <w:sz w:val="12"/>
          <w:szCs w:val="12"/>
          <w:color w:val="auto"/>
        </w:rPr>
      </w:pPr>
    </w:p>
    <w:p>
      <w:pPr>
        <w:ind w:left="160" w:right="180" w:firstLine="7"/>
        <w:spacing w:after="0" w:line="244" w:lineRule="auto"/>
        <w:tabs>
          <w:tab w:leader="none" w:pos="347" w:val="left"/>
        </w:tabs>
        <w:numPr>
          <w:ilvl w:val="0"/>
          <w:numId w:val="54"/>
        </w:numPr>
        <w:rPr>
          <w:rFonts w:ascii="Arial" w:cs="Arial" w:eastAsia="Arial" w:hAnsi="Arial"/>
          <w:sz w:val="12"/>
          <w:szCs w:val="12"/>
          <w:color w:val="auto"/>
        </w:rPr>
      </w:pPr>
      <w:r>
        <w:rPr>
          <w:rFonts w:ascii="Arial" w:cs="Arial" w:eastAsia="Arial" w:hAnsi="Arial"/>
          <w:sz w:val="12"/>
          <w:szCs w:val="12"/>
          <w:color w:val="auto"/>
        </w:rPr>
        <w:t>Effective February 1, 2022, Mr. Billings was named the PEO and was excluded from the list of Non-PEO NEOs. Mr. Billings’ compensation is included in PEO columns. Effective April 18, 2022, Ms. Cameron-Doe was appointed as the Company’s Chief Financial Officer and was named a NEO. Effective December 1, 2024, Ms Krum was appointed as the Company’s Executive Vice President, General Counsel and Secretary and was named a NEO. For 2024, the Company’s non-PEO NEOs were Ms. Cameron-Doe, Ms. Krum, and Ms. Whittemore. For 2023 and 2022, the Company’s non-PEO NEOs were Ms. Cameron-Doe, who joined the Company on April 18, 2022, and Ms. Whittemore. For 2021 and 2020, the Company’s non-PEO NEOs were Mr. Billings and Ms. Whittemore.</w:t>
      </w:r>
    </w:p>
    <w:p>
      <w:pPr>
        <w:spacing w:after="0" w:line="214" w:lineRule="exact"/>
        <w:rPr>
          <w:rFonts w:ascii="Arial" w:cs="Arial" w:eastAsia="Arial" w:hAnsi="Arial"/>
          <w:sz w:val="12"/>
          <w:szCs w:val="12"/>
          <w:color w:val="auto"/>
        </w:rPr>
      </w:pPr>
    </w:p>
    <w:p>
      <w:pPr>
        <w:ind w:left="160" w:right="180" w:firstLine="7"/>
        <w:spacing w:after="0" w:line="256" w:lineRule="auto"/>
        <w:tabs>
          <w:tab w:leader="none" w:pos="347" w:val="left"/>
        </w:tabs>
        <w:numPr>
          <w:ilvl w:val="0"/>
          <w:numId w:val="54"/>
        </w:numPr>
        <w:rPr>
          <w:rFonts w:ascii="Arial" w:cs="Arial" w:eastAsia="Arial" w:hAnsi="Arial"/>
          <w:sz w:val="12"/>
          <w:szCs w:val="12"/>
          <w:color w:val="auto"/>
        </w:rPr>
      </w:pPr>
      <w:r>
        <w:rPr>
          <w:rFonts w:ascii="Arial" w:cs="Arial" w:eastAsia="Arial" w:hAnsi="Arial"/>
          <w:sz w:val="12"/>
          <w:szCs w:val="12"/>
          <w:color w:val="auto"/>
        </w:rPr>
        <w:t>In calculating the ‘compensation actually paid’ amounts reflected in these columns, the fair value or change in fair value, as applicable, of the equity award adjustments included in such calculations was computed in accordance with FASB ASC Topic 718. The valuation assumptions used to calculate such fair values did not materially differ from those disclosed at the time of grant other than the stock price of a subsidiary used in the valuation of subsidiary stock options. NEOs do not receive pension benefits.</w:t>
      </w:r>
    </w:p>
    <w:p>
      <w:pPr>
        <w:spacing w:after="0" w:line="66" w:lineRule="exact"/>
        <w:rPr>
          <w:rFonts w:ascii="Arial" w:cs="Arial" w:eastAsia="Arial" w:hAnsi="Arial"/>
          <w:sz w:val="12"/>
          <w:szCs w:val="12"/>
          <w:color w:val="auto"/>
        </w:rPr>
      </w:pPr>
    </w:p>
    <w:p>
      <w:pPr>
        <w:ind w:left="160" w:right="160" w:firstLine="7"/>
        <w:spacing w:after="0" w:line="279" w:lineRule="auto"/>
        <w:tabs>
          <w:tab w:leader="none" w:pos="347"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Company TSR and the TSR of the Dow Jones Gambling Index (Ticker: DJUSCA), the Company’s peer group, reflected in these columns for each applicable fiscal year is calculated based on a fixed investment of $100, including the reinvestment of dividends, on the applicable measurement point on the same cumulative basis as is used in Item 201(e) of Regulation S-K.</w:t>
      </w:r>
    </w:p>
    <w:p>
      <w:pPr>
        <w:spacing w:after="0" w:line="53" w:lineRule="exact"/>
        <w:rPr>
          <w:rFonts w:ascii="Arial" w:cs="Arial" w:eastAsia="Arial" w:hAnsi="Arial"/>
          <w:sz w:val="12"/>
          <w:szCs w:val="12"/>
          <w:color w:val="auto"/>
        </w:rPr>
      </w:pPr>
    </w:p>
    <w:p>
      <w:pPr>
        <w:ind w:left="160" w:right="80" w:firstLine="7"/>
        <w:spacing w:after="0" w:line="243" w:lineRule="auto"/>
        <w:tabs>
          <w:tab w:leader="none" w:pos="347"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“Compensation Actually Paid” to PEO B reflects the following adjustments made to the “Total Compensation” amounts reported in the Summary Compensation Table for the 2024 fiscal year, computed in accordance with Item 402(v) of Regulation S-K:</w:t>
      </w:r>
    </w:p>
    <w:p>
      <w:pPr>
        <w:ind w:left="380" w:right="140"/>
        <w:spacing w:after="0" w:line="245" w:lineRule="auto"/>
        <w:rPr>
          <w:rFonts w:ascii="Arial" w:cs="Arial" w:eastAsia="Arial" w:hAnsi="Arial"/>
          <w:sz w:val="12"/>
          <w:szCs w:val="12"/>
          <w:color w:val="auto"/>
        </w:rPr>
      </w:pPr>
      <w:r>
        <w:rPr>
          <w:rFonts w:ascii="Arial" w:cs="Arial" w:eastAsia="Arial" w:hAnsi="Arial"/>
          <w:sz w:val="12"/>
          <w:szCs w:val="12"/>
          <w:color w:val="auto"/>
        </w:rPr>
        <w:t>$(1,742,589) represents a change in fair value of equity awards at either the vesting date or December 31, 2024 in the case of unvested restricted stock awards and unexercised stock options. Of this amount, stock awards granted during 2024 with an aggregate grant date fair value of $11,213,595 were remeasured at $9,864,237, for a change of $(1,349,358), as of December 31, 2024, $(891,151) was granted prior to 2024 and is outstanding at December 31, 2024, and $497,920 was granted prior to 2024 and vested in 2024.</w:t>
      </w:r>
    </w:p>
    <w:p>
      <w:pPr>
        <w:spacing w:after="0" w:line="73" w:lineRule="exact"/>
        <w:rPr>
          <w:rFonts w:ascii="Arial" w:cs="Arial" w:eastAsia="Arial" w:hAnsi="Arial"/>
          <w:sz w:val="12"/>
          <w:szCs w:val="12"/>
          <w:color w:val="auto"/>
        </w:rPr>
      </w:pPr>
    </w:p>
    <w:p>
      <w:pPr>
        <w:ind w:left="360" w:hanging="193"/>
        <w:spacing w:after="0"/>
        <w:tabs>
          <w:tab w:leader="none" w:pos="3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average “Compensation Actually Paid” to the non-PEOs reflects the following adjustments made to the “Total Compensation” amounts reported in the Summary Compensation Table for the</w:t>
      </w:r>
    </w:p>
    <w:p>
      <w:pPr>
        <w:spacing w:after="0" w:line="7" w:lineRule="exact"/>
        <w:rPr>
          <w:rFonts w:ascii="Arial" w:cs="Arial" w:eastAsia="Arial" w:hAnsi="Arial"/>
          <w:sz w:val="12"/>
          <w:szCs w:val="12"/>
          <w:color w:val="auto"/>
        </w:rPr>
      </w:pPr>
    </w:p>
    <w:p>
      <w:pPr>
        <w:ind w:left="160"/>
        <w:spacing w:after="0" w:line="232" w:lineRule="auto"/>
        <w:rPr>
          <w:rFonts w:ascii="Arial" w:cs="Arial" w:eastAsia="Arial" w:hAnsi="Arial"/>
          <w:sz w:val="12"/>
          <w:szCs w:val="12"/>
          <w:color w:val="auto"/>
        </w:rPr>
      </w:pPr>
      <w:r>
        <w:rPr>
          <w:rFonts w:ascii="Arial" w:cs="Arial" w:eastAsia="Arial" w:hAnsi="Arial"/>
          <w:sz w:val="12"/>
          <w:szCs w:val="12"/>
          <w:color w:val="auto"/>
        </w:rPr>
        <w:t>2024 fiscal year, computed in accordance with Item 402(v) of Regulation S-K:</w:t>
      </w:r>
    </w:p>
    <w:p>
      <w:pPr>
        <w:ind w:left="380" w:right="60"/>
        <w:spacing w:after="0" w:line="245" w:lineRule="auto"/>
        <w:rPr>
          <w:rFonts w:ascii="Arial" w:cs="Arial" w:eastAsia="Arial" w:hAnsi="Arial"/>
          <w:sz w:val="12"/>
          <w:szCs w:val="12"/>
          <w:color w:val="auto"/>
        </w:rPr>
      </w:pPr>
      <w:r>
        <w:rPr>
          <w:rFonts w:ascii="Arial" w:cs="Arial" w:eastAsia="Arial" w:hAnsi="Arial"/>
          <w:sz w:val="12"/>
          <w:szCs w:val="12"/>
          <w:color w:val="auto"/>
        </w:rPr>
        <w:t>$(63,609) represents a change in the fair value of equity awards at either the vesting date or December 31, 2024 in the case of unvested restricted stock awards and unexercised stock options. Of this amount, stock awards granted during 2024 with an average aggregate grant date fair value of $2,423,803 were remeasured at $2,339,970, for a change of $(83,833), as of December 31, 2024, $(108,793) was granted prior to 2024 and is outstanding at December 31, 2024, and $129,016 was granted prior to 2024 and vested in 2024.</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2"/>
          <w:szCs w:val="12"/>
          <w:color w:val="351B3D"/>
        </w:rPr>
        <w:t>66</w:t>
      </w:r>
    </w:p>
    <w:p>
      <w:pPr>
        <w:sectPr>
          <w:pgSz w:w="11900" w:h="16838" w:orient="portrait"/>
          <w:cols w:equalWidth="0" w:num="1">
            <w:col w:w="11080"/>
          </w:cols>
          <w:pgMar w:left="320" w:top="478" w:right="4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60" w:hanging="193"/>
        <w:spacing w:after="0"/>
        <w:tabs>
          <w:tab w:leader="none" w:pos="3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dollar amounts reported represent the amount of net income reflected in the Company’s audited financial statements for the applicable year.</w:t>
      </w:r>
    </w:p>
    <w:p>
      <w:pPr>
        <w:spacing w:after="0" w:line="102" w:lineRule="exact"/>
        <w:rPr>
          <w:rFonts w:ascii="Arial" w:cs="Arial" w:eastAsia="Arial" w:hAnsi="Arial"/>
          <w:sz w:val="12"/>
          <w:szCs w:val="12"/>
          <w:color w:val="auto"/>
        </w:rPr>
      </w:pPr>
    </w:p>
    <w:p>
      <w:pPr>
        <w:ind w:left="160" w:right="160" w:firstLine="7"/>
        <w:spacing w:after="0" w:line="279" w:lineRule="auto"/>
        <w:tabs>
          <w:tab w:leader="none" w:pos="417" w:val="left"/>
        </w:tabs>
        <w:numPr>
          <w:ilvl w:val="0"/>
          <w:numId w:val="55"/>
        </w:numPr>
        <w:rPr>
          <w:rFonts w:ascii="Arial" w:cs="Arial" w:eastAsia="Arial" w:hAnsi="Arial"/>
          <w:sz w:val="12"/>
          <w:szCs w:val="12"/>
          <w:color w:val="auto"/>
        </w:rPr>
      </w:pPr>
      <w:r>
        <w:rPr>
          <w:rFonts w:ascii="Arial" w:cs="Arial" w:eastAsia="Arial" w:hAnsi="Arial"/>
          <w:sz w:val="12"/>
          <w:szCs w:val="12"/>
          <w:color w:val="auto"/>
        </w:rPr>
        <w:t>We have selected Adjusted Property EBITDAR as our most important financial measure (that is not otherwise required to be disclosed in this table) used to link ‘compensation actually paid’ to our NEOs to company performance for fiscal year 2024. See the section entitled “2024 Highlights” for a definition of Adjusted Property EBITDAR.</w:t>
      </w:r>
    </w:p>
    <w:p>
      <w:pPr>
        <w:spacing w:after="0" w:line="240" w:lineRule="exact"/>
        <w:rPr>
          <w:sz w:val="20"/>
          <w:szCs w:val="20"/>
          <w:color w:val="auto"/>
        </w:rPr>
      </w:pPr>
    </w:p>
    <w:p>
      <w:pPr>
        <w:ind w:left="160" w:right="1660"/>
        <w:spacing w:after="0" w:line="266" w:lineRule="auto"/>
        <w:rPr>
          <w:sz w:val="20"/>
          <w:szCs w:val="20"/>
          <w:color w:val="auto"/>
        </w:rPr>
      </w:pPr>
      <w:r>
        <w:rPr>
          <w:rFonts w:ascii="Times New Roman" w:cs="Times New Roman" w:eastAsia="Times New Roman" w:hAnsi="Times New Roman"/>
          <w:sz w:val="45"/>
          <w:szCs w:val="45"/>
          <w:color w:val="110F1C"/>
        </w:rPr>
        <w:t>Relationship Between Executive Compensation and Performance</w:t>
      </w:r>
    </w:p>
    <w:p>
      <w:pPr>
        <w:spacing w:after="0" w:line="222" w:lineRule="exact"/>
        <w:rPr>
          <w:sz w:val="20"/>
          <w:szCs w:val="20"/>
          <w:color w:val="auto"/>
        </w:rPr>
      </w:pPr>
    </w:p>
    <w:p>
      <w:pPr>
        <w:ind w:left="160" w:right="220"/>
        <w:spacing w:after="0" w:line="279" w:lineRule="auto"/>
        <w:rPr>
          <w:sz w:val="20"/>
          <w:szCs w:val="20"/>
          <w:color w:val="auto"/>
        </w:rPr>
      </w:pPr>
      <w:r>
        <w:rPr>
          <w:rFonts w:ascii="Arial" w:cs="Arial" w:eastAsia="Arial" w:hAnsi="Arial"/>
          <w:sz w:val="16"/>
          <w:szCs w:val="16"/>
          <w:color w:val="auto"/>
        </w:rPr>
        <w:t>The following chart outlines the relationship among the Company’s key performance metrics and the aggregate “total compensation actually paid” to all NEOs for each applicable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128270</wp:posOffset>
            </wp:positionV>
            <wp:extent cx="6964045" cy="34651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64045" cy="346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11080"/>
          </w:cols>
          <w:pgMar w:left="320" w:top="478" w:right="4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6964045" cy="84753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64045" cy="8475345"/>
                    </a:xfrm>
                    <a:prstGeom prst="rect">
                      <a:avLst/>
                    </a:prstGeom>
                    <a:noFill/>
                  </pic:spPr>
                </pic:pic>
              </a:graphicData>
            </a:graphic>
          </wp:anchor>
        </w:drawing>
      </w:r>
    </w:p>
    <w:p>
      <w:pPr>
        <w:sectPr>
          <w:pgSz w:w="11900" w:h="16838" w:orient="portrait"/>
          <w:cols w:equalWidth="0" w:num="1">
            <w:col w:w="10139"/>
          </w:cols>
          <w:pgMar w:left="320" w:top="47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60"/>
        <w:spacing w:after="0"/>
        <w:rPr>
          <w:sz w:val="20"/>
          <w:szCs w:val="20"/>
          <w:color w:val="auto"/>
        </w:rPr>
      </w:pPr>
      <w:r>
        <w:rPr>
          <w:rFonts w:ascii="Arial" w:cs="Arial" w:eastAsia="Arial" w:hAnsi="Arial"/>
          <w:sz w:val="12"/>
          <w:szCs w:val="12"/>
          <w:color w:val="351B3D"/>
        </w:rPr>
        <w:t>68</w:t>
      </w:r>
    </w:p>
    <w:p>
      <w:pPr>
        <w:sectPr>
          <w:pgSz w:w="11900" w:h="16838" w:orient="portrait"/>
          <w:cols w:equalWidth="0" w:num="1">
            <w:col w:w="10139"/>
          </w:cols>
          <w:pgMar w:left="320" w:top="478" w:right="1440"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45"/>
          <w:szCs w:val="45"/>
          <w:color w:val="110F1C"/>
        </w:rPr>
        <w:t>Pay vs. Performance Tabular List</w:t>
      </w:r>
    </w:p>
    <w:p>
      <w:pPr>
        <w:spacing w:after="0" w:line="344" w:lineRule="exact"/>
        <w:rPr>
          <w:sz w:val="20"/>
          <w:szCs w:val="20"/>
          <w:color w:val="auto"/>
        </w:rPr>
      </w:pPr>
    </w:p>
    <w:p>
      <w:pPr>
        <w:ind w:left="160" w:right="80"/>
        <w:spacing w:after="0" w:line="279" w:lineRule="auto"/>
        <w:rPr>
          <w:sz w:val="20"/>
          <w:szCs w:val="20"/>
          <w:color w:val="auto"/>
        </w:rPr>
      </w:pPr>
      <w:r>
        <w:rPr>
          <w:rFonts w:ascii="Arial" w:cs="Arial" w:eastAsia="Arial" w:hAnsi="Arial"/>
          <w:sz w:val="16"/>
          <w:szCs w:val="16"/>
          <w:color w:val="auto"/>
        </w:rPr>
        <w:t>The table below lists our most important performance measures used to link compensation actually paid for our NEOs to company performance, over the fiscal year ending December 31, 2024. The performance measures included in this table are not ranked by relative importance.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128270</wp:posOffset>
            </wp:positionV>
            <wp:extent cx="6929755" cy="1866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29755" cy="186690"/>
                    </a:xfrm>
                    <a:prstGeom prst="rect">
                      <a:avLst/>
                    </a:prstGeom>
                    <a:noFill/>
                  </pic:spPr>
                </pic:pic>
              </a:graphicData>
            </a:graphic>
          </wp:anchor>
        </w:drawing>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6"/>
          <w:szCs w:val="16"/>
          <w:color w:val="FFFFFF"/>
        </w:rPr>
        <w:t>PERFORMANCE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45085</wp:posOffset>
            </wp:positionV>
            <wp:extent cx="6929755" cy="2546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29755" cy="254635"/>
                    </a:xfrm>
                    <a:prstGeom prst="rect">
                      <a:avLst/>
                    </a:prstGeom>
                    <a:noFill/>
                  </pic:spPr>
                </pic:pic>
              </a:graphicData>
            </a:graphic>
          </wp:anchor>
        </w:drawing>
      </w:r>
    </w:p>
    <w:p>
      <w:pPr>
        <w:spacing w:after="0" w:line="130" w:lineRule="exact"/>
        <w:rPr>
          <w:sz w:val="20"/>
          <w:szCs w:val="20"/>
          <w:color w:val="auto"/>
        </w:rPr>
      </w:pPr>
    </w:p>
    <w:p>
      <w:pPr>
        <w:ind w:left="500" w:hanging="243"/>
        <w:spacing w:after="0"/>
        <w:tabs>
          <w:tab w:leader="none" w:pos="5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Adjusted Property EBITDAR</w:t>
      </w:r>
    </w:p>
    <w:p>
      <w:pPr>
        <w:spacing w:after="0" w:line="217" w:lineRule="exact"/>
        <w:rPr>
          <w:rFonts w:ascii="Arial" w:cs="Arial" w:eastAsia="Arial" w:hAnsi="Arial"/>
          <w:sz w:val="16"/>
          <w:szCs w:val="16"/>
          <w:color w:val="auto"/>
        </w:rPr>
      </w:pPr>
    </w:p>
    <w:p>
      <w:pPr>
        <w:ind w:left="500" w:hanging="243"/>
        <w:spacing w:after="0"/>
        <w:tabs>
          <w:tab w:leader="none" w:pos="5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Market Share of Gross Gaming Revenues</w:t>
      </w:r>
    </w:p>
    <w:p>
      <w:pPr>
        <w:spacing w:after="0" w:line="217" w:lineRule="exact"/>
        <w:rPr>
          <w:rFonts w:ascii="Arial" w:cs="Arial" w:eastAsia="Arial" w:hAnsi="Arial"/>
          <w:sz w:val="16"/>
          <w:szCs w:val="16"/>
          <w:color w:val="auto"/>
        </w:rPr>
      </w:pPr>
    </w:p>
    <w:p>
      <w:pPr>
        <w:ind w:left="500" w:hanging="243"/>
        <w:spacing w:after="0"/>
        <w:tabs>
          <w:tab w:leader="none" w:pos="5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Achievement of Forbes Five-Star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-166370</wp:posOffset>
            </wp:positionV>
            <wp:extent cx="6929755" cy="2546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29755" cy="254635"/>
                    </a:xfrm>
                    <a:prstGeom prst="rect">
                      <a:avLst/>
                    </a:prstGeom>
                    <a:noFill/>
                  </pic:spPr>
                </pic:pic>
              </a:graphicData>
            </a:graphic>
          </wp:anchor>
        </w:drawing>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11080"/>
          </w:cols>
          <w:pgMar w:left="320" w:top="478" w:right="4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45"/>
          <w:szCs w:val="45"/>
          <w:color w:val="140F21"/>
        </w:rPr>
        <w:t>Security Ownership</w:t>
      </w:r>
    </w:p>
    <w:p>
      <w:pPr>
        <w:spacing w:after="0" w:line="344"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CERTAIN BENEFICIAL OWNERSHIP AND MANAGEMENT</w:t>
      </w:r>
    </w:p>
    <w:p>
      <w:pPr>
        <w:spacing w:after="0" w:line="19" w:lineRule="exact"/>
        <w:rPr>
          <w:sz w:val="20"/>
          <w:szCs w:val="20"/>
          <w:color w:val="auto"/>
        </w:rPr>
      </w:pPr>
    </w:p>
    <w:p>
      <w:pPr>
        <w:ind w:left="160" w:right="80"/>
        <w:spacing w:after="0" w:line="246" w:lineRule="auto"/>
        <w:rPr>
          <w:sz w:val="20"/>
          <w:szCs w:val="20"/>
          <w:color w:val="auto"/>
        </w:rPr>
      </w:pPr>
      <w:r>
        <w:rPr>
          <w:rFonts w:ascii="Arial" w:cs="Arial" w:eastAsia="Arial" w:hAnsi="Arial"/>
          <w:sz w:val="16"/>
          <w:szCs w:val="16"/>
          <w:color w:val="auto"/>
        </w:rPr>
        <w:t>The following table sets forth, as of March 5, 2025, (unless otherwise indicated), certain information regarding the shares of Common Stock beneficially owned by: (i) each director and director nominee; (ii) each shareholder who is known by the Company to beneficially own in excess of 5% of the outstanding shares of Common Stock; (iii) each of the Company’s NEOs; and (iv) all executive officers, directors and director nominees as a group. Each shareholder’s beneficial ownership and corresponding percentage includes exercisable stock options, restricted shares and performance stock units that become exercisable or may be settled within 60 days of March 5, 2025, at the discretion of the shareholder. The percentage ownership is based on 106,167,328 shares of Common Stock outstanding as of March 5, 2025, and treats as outstanding all options held by that shareholder and exercisable within 60 days of March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145415</wp:posOffset>
            </wp:positionV>
            <wp:extent cx="6929755" cy="41700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29755" cy="4170045"/>
                    </a:xfrm>
                    <a:prstGeom prst="rect">
                      <a:avLst/>
                    </a:prstGeom>
                    <a:noFill/>
                  </pic:spPr>
                </pic:pic>
              </a:graphicData>
            </a:graphic>
          </wp:anchor>
        </w:drawing>
      </w: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231"/>
        </w:trPr>
        <w:tc>
          <w:tcPr>
            <w:tcW w:w="180" w:type="dxa"/>
            <w:vAlign w:val="bottom"/>
            <w:shd w:val="clear" w:color="auto" w:fill="351B3D"/>
          </w:tcPr>
          <w:p>
            <w:pPr>
              <w:spacing w:after="0"/>
              <w:rPr>
                <w:sz w:val="20"/>
                <w:szCs w:val="20"/>
                <w:color w:val="auto"/>
              </w:rPr>
            </w:pPr>
          </w:p>
        </w:tc>
        <w:tc>
          <w:tcPr>
            <w:tcW w:w="6520" w:type="dxa"/>
            <w:vAlign w:val="bottom"/>
            <w:shd w:val="clear" w:color="auto" w:fill="351B3D"/>
          </w:tcPr>
          <w:p>
            <w:pPr>
              <w:spacing w:after="0"/>
              <w:rPr>
                <w:sz w:val="20"/>
                <w:szCs w:val="20"/>
                <w:color w:val="auto"/>
              </w:rPr>
            </w:pPr>
          </w:p>
        </w:tc>
        <w:tc>
          <w:tcPr>
            <w:tcW w:w="280" w:type="dxa"/>
            <w:vAlign w:val="bottom"/>
            <w:shd w:val="clear" w:color="auto" w:fill="351B3D"/>
          </w:tcPr>
          <w:p>
            <w:pPr>
              <w:ind w:left="180"/>
              <w:spacing w:after="0"/>
              <w:rPr>
                <w:sz w:val="20"/>
                <w:szCs w:val="20"/>
                <w:color w:val="auto"/>
              </w:rPr>
            </w:pPr>
            <w:r>
              <w:rPr>
                <w:rFonts w:ascii="Arial" w:cs="Arial" w:eastAsia="Arial" w:hAnsi="Arial"/>
                <w:sz w:val="11"/>
                <w:szCs w:val="11"/>
                <w:color w:val="FFFFFF"/>
                <w:w w:val="72"/>
              </w:rPr>
              <w:t> </w:t>
            </w:r>
          </w:p>
        </w:tc>
        <w:tc>
          <w:tcPr>
            <w:tcW w:w="3940" w:type="dxa"/>
            <w:vAlign w:val="bottom"/>
            <w:gridSpan w:val="4"/>
            <w:shd w:val="clear" w:color="auto" w:fill="351B3D"/>
          </w:tcPr>
          <w:p>
            <w:pPr>
              <w:jc w:val="right"/>
              <w:ind w:right="20"/>
              <w:spacing w:after="0"/>
              <w:rPr>
                <w:sz w:val="20"/>
                <w:szCs w:val="20"/>
                <w:color w:val="auto"/>
              </w:rPr>
            </w:pPr>
            <w:r>
              <w:rPr>
                <w:rFonts w:ascii="Arial" w:cs="Arial" w:eastAsia="Arial" w:hAnsi="Arial"/>
                <w:sz w:val="16"/>
                <w:szCs w:val="16"/>
                <w:color w:val="FFFFFF"/>
              </w:rPr>
              <w:t xml:space="preserve">     BENEFICIAL OWNERSHIP OF SHARES (1)       </w:t>
            </w:r>
          </w:p>
        </w:tc>
      </w:tr>
      <w:tr>
        <w:trPr>
          <w:trHeight w:val="337"/>
        </w:trPr>
        <w:tc>
          <w:tcPr>
            <w:tcW w:w="6700" w:type="dxa"/>
            <w:vAlign w:val="bottom"/>
            <w:tcBorders>
              <w:bottom w:val="single" w:sz="8" w:color="351B3D"/>
            </w:tcBorders>
            <w:gridSpan w:val="2"/>
            <w:shd w:val="clear" w:color="auto" w:fill="351B3D"/>
          </w:tcPr>
          <w:p>
            <w:pPr>
              <w:ind w:left="80"/>
              <w:spacing w:after="0"/>
              <w:rPr>
                <w:sz w:val="20"/>
                <w:szCs w:val="20"/>
                <w:color w:val="auto"/>
              </w:rPr>
            </w:pPr>
            <w:r>
              <w:rPr>
                <w:rFonts w:ascii="Arial" w:cs="Arial" w:eastAsia="Arial" w:hAnsi="Arial"/>
                <w:sz w:val="16"/>
                <w:szCs w:val="16"/>
                <w:color w:val="FFFFFF"/>
              </w:rPr>
              <w:t>NAME AND ADDRESS OF BENEFICIAL OWNER (2)</w:t>
            </w:r>
          </w:p>
        </w:tc>
        <w:tc>
          <w:tcPr>
            <w:tcW w:w="280" w:type="dxa"/>
            <w:vAlign w:val="bottom"/>
            <w:tcBorders>
              <w:bottom w:val="single" w:sz="8" w:color="351B3D"/>
            </w:tcBorders>
            <w:shd w:val="clear" w:color="auto" w:fill="351B3D"/>
          </w:tcPr>
          <w:p>
            <w:pPr>
              <w:spacing w:after="0"/>
              <w:rPr>
                <w:sz w:val="24"/>
                <w:szCs w:val="24"/>
                <w:color w:val="auto"/>
              </w:rPr>
            </w:pPr>
          </w:p>
        </w:tc>
        <w:tc>
          <w:tcPr>
            <w:tcW w:w="1520" w:type="dxa"/>
            <w:vAlign w:val="bottom"/>
            <w:tcBorders>
              <w:bottom w:val="single" w:sz="8" w:color="351B3D"/>
            </w:tcBorders>
            <w:shd w:val="clear" w:color="auto" w:fill="351B3D"/>
          </w:tcPr>
          <w:p>
            <w:pPr>
              <w:jc w:val="right"/>
              <w:ind w:right="100"/>
              <w:spacing w:after="0"/>
              <w:rPr>
                <w:sz w:val="20"/>
                <w:szCs w:val="20"/>
                <w:color w:val="auto"/>
              </w:rPr>
            </w:pPr>
            <w:r>
              <w:rPr>
                <w:rFonts w:ascii="Arial" w:cs="Arial" w:eastAsia="Arial" w:hAnsi="Arial"/>
                <w:sz w:val="16"/>
                <w:szCs w:val="16"/>
                <w:color w:val="FFFFFF"/>
              </w:rPr>
              <w:t>NUMBER</w:t>
            </w:r>
          </w:p>
        </w:tc>
        <w:tc>
          <w:tcPr>
            <w:tcW w:w="160" w:type="dxa"/>
            <w:vAlign w:val="bottom"/>
            <w:tcBorders>
              <w:bottom w:val="single" w:sz="8" w:color="351B3D"/>
            </w:tcBorders>
            <w:shd w:val="clear" w:color="auto" w:fill="351B3D"/>
          </w:tcPr>
          <w:p>
            <w:pPr>
              <w:spacing w:after="0"/>
              <w:rPr>
                <w:sz w:val="24"/>
                <w:szCs w:val="24"/>
                <w:color w:val="auto"/>
              </w:rPr>
            </w:pPr>
          </w:p>
        </w:tc>
        <w:tc>
          <w:tcPr>
            <w:tcW w:w="580" w:type="dxa"/>
            <w:vAlign w:val="bottom"/>
            <w:tcBorders>
              <w:bottom w:val="single" w:sz="8" w:color="351B3D"/>
            </w:tcBorders>
            <w:shd w:val="clear" w:color="auto" w:fill="351B3D"/>
          </w:tcPr>
          <w:p>
            <w:pPr>
              <w:spacing w:after="0"/>
              <w:rPr>
                <w:sz w:val="24"/>
                <w:szCs w:val="24"/>
                <w:color w:val="auto"/>
              </w:rPr>
            </w:pPr>
          </w:p>
        </w:tc>
        <w:tc>
          <w:tcPr>
            <w:tcW w:w="1680" w:type="dxa"/>
            <w:vAlign w:val="bottom"/>
            <w:tcBorders>
              <w:bottom w:val="single" w:sz="8" w:color="351B3D"/>
            </w:tcBorders>
            <w:shd w:val="clear" w:color="auto" w:fill="351B3D"/>
          </w:tcPr>
          <w:p>
            <w:pPr>
              <w:jc w:val="right"/>
              <w:ind w:right="140"/>
              <w:spacing w:after="0"/>
              <w:rPr>
                <w:sz w:val="20"/>
                <w:szCs w:val="20"/>
                <w:color w:val="auto"/>
              </w:rPr>
            </w:pPr>
            <w:r>
              <w:rPr>
                <w:rFonts w:ascii="Arial" w:cs="Arial" w:eastAsia="Arial" w:hAnsi="Arial"/>
                <w:sz w:val="16"/>
                <w:szCs w:val="16"/>
                <w:color w:val="FFFFFF"/>
              </w:rPr>
              <w:t>PERCENTAGE</w:t>
            </w:r>
          </w:p>
        </w:tc>
      </w:tr>
      <w:tr>
        <w:trPr>
          <w:trHeight w:val="288"/>
        </w:trPr>
        <w:tc>
          <w:tcPr>
            <w:tcW w:w="6700" w:type="dxa"/>
            <w:vAlign w:val="bottom"/>
            <w:tcBorders>
              <w:bottom w:val="single" w:sz="8" w:color="D6D1D8"/>
            </w:tcBorders>
            <w:gridSpan w:val="2"/>
            <w:shd w:val="clear" w:color="auto" w:fill="D6D1D8"/>
          </w:tcPr>
          <w:p>
            <w:pPr>
              <w:ind w:left="80"/>
              <w:spacing w:after="0"/>
              <w:rPr>
                <w:sz w:val="20"/>
                <w:szCs w:val="20"/>
                <w:color w:val="auto"/>
              </w:rPr>
            </w:pPr>
            <w:r>
              <w:rPr>
                <w:rFonts w:ascii="Arial" w:cs="Arial" w:eastAsia="Arial" w:hAnsi="Arial"/>
                <w:sz w:val="16"/>
                <w:szCs w:val="16"/>
                <w:color w:val="auto"/>
              </w:rPr>
              <w:t>5% Shareholders:</w:t>
            </w:r>
          </w:p>
        </w:tc>
        <w:tc>
          <w:tcPr>
            <w:tcW w:w="280" w:type="dxa"/>
            <w:vAlign w:val="bottom"/>
            <w:tcBorders>
              <w:bottom w:val="single" w:sz="8" w:color="D6D1D8"/>
            </w:tcBorders>
            <w:shd w:val="clear" w:color="auto" w:fill="D6D1D8"/>
          </w:tcPr>
          <w:p>
            <w:pPr>
              <w:spacing w:after="0"/>
              <w:rPr>
                <w:sz w:val="24"/>
                <w:szCs w:val="24"/>
                <w:color w:val="auto"/>
              </w:rPr>
            </w:pPr>
          </w:p>
        </w:tc>
        <w:tc>
          <w:tcPr>
            <w:tcW w:w="1520" w:type="dxa"/>
            <w:vAlign w:val="bottom"/>
            <w:tcBorders>
              <w:bottom w:val="single" w:sz="8" w:color="D6D1D8"/>
            </w:tcBorders>
            <w:shd w:val="clear" w:color="auto" w:fill="D6D1D8"/>
          </w:tcPr>
          <w:p>
            <w:pPr>
              <w:spacing w:after="0"/>
              <w:rPr>
                <w:sz w:val="24"/>
                <w:szCs w:val="24"/>
                <w:color w:val="auto"/>
              </w:rPr>
            </w:pPr>
          </w:p>
        </w:tc>
        <w:tc>
          <w:tcPr>
            <w:tcW w:w="160" w:type="dxa"/>
            <w:vAlign w:val="bottom"/>
            <w:tcBorders>
              <w:bottom w:val="single" w:sz="8" w:color="D6D1D8"/>
            </w:tcBorders>
            <w:shd w:val="clear" w:color="auto" w:fill="D6D1D8"/>
          </w:tcPr>
          <w:p>
            <w:pPr>
              <w:spacing w:after="0"/>
              <w:rPr>
                <w:sz w:val="24"/>
                <w:szCs w:val="24"/>
                <w:color w:val="auto"/>
              </w:rPr>
            </w:pPr>
          </w:p>
        </w:tc>
        <w:tc>
          <w:tcPr>
            <w:tcW w:w="580" w:type="dxa"/>
            <w:vAlign w:val="bottom"/>
            <w:tcBorders>
              <w:bottom w:val="single" w:sz="8" w:color="D6D1D8"/>
            </w:tcBorders>
            <w:shd w:val="clear" w:color="auto" w:fill="D6D1D8"/>
          </w:tcPr>
          <w:p>
            <w:pPr>
              <w:spacing w:after="0"/>
              <w:rPr>
                <w:sz w:val="24"/>
                <w:szCs w:val="24"/>
                <w:color w:val="auto"/>
              </w:rPr>
            </w:pPr>
          </w:p>
        </w:tc>
        <w:tc>
          <w:tcPr>
            <w:tcW w:w="1680" w:type="dxa"/>
            <w:vAlign w:val="bottom"/>
            <w:tcBorders>
              <w:bottom w:val="single" w:sz="8" w:color="D6D1D8"/>
            </w:tcBorders>
            <w:shd w:val="clear" w:color="auto" w:fill="D6D1D8"/>
          </w:tcPr>
          <w:p>
            <w:pPr>
              <w:spacing w:after="0"/>
              <w:rPr>
                <w:sz w:val="24"/>
                <w:szCs w:val="24"/>
                <w:color w:val="auto"/>
              </w:rPr>
            </w:pPr>
          </w:p>
        </w:tc>
      </w:tr>
      <w:tr>
        <w:trPr>
          <w:trHeight w:val="227"/>
        </w:trPr>
        <w:tc>
          <w:tcPr>
            <w:tcW w:w="6980" w:type="dxa"/>
            <w:vAlign w:val="bottom"/>
            <w:gridSpan w:val="3"/>
          </w:tcPr>
          <w:p>
            <w:pPr>
              <w:ind w:left="80"/>
              <w:spacing w:after="0"/>
              <w:rPr>
                <w:sz w:val="20"/>
                <w:szCs w:val="20"/>
                <w:color w:val="auto"/>
              </w:rPr>
            </w:pPr>
            <w:r>
              <w:rPr>
                <w:rFonts w:ascii="Arial" w:cs="Arial" w:eastAsia="Arial" w:hAnsi="Arial"/>
                <w:sz w:val="16"/>
                <w:szCs w:val="16"/>
                <w:color w:val="auto"/>
              </w:rPr>
              <w:t>Tilman J. Fertitta (3)(4)</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187"/>
        </w:trPr>
        <w:tc>
          <w:tcPr>
            <w:tcW w:w="6980" w:type="dxa"/>
            <w:vAlign w:val="bottom"/>
            <w:gridSpan w:val="3"/>
          </w:tcPr>
          <w:p>
            <w:pPr>
              <w:ind w:left="80"/>
              <w:spacing w:after="0"/>
              <w:rPr>
                <w:sz w:val="20"/>
                <w:szCs w:val="20"/>
                <w:color w:val="auto"/>
              </w:rPr>
            </w:pPr>
            <w:r>
              <w:rPr>
                <w:rFonts w:ascii="Arial" w:cs="Arial" w:eastAsia="Arial" w:hAnsi="Arial"/>
                <w:sz w:val="16"/>
                <w:szCs w:val="16"/>
                <w:color w:val="auto"/>
              </w:rPr>
              <w:t>   c/o Fertitta Entertainment, Inc.</w:t>
            </w: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87"/>
        </w:trPr>
        <w:tc>
          <w:tcPr>
            <w:tcW w:w="6980" w:type="dxa"/>
            <w:vAlign w:val="bottom"/>
            <w:gridSpan w:val="3"/>
          </w:tcPr>
          <w:p>
            <w:pPr>
              <w:ind w:left="80"/>
              <w:spacing w:after="0"/>
              <w:rPr>
                <w:sz w:val="20"/>
                <w:szCs w:val="20"/>
                <w:color w:val="auto"/>
              </w:rPr>
            </w:pPr>
            <w:r>
              <w:rPr>
                <w:rFonts w:ascii="Arial" w:cs="Arial" w:eastAsia="Arial" w:hAnsi="Arial"/>
                <w:sz w:val="16"/>
                <w:szCs w:val="16"/>
                <w:color w:val="auto"/>
              </w:rPr>
              <w:t>   1510 West Loop South</w:t>
            </w: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25"/>
        </w:trPr>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6800" w:type="dxa"/>
            <w:vAlign w:val="bottom"/>
            <w:gridSpan w:val="2"/>
          </w:tcPr>
          <w:p>
            <w:pPr>
              <w:ind w:left="60"/>
              <w:spacing w:after="0"/>
              <w:rPr>
                <w:sz w:val="20"/>
                <w:szCs w:val="20"/>
                <w:color w:val="auto"/>
              </w:rPr>
            </w:pPr>
            <w:r>
              <w:rPr>
                <w:rFonts w:ascii="Arial" w:cs="Arial" w:eastAsia="Arial" w:hAnsi="Arial"/>
                <w:sz w:val="16"/>
                <w:szCs w:val="16"/>
                <w:color w:val="auto"/>
              </w:rPr>
              <w:t>Houston, TX 77027</w:t>
            </w:r>
          </w:p>
        </w:tc>
        <w:tc>
          <w:tcPr>
            <w:tcW w:w="1520" w:type="dxa"/>
            <w:vAlign w:val="bottom"/>
          </w:tcPr>
          <w:p>
            <w:pPr>
              <w:jc w:val="right"/>
              <w:spacing w:after="0"/>
              <w:rPr>
                <w:sz w:val="20"/>
                <w:szCs w:val="20"/>
                <w:color w:val="auto"/>
              </w:rPr>
            </w:pPr>
            <w:r>
              <w:rPr>
                <w:rFonts w:ascii="Arial" w:cs="Arial" w:eastAsia="Arial" w:hAnsi="Arial"/>
                <w:sz w:val="16"/>
                <w:szCs w:val="16"/>
                <w:color w:val="auto"/>
              </w:rPr>
              <w:t>12,583,500 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580" w:type="dxa"/>
            <w:vAlign w:val="bottom"/>
          </w:tcPr>
          <w:p>
            <w:pPr>
              <w:ind w:left="60"/>
              <w:spacing w:after="0"/>
              <w:rPr>
                <w:sz w:val="20"/>
                <w:szCs w:val="20"/>
                <w:color w:val="auto"/>
              </w:rPr>
            </w:pPr>
            <w:r>
              <w:rPr>
                <w:rFonts w:ascii="Arial" w:cs="Arial" w:eastAsia="Arial" w:hAnsi="Arial"/>
                <w:sz w:val="16"/>
                <w:szCs w:val="16"/>
                <w:color w:val="auto"/>
              </w:rPr>
              <w:t xml:space="preserve">   </w:t>
            </w:r>
          </w:p>
        </w:tc>
        <w:tc>
          <w:tcPr>
            <w:tcW w:w="1680" w:type="dxa"/>
            <w:vAlign w:val="bottom"/>
          </w:tcPr>
          <w:p>
            <w:pPr>
              <w:jc w:val="right"/>
              <w:ind w:right="240"/>
              <w:spacing w:after="0"/>
              <w:rPr>
                <w:sz w:val="20"/>
                <w:szCs w:val="20"/>
                <w:color w:val="auto"/>
              </w:rPr>
            </w:pPr>
            <w:r>
              <w:rPr>
                <w:rFonts w:ascii="Arial" w:cs="Arial" w:eastAsia="Arial" w:hAnsi="Arial"/>
                <w:sz w:val="16"/>
                <w:szCs w:val="16"/>
                <w:color w:val="auto"/>
              </w:rPr>
              <w:t>11.85%</w:t>
            </w:r>
          </w:p>
        </w:tc>
      </w:tr>
      <w:tr>
        <w:trPr>
          <w:trHeight w:val="44"/>
        </w:trPr>
        <w:tc>
          <w:tcPr>
            <w:tcW w:w="6980" w:type="dxa"/>
            <w:vAlign w:val="bottom"/>
            <w:gridSpan w:val="3"/>
          </w:tcPr>
          <w:p>
            <w:pPr>
              <w:spacing w:after="0"/>
              <w:rPr>
                <w:sz w:val="3"/>
                <w:szCs w:val="3"/>
                <w:color w:val="auto"/>
              </w:rPr>
            </w:pPr>
          </w:p>
        </w:tc>
        <w:tc>
          <w:tcPr>
            <w:tcW w:w="1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27"/>
        </w:trPr>
        <w:tc>
          <w:tcPr>
            <w:tcW w:w="6700" w:type="dxa"/>
            <w:vAlign w:val="bottom"/>
            <w:gridSpan w:val="2"/>
            <w:shd w:val="clear" w:color="auto" w:fill="D6D1D8"/>
          </w:tcPr>
          <w:p>
            <w:pPr>
              <w:ind w:left="80"/>
              <w:spacing w:after="0"/>
              <w:rPr>
                <w:sz w:val="20"/>
                <w:szCs w:val="20"/>
                <w:color w:val="auto"/>
              </w:rPr>
            </w:pPr>
            <w:r>
              <w:rPr>
                <w:rFonts w:ascii="Arial" w:cs="Arial" w:eastAsia="Arial" w:hAnsi="Arial"/>
                <w:sz w:val="16"/>
                <w:szCs w:val="16"/>
                <w:color w:val="auto"/>
              </w:rPr>
              <w:t>The Vanguard Group (5)</w:t>
            </w:r>
          </w:p>
        </w:tc>
        <w:tc>
          <w:tcPr>
            <w:tcW w:w="280" w:type="dxa"/>
            <w:vAlign w:val="bottom"/>
            <w:shd w:val="clear" w:color="auto" w:fill="D6D1D8"/>
          </w:tcPr>
          <w:p>
            <w:pPr>
              <w:spacing w:after="0"/>
              <w:rPr>
                <w:sz w:val="19"/>
                <w:szCs w:val="19"/>
                <w:color w:val="auto"/>
              </w:rPr>
            </w:pPr>
          </w:p>
        </w:tc>
        <w:tc>
          <w:tcPr>
            <w:tcW w:w="1520" w:type="dxa"/>
            <w:vAlign w:val="bottom"/>
            <w:shd w:val="clear" w:color="auto" w:fill="D6D1D8"/>
          </w:tcPr>
          <w:p>
            <w:pPr>
              <w:spacing w:after="0"/>
              <w:rPr>
                <w:sz w:val="19"/>
                <w:szCs w:val="19"/>
                <w:color w:val="auto"/>
              </w:rPr>
            </w:pPr>
          </w:p>
        </w:tc>
        <w:tc>
          <w:tcPr>
            <w:tcW w:w="160" w:type="dxa"/>
            <w:vAlign w:val="bottom"/>
            <w:shd w:val="clear" w:color="auto" w:fill="D6D1D8"/>
          </w:tcPr>
          <w:p>
            <w:pPr>
              <w:spacing w:after="0"/>
              <w:rPr>
                <w:sz w:val="19"/>
                <w:szCs w:val="19"/>
                <w:color w:val="auto"/>
              </w:rPr>
            </w:pPr>
          </w:p>
        </w:tc>
        <w:tc>
          <w:tcPr>
            <w:tcW w:w="580" w:type="dxa"/>
            <w:vAlign w:val="bottom"/>
            <w:shd w:val="clear" w:color="auto" w:fill="D6D1D8"/>
          </w:tcPr>
          <w:p>
            <w:pPr>
              <w:spacing w:after="0"/>
              <w:rPr>
                <w:sz w:val="19"/>
                <w:szCs w:val="19"/>
                <w:color w:val="auto"/>
              </w:rPr>
            </w:pPr>
          </w:p>
        </w:tc>
        <w:tc>
          <w:tcPr>
            <w:tcW w:w="1680" w:type="dxa"/>
            <w:vAlign w:val="bottom"/>
            <w:shd w:val="clear" w:color="auto" w:fill="D6D1D8"/>
          </w:tcPr>
          <w:p>
            <w:pPr>
              <w:spacing w:after="0"/>
              <w:rPr>
                <w:sz w:val="19"/>
                <w:szCs w:val="19"/>
                <w:color w:val="auto"/>
              </w:rPr>
            </w:pPr>
          </w:p>
        </w:tc>
      </w:tr>
      <w:tr>
        <w:trPr>
          <w:trHeight w:val="187"/>
        </w:trPr>
        <w:tc>
          <w:tcPr>
            <w:tcW w:w="180" w:type="dxa"/>
            <w:vAlign w:val="bottom"/>
            <w:shd w:val="clear" w:color="auto" w:fill="D6D1D8"/>
          </w:tcPr>
          <w:p>
            <w:pPr>
              <w:ind w:left="80"/>
              <w:spacing w:after="0"/>
              <w:rPr>
                <w:sz w:val="20"/>
                <w:szCs w:val="20"/>
                <w:color w:val="auto"/>
              </w:rPr>
            </w:pPr>
            <w:r>
              <w:rPr>
                <w:rFonts w:ascii="Arial" w:cs="Arial" w:eastAsia="Arial" w:hAnsi="Arial"/>
                <w:sz w:val="11"/>
                <w:szCs w:val="11"/>
                <w:color w:val="auto"/>
                <w:w w:val="72"/>
              </w:rPr>
              <w:t> </w:t>
            </w:r>
          </w:p>
        </w:tc>
        <w:tc>
          <w:tcPr>
            <w:tcW w:w="6520" w:type="dxa"/>
            <w:vAlign w:val="bottom"/>
            <w:shd w:val="clear" w:color="auto" w:fill="D6D1D8"/>
          </w:tcPr>
          <w:p>
            <w:pPr>
              <w:ind w:left="60"/>
              <w:spacing w:after="0"/>
              <w:rPr>
                <w:sz w:val="20"/>
                <w:szCs w:val="20"/>
                <w:color w:val="auto"/>
              </w:rPr>
            </w:pPr>
            <w:r>
              <w:rPr>
                <w:rFonts w:ascii="Arial" w:cs="Arial" w:eastAsia="Arial" w:hAnsi="Arial"/>
                <w:sz w:val="16"/>
                <w:szCs w:val="16"/>
                <w:color w:val="auto"/>
              </w:rPr>
              <w:t>100 Vanguard Blvd.</w:t>
            </w:r>
          </w:p>
        </w:tc>
        <w:tc>
          <w:tcPr>
            <w:tcW w:w="280" w:type="dxa"/>
            <w:vAlign w:val="bottom"/>
            <w:shd w:val="clear" w:color="auto" w:fill="D6D1D8"/>
          </w:tcPr>
          <w:p>
            <w:pPr>
              <w:spacing w:after="0"/>
              <w:rPr>
                <w:sz w:val="16"/>
                <w:szCs w:val="16"/>
                <w:color w:val="auto"/>
              </w:rPr>
            </w:pPr>
          </w:p>
        </w:tc>
        <w:tc>
          <w:tcPr>
            <w:tcW w:w="1520" w:type="dxa"/>
            <w:vAlign w:val="bottom"/>
            <w:shd w:val="clear" w:color="auto" w:fill="D6D1D8"/>
          </w:tcPr>
          <w:p>
            <w:pPr>
              <w:spacing w:after="0"/>
              <w:rPr>
                <w:sz w:val="16"/>
                <w:szCs w:val="16"/>
                <w:color w:val="auto"/>
              </w:rPr>
            </w:pPr>
          </w:p>
        </w:tc>
        <w:tc>
          <w:tcPr>
            <w:tcW w:w="160" w:type="dxa"/>
            <w:vAlign w:val="bottom"/>
            <w:shd w:val="clear" w:color="auto" w:fill="D6D1D8"/>
          </w:tcPr>
          <w:p>
            <w:pPr>
              <w:spacing w:after="0"/>
              <w:rPr>
                <w:sz w:val="16"/>
                <w:szCs w:val="16"/>
                <w:color w:val="auto"/>
              </w:rPr>
            </w:pPr>
          </w:p>
        </w:tc>
        <w:tc>
          <w:tcPr>
            <w:tcW w:w="580" w:type="dxa"/>
            <w:vAlign w:val="bottom"/>
            <w:shd w:val="clear" w:color="auto" w:fill="D6D1D8"/>
          </w:tcPr>
          <w:p>
            <w:pPr>
              <w:spacing w:after="0"/>
              <w:rPr>
                <w:sz w:val="16"/>
                <w:szCs w:val="16"/>
                <w:color w:val="auto"/>
              </w:rPr>
            </w:pPr>
          </w:p>
        </w:tc>
        <w:tc>
          <w:tcPr>
            <w:tcW w:w="1680" w:type="dxa"/>
            <w:vAlign w:val="bottom"/>
            <w:shd w:val="clear" w:color="auto" w:fill="D6D1D8"/>
          </w:tcPr>
          <w:p>
            <w:pPr>
              <w:spacing w:after="0"/>
              <w:rPr>
                <w:sz w:val="16"/>
                <w:szCs w:val="16"/>
                <w:color w:val="auto"/>
              </w:rPr>
            </w:pPr>
          </w:p>
        </w:tc>
      </w:tr>
      <w:tr>
        <w:trPr>
          <w:trHeight w:val="248"/>
        </w:trPr>
        <w:tc>
          <w:tcPr>
            <w:tcW w:w="180" w:type="dxa"/>
            <w:vAlign w:val="bottom"/>
            <w:tcBorders>
              <w:bottom w:val="single" w:sz="8" w:color="D6D1D8"/>
            </w:tcBorders>
            <w:shd w:val="clear" w:color="auto" w:fill="D6D1D8"/>
          </w:tcPr>
          <w:p>
            <w:pPr>
              <w:ind w:left="80"/>
              <w:spacing w:after="0"/>
              <w:rPr>
                <w:sz w:val="20"/>
                <w:szCs w:val="20"/>
                <w:color w:val="auto"/>
              </w:rPr>
            </w:pPr>
            <w:r>
              <w:rPr>
                <w:rFonts w:ascii="Arial" w:cs="Arial" w:eastAsia="Arial" w:hAnsi="Arial"/>
                <w:sz w:val="11"/>
                <w:szCs w:val="11"/>
                <w:color w:val="auto"/>
                <w:w w:val="72"/>
              </w:rPr>
              <w:t> </w:t>
            </w:r>
          </w:p>
        </w:tc>
        <w:tc>
          <w:tcPr>
            <w:tcW w:w="6520" w:type="dxa"/>
            <w:vAlign w:val="bottom"/>
            <w:tcBorders>
              <w:bottom w:val="single" w:sz="8" w:color="D6D1D8"/>
            </w:tcBorders>
            <w:shd w:val="clear" w:color="auto" w:fill="D6D1D8"/>
          </w:tcPr>
          <w:p>
            <w:pPr>
              <w:ind w:left="60"/>
              <w:spacing w:after="0"/>
              <w:rPr>
                <w:sz w:val="20"/>
                <w:szCs w:val="20"/>
                <w:color w:val="auto"/>
              </w:rPr>
            </w:pPr>
            <w:r>
              <w:rPr>
                <w:rFonts w:ascii="Arial" w:cs="Arial" w:eastAsia="Arial" w:hAnsi="Arial"/>
                <w:sz w:val="16"/>
                <w:szCs w:val="16"/>
                <w:color w:val="auto"/>
              </w:rPr>
              <w:t>Malvern, PA 19355</w:t>
            </w:r>
          </w:p>
        </w:tc>
        <w:tc>
          <w:tcPr>
            <w:tcW w:w="280" w:type="dxa"/>
            <w:vAlign w:val="bottom"/>
            <w:tcBorders>
              <w:bottom w:val="single" w:sz="8" w:color="D6D1D8"/>
            </w:tcBorders>
            <w:shd w:val="clear" w:color="auto" w:fill="D6D1D8"/>
          </w:tcPr>
          <w:p>
            <w:pPr>
              <w:spacing w:after="0"/>
              <w:rPr>
                <w:sz w:val="21"/>
                <w:szCs w:val="21"/>
                <w:color w:val="auto"/>
              </w:rPr>
            </w:pPr>
          </w:p>
        </w:tc>
        <w:tc>
          <w:tcPr>
            <w:tcW w:w="1520" w:type="dxa"/>
            <w:vAlign w:val="bottom"/>
            <w:tcBorders>
              <w:bottom w:val="single" w:sz="8" w:color="D6D1D8"/>
            </w:tcBorders>
            <w:shd w:val="clear" w:color="auto" w:fill="D6D1D8"/>
          </w:tcPr>
          <w:p>
            <w:pPr>
              <w:jc w:val="right"/>
              <w:spacing w:after="0"/>
              <w:rPr>
                <w:sz w:val="20"/>
                <w:szCs w:val="20"/>
                <w:color w:val="auto"/>
              </w:rPr>
            </w:pPr>
            <w:r>
              <w:rPr>
                <w:rFonts w:ascii="Arial" w:cs="Arial" w:eastAsia="Arial" w:hAnsi="Arial"/>
                <w:sz w:val="16"/>
                <w:szCs w:val="16"/>
                <w:color w:val="auto"/>
              </w:rPr>
              <w:t>10,862,024 </w:t>
            </w:r>
          </w:p>
        </w:tc>
        <w:tc>
          <w:tcPr>
            <w:tcW w:w="160" w:type="dxa"/>
            <w:vAlign w:val="bottom"/>
            <w:tcBorders>
              <w:bottom w:val="single" w:sz="8" w:color="D6D1D8"/>
            </w:tcBorders>
            <w:shd w:val="clear" w:color="auto" w:fill="D6D1D8"/>
          </w:tcPr>
          <w:p>
            <w:pPr>
              <w:ind w:left="60"/>
              <w:spacing w:after="0"/>
              <w:rPr>
                <w:sz w:val="20"/>
                <w:szCs w:val="20"/>
                <w:color w:val="auto"/>
              </w:rPr>
            </w:pPr>
            <w:r>
              <w:rPr>
                <w:rFonts w:ascii="Arial" w:cs="Arial" w:eastAsia="Arial" w:hAnsi="Arial"/>
                <w:sz w:val="11"/>
                <w:szCs w:val="11"/>
                <w:color w:val="auto"/>
                <w:w w:val="72"/>
              </w:rPr>
              <w:t> </w:t>
            </w:r>
          </w:p>
        </w:tc>
        <w:tc>
          <w:tcPr>
            <w:tcW w:w="580" w:type="dxa"/>
            <w:vAlign w:val="bottom"/>
            <w:tcBorders>
              <w:bottom w:val="single" w:sz="8" w:color="D6D1D8"/>
            </w:tcBorders>
            <w:shd w:val="clear" w:color="auto" w:fill="D6D1D8"/>
          </w:tcPr>
          <w:p>
            <w:pPr>
              <w:ind w:left="60"/>
              <w:spacing w:after="0"/>
              <w:rPr>
                <w:sz w:val="20"/>
                <w:szCs w:val="20"/>
                <w:color w:val="auto"/>
              </w:rPr>
            </w:pPr>
            <w:r>
              <w:rPr>
                <w:rFonts w:ascii="Arial" w:cs="Arial" w:eastAsia="Arial" w:hAnsi="Arial"/>
                <w:sz w:val="16"/>
                <w:szCs w:val="16"/>
                <w:color w:val="auto"/>
              </w:rPr>
              <w:t xml:space="preserve">   </w:t>
            </w:r>
          </w:p>
        </w:tc>
        <w:tc>
          <w:tcPr>
            <w:tcW w:w="1680" w:type="dxa"/>
            <w:vAlign w:val="bottom"/>
            <w:tcBorders>
              <w:bottom w:val="single" w:sz="8" w:color="D6D1D8"/>
            </w:tcBorders>
            <w:shd w:val="clear" w:color="auto" w:fill="D6D1D8"/>
          </w:tcPr>
          <w:p>
            <w:pPr>
              <w:jc w:val="right"/>
              <w:ind w:right="240"/>
              <w:spacing w:after="0"/>
              <w:rPr>
                <w:sz w:val="20"/>
                <w:szCs w:val="20"/>
                <w:color w:val="auto"/>
              </w:rPr>
            </w:pPr>
            <w:r>
              <w:rPr>
                <w:rFonts w:ascii="Arial" w:cs="Arial" w:eastAsia="Arial" w:hAnsi="Arial"/>
                <w:sz w:val="16"/>
                <w:szCs w:val="16"/>
                <w:color w:val="auto"/>
              </w:rPr>
              <w:t>10.23%</w:t>
            </w:r>
          </w:p>
        </w:tc>
      </w:tr>
      <w:tr>
        <w:trPr>
          <w:trHeight w:val="227"/>
        </w:trPr>
        <w:tc>
          <w:tcPr>
            <w:tcW w:w="6980" w:type="dxa"/>
            <w:vAlign w:val="bottom"/>
            <w:gridSpan w:val="3"/>
          </w:tcPr>
          <w:p>
            <w:pPr>
              <w:ind w:left="80"/>
              <w:spacing w:after="0"/>
              <w:rPr>
                <w:sz w:val="20"/>
                <w:szCs w:val="20"/>
                <w:color w:val="auto"/>
              </w:rPr>
            </w:pPr>
            <w:r>
              <w:rPr>
                <w:rFonts w:ascii="Arial" w:cs="Arial" w:eastAsia="Arial" w:hAnsi="Arial"/>
                <w:sz w:val="16"/>
                <w:szCs w:val="16"/>
                <w:color w:val="auto"/>
              </w:rPr>
              <w:t>Elaine P. Wynn (6)</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187"/>
        </w:trPr>
        <w:tc>
          <w:tcPr>
            <w:tcW w:w="6980" w:type="dxa"/>
            <w:vAlign w:val="bottom"/>
            <w:gridSpan w:val="3"/>
          </w:tcPr>
          <w:p>
            <w:pPr>
              <w:ind w:left="80"/>
              <w:spacing w:after="0"/>
              <w:rPr>
                <w:sz w:val="20"/>
                <w:szCs w:val="20"/>
                <w:color w:val="auto"/>
              </w:rPr>
            </w:pPr>
            <w:r>
              <w:rPr>
                <w:rFonts w:ascii="Arial" w:cs="Arial" w:eastAsia="Arial" w:hAnsi="Arial"/>
                <w:sz w:val="16"/>
                <w:szCs w:val="16"/>
                <w:color w:val="auto"/>
              </w:rPr>
              <w:t>   c/o Elaine P. Wynn and Family Foundation</w:t>
            </w: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87"/>
        </w:trPr>
        <w:tc>
          <w:tcPr>
            <w:tcW w:w="6980" w:type="dxa"/>
            <w:vAlign w:val="bottom"/>
            <w:gridSpan w:val="3"/>
          </w:tcPr>
          <w:p>
            <w:pPr>
              <w:ind w:left="80"/>
              <w:spacing w:after="0"/>
              <w:rPr>
                <w:sz w:val="20"/>
                <w:szCs w:val="20"/>
                <w:color w:val="auto"/>
              </w:rPr>
            </w:pPr>
            <w:r>
              <w:rPr>
                <w:rFonts w:ascii="Arial" w:cs="Arial" w:eastAsia="Arial" w:hAnsi="Arial"/>
                <w:sz w:val="16"/>
                <w:szCs w:val="16"/>
                <w:color w:val="auto"/>
              </w:rPr>
              <w:t>   3800 Howard Hughes Parkway</w:t>
            </w: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87"/>
        </w:trPr>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6800" w:type="dxa"/>
            <w:vAlign w:val="bottom"/>
            <w:gridSpan w:val="2"/>
          </w:tcPr>
          <w:p>
            <w:pPr>
              <w:ind w:left="60"/>
              <w:spacing w:after="0"/>
              <w:rPr>
                <w:sz w:val="20"/>
                <w:szCs w:val="20"/>
                <w:color w:val="auto"/>
              </w:rPr>
            </w:pPr>
            <w:r>
              <w:rPr>
                <w:rFonts w:ascii="Arial" w:cs="Arial" w:eastAsia="Arial" w:hAnsi="Arial"/>
                <w:sz w:val="16"/>
                <w:szCs w:val="16"/>
                <w:color w:val="auto"/>
              </w:rPr>
              <w:t>Suite 960</w:t>
            </w: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25"/>
        </w:trPr>
        <w:tc>
          <w:tcPr>
            <w:tcW w:w="6980" w:type="dxa"/>
            <w:vAlign w:val="bottom"/>
            <w:gridSpan w:val="3"/>
          </w:tcPr>
          <w:p>
            <w:pPr>
              <w:ind w:left="80"/>
              <w:spacing w:after="0"/>
              <w:rPr>
                <w:sz w:val="20"/>
                <w:szCs w:val="20"/>
                <w:color w:val="auto"/>
              </w:rPr>
            </w:pPr>
            <w:r>
              <w:rPr>
                <w:rFonts w:ascii="Arial" w:cs="Arial" w:eastAsia="Arial" w:hAnsi="Arial"/>
                <w:sz w:val="16"/>
                <w:szCs w:val="16"/>
                <w:color w:val="auto"/>
              </w:rPr>
              <w:t>   Las Vegas, NV 89169</w:t>
            </w:r>
          </w:p>
        </w:tc>
        <w:tc>
          <w:tcPr>
            <w:tcW w:w="1520" w:type="dxa"/>
            <w:vAlign w:val="bottom"/>
          </w:tcPr>
          <w:p>
            <w:pPr>
              <w:jc w:val="right"/>
              <w:spacing w:after="0"/>
              <w:rPr>
                <w:sz w:val="20"/>
                <w:szCs w:val="20"/>
                <w:color w:val="auto"/>
              </w:rPr>
            </w:pPr>
            <w:r>
              <w:rPr>
                <w:rFonts w:ascii="Arial" w:cs="Arial" w:eastAsia="Arial" w:hAnsi="Arial"/>
                <w:sz w:val="16"/>
                <w:szCs w:val="16"/>
                <w:color w:val="auto"/>
              </w:rPr>
              <w:t>9,539,077 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580" w:type="dxa"/>
            <w:vAlign w:val="bottom"/>
          </w:tcPr>
          <w:p>
            <w:pPr>
              <w:ind w:left="60"/>
              <w:spacing w:after="0"/>
              <w:rPr>
                <w:sz w:val="20"/>
                <w:szCs w:val="20"/>
                <w:color w:val="auto"/>
              </w:rPr>
            </w:pPr>
            <w:r>
              <w:rPr>
                <w:rFonts w:ascii="Arial" w:cs="Arial" w:eastAsia="Arial" w:hAnsi="Arial"/>
                <w:sz w:val="16"/>
                <w:szCs w:val="16"/>
                <w:color w:val="auto"/>
              </w:rPr>
              <w:t xml:space="preserve">   </w:t>
            </w:r>
          </w:p>
        </w:tc>
        <w:tc>
          <w:tcPr>
            <w:tcW w:w="1680" w:type="dxa"/>
            <w:vAlign w:val="bottom"/>
          </w:tcPr>
          <w:p>
            <w:pPr>
              <w:jc w:val="right"/>
              <w:ind w:right="240"/>
              <w:spacing w:after="0"/>
              <w:rPr>
                <w:sz w:val="20"/>
                <w:szCs w:val="20"/>
                <w:color w:val="auto"/>
              </w:rPr>
            </w:pPr>
            <w:r>
              <w:rPr>
                <w:rFonts w:ascii="Arial" w:cs="Arial" w:eastAsia="Arial" w:hAnsi="Arial"/>
                <w:sz w:val="16"/>
                <w:szCs w:val="16"/>
                <w:color w:val="auto"/>
              </w:rPr>
              <w:t>8.98%</w:t>
            </w:r>
          </w:p>
        </w:tc>
      </w:tr>
      <w:tr>
        <w:trPr>
          <w:trHeight w:val="44"/>
        </w:trPr>
        <w:tc>
          <w:tcPr>
            <w:tcW w:w="6980" w:type="dxa"/>
            <w:vAlign w:val="bottom"/>
            <w:gridSpan w:val="3"/>
          </w:tcPr>
          <w:p>
            <w:pPr>
              <w:spacing w:after="0"/>
              <w:rPr>
                <w:sz w:val="3"/>
                <w:szCs w:val="3"/>
                <w:color w:val="auto"/>
              </w:rPr>
            </w:pPr>
          </w:p>
        </w:tc>
        <w:tc>
          <w:tcPr>
            <w:tcW w:w="1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27"/>
        </w:trPr>
        <w:tc>
          <w:tcPr>
            <w:tcW w:w="6700" w:type="dxa"/>
            <w:vAlign w:val="bottom"/>
            <w:gridSpan w:val="2"/>
            <w:shd w:val="clear" w:color="auto" w:fill="D6D1D8"/>
          </w:tcPr>
          <w:p>
            <w:pPr>
              <w:ind w:left="80"/>
              <w:spacing w:after="0"/>
              <w:rPr>
                <w:sz w:val="20"/>
                <w:szCs w:val="20"/>
                <w:color w:val="auto"/>
              </w:rPr>
            </w:pPr>
            <w:r>
              <w:rPr>
                <w:rFonts w:ascii="Arial" w:cs="Arial" w:eastAsia="Arial" w:hAnsi="Arial"/>
                <w:sz w:val="16"/>
                <w:szCs w:val="16"/>
                <w:color w:val="auto"/>
              </w:rPr>
              <w:t>Blackrock Inc. (7)</w:t>
            </w:r>
          </w:p>
        </w:tc>
        <w:tc>
          <w:tcPr>
            <w:tcW w:w="280" w:type="dxa"/>
            <w:vAlign w:val="bottom"/>
            <w:shd w:val="clear" w:color="auto" w:fill="D6D1D8"/>
          </w:tcPr>
          <w:p>
            <w:pPr>
              <w:spacing w:after="0"/>
              <w:rPr>
                <w:sz w:val="19"/>
                <w:szCs w:val="19"/>
                <w:color w:val="auto"/>
              </w:rPr>
            </w:pPr>
          </w:p>
        </w:tc>
        <w:tc>
          <w:tcPr>
            <w:tcW w:w="1520" w:type="dxa"/>
            <w:vAlign w:val="bottom"/>
            <w:shd w:val="clear" w:color="auto" w:fill="D6D1D8"/>
          </w:tcPr>
          <w:p>
            <w:pPr>
              <w:spacing w:after="0"/>
              <w:rPr>
                <w:sz w:val="19"/>
                <w:szCs w:val="19"/>
                <w:color w:val="auto"/>
              </w:rPr>
            </w:pPr>
          </w:p>
        </w:tc>
        <w:tc>
          <w:tcPr>
            <w:tcW w:w="160" w:type="dxa"/>
            <w:vAlign w:val="bottom"/>
            <w:shd w:val="clear" w:color="auto" w:fill="D6D1D8"/>
          </w:tcPr>
          <w:p>
            <w:pPr>
              <w:spacing w:after="0"/>
              <w:rPr>
                <w:sz w:val="19"/>
                <w:szCs w:val="19"/>
                <w:color w:val="auto"/>
              </w:rPr>
            </w:pPr>
          </w:p>
        </w:tc>
        <w:tc>
          <w:tcPr>
            <w:tcW w:w="580" w:type="dxa"/>
            <w:vAlign w:val="bottom"/>
            <w:shd w:val="clear" w:color="auto" w:fill="D6D1D8"/>
          </w:tcPr>
          <w:p>
            <w:pPr>
              <w:spacing w:after="0"/>
              <w:rPr>
                <w:sz w:val="19"/>
                <w:szCs w:val="19"/>
                <w:color w:val="auto"/>
              </w:rPr>
            </w:pPr>
          </w:p>
        </w:tc>
        <w:tc>
          <w:tcPr>
            <w:tcW w:w="1680" w:type="dxa"/>
            <w:vAlign w:val="bottom"/>
            <w:shd w:val="clear" w:color="auto" w:fill="D6D1D8"/>
          </w:tcPr>
          <w:p>
            <w:pPr>
              <w:spacing w:after="0"/>
              <w:rPr>
                <w:sz w:val="19"/>
                <w:szCs w:val="19"/>
                <w:color w:val="auto"/>
              </w:rPr>
            </w:pPr>
          </w:p>
        </w:tc>
      </w:tr>
      <w:tr>
        <w:trPr>
          <w:trHeight w:val="187"/>
        </w:trPr>
        <w:tc>
          <w:tcPr>
            <w:tcW w:w="180" w:type="dxa"/>
            <w:vAlign w:val="bottom"/>
            <w:shd w:val="clear" w:color="auto" w:fill="D6D1D8"/>
          </w:tcPr>
          <w:p>
            <w:pPr>
              <w:ind w:left="80"/>
              <w:spacing w:after="0"/>
              <w:rPr>
                <w:sz w:val="20"/>
                <w:szCs w:val="20"/>
                <w:color w:val="auto"/>
              </w:rPr>
            </w:pPr>
            <w:r>
              <w:rPr>
                <w:rFonts w:ascii="Arial" w:cs="Arial" w:eastAsia="Arial" w:hAnsi="Arial"/>
                <w:sz w:val="11"/>
                <w:szCs w:val="11"/>
                <w:color w:val="auto"/>
                <w:w w:val="72"/>
              </w:rPr>
              <w:t> </w:t>
            </w:r>
          </w:p>
        </w:tc>
        <w:tc>
          <w:tcPr>
            <w:tcW w:w="6520" w:type="dxa"/>
            <w:vAlign w:val="bottom"/>
            <w:shd w:val="clear" w:color="auto" w:fill="D6D1D8"/>
          </w:tcPr>
          <w:p>
            <w:pPr>
              <w:ind w:left="60"/>
              <w:spacing w:after="0"/>
              <w:rPr>
                <w:sz w:val="20"/>
                <w:szCs w:val="20"/>
                <w:color w:val="auto"/>
              </w:rPr>
            </w:pPr>
            <w:r>
              <w:rPr>
                <w:rFonts w:ascii="Arial" w:cs="Arial" w:eastAsia="Arial" w:hAnsi="Arial"/>
                <w:sz w:val="16"/>
                <w:szCs w:val="16"/>
                <w:color w:val="auto"/>
              </w:rPr>
              <w:t>50 Hudson Yards</w:t>
            </w:r>
          </w:p>
        </w:tc>
        <w:tc>
          <w:tcPr>
            <w:tcW w:w="280" w:type="dxa"/>
            <w:vAlign w:val="bottom"/>
            <w:shd w:val="clear" w:color="auto" w:fill="D6D1D8"/>
          </w:tcPr>
          <w:p>
            <w:pPr>
              <w:spacing w:after="0"/>
              <w:rPr>
                <w:sz w:val="16"/>
                <w:szCs w:val="16"/>
                <w:color w:val="auto"/>
              </w:rPr>
            </w:pPr>
          </w:p>
        </w:tc>
        <w:tc>
          <w:tcPr>
            <w:tcW w:w="1520" w:type="dxa"/>
            <w:vAlign w:val="bottom"/>
            <w:shd w:val="clear" w:color="auto" w:fill="D6D1D8"/>
          </w:tcPr>
          <w:p>
            <w:pPr>
              <w:spacing w:after="0"/>
              <w:rPr>
                <w:sz w:val="16"/>
                <w:szCs w:val="16"/>
                <w:color w:val="auto"/>
              </w:rPr>
            </w:pPr>
          </w:p>
        </w:tc>
        <w:tc>
          <w:tcPr>
            <w:tcW w:w="160" w:type="dxa"/>
            <w:vAlign w:val="bottom"/>
            <w:shd w:val="clear" w:color="auto" w:fill="D6D1D8"/>
          </w:tcPr>
          <w:p>
            <w:pPr>
              <w:spacing w:after="0"/>
              <w:rPr>
                <w:sz w:val="16"/>
                <w:szCs w:val="16"/>
                <w:color w:val="auto"/>
              </w:rPr>
            </w:pPr>
          </w:p>
        </w:tc>
        <w:tc>
          <w:tcPr>
            <w:tcW w:w="580" w:type="dxa"/>
            <w:vAlign w:val="bottom"/>
            <w:shd w:val="clear" w:color="auto" w:fill="D6D1D8"/>
          </w:tcPr>
          <w:p>
            <w:pPr>
              <w:spacing w:after="0"/>
              <w:rPr>
                <w:sz w:val="16"/>
                <w:szCs w:val="16"/>
                <w:color w:val="auto"/>
              </w:rPr>
            </w:pPr>
          </w:p>
        </w:tc>
        <w:tc>
          <w:tcPr>
            <w:tcW w:w="1680" w:type="dxa"/>
            <w:vAlign w:val="bottom"/>
            <w:shd w:val="clear" w:color="auto" w:fill="D6D1D8"/>
          </w:tcPr>
          <w:p>
            <w:pPr>
              <w:spacing w:after="0"/>
              <w:rPr>
                <w:sz w:val="16"/>
                <w:szCs w:val="16"/>
                <w:color w:val="auto"/>
              </w:rPr>
            </w:pPr>
          </w:p>
        </w:tc>
      </w:tr>
      <w:tr>
        <w:trPr>
          <w:trHeight w:val="248"/>
        </w:trPr>
        <w:tc>
          <w:tcPr>
            <w:tcW w:w="6700" w:type="dxa"/>
            <w:vAlign w:val="bottom"/>
            <w:tcBorders>
              <w:bottom w:val="single" w:sz="8" w:color="D6D1D8"/>
            </w:tcBorders>
            <w:gridSpan w:val="2"/>
            <w:shd w:val="clear" w:color="auto" w:fill="D6D1D8"/>
          </w:tcPr>
          <w:p>
            <w:pPr>
              <w:ind w:left="80"/>
              <w:spacing w:after="0"/>
              <w:rPr>
                <w:sz w:val="20"/>
                <w:szCs w:val="20"/>
                <w:color w:val="auto"/>
              </w:rPr>
            </w:pPr>
            <w:r>
              <w:rPr>
                <w:rFonts w:ascii="Arial" w:cs="Arial" w:eastAsia="Arial" w:hAnsi="Arial"/>
                <w:sz w:val="16"/>
                <w:szCs w:val="16"/>
                <w:color w:val="auto"/>
              </w:rPr>
              <w:t>   New York, NY 10001</w:t>
            </w:r>
          </w:p>
        </w:tc>
        <w:tc>
          <w:tcPr>
            <w:tcW w:w="280" w:type="dxa"/>
            <w:vAlign w:val="bottom"/>
            <w:tcBorders>
              <w:bottom w:val="single" w:sz="8" w:color="D6D1D8"/>
            </w:tcBorders>
            <w:shd w:val="clear" w:color="auto" w:fill="D6D1D8"/>
          </w:tcPr>
          <w:p>
            <w:pPr>
              <w:spacing w:after="0"/>
              <w:rPr>
                <w:sz w:val="21"/>
                <w:szCs w:val="21"/>
                <w:color w:val="auto"/>
              </w:rPr>
            </w:pPr>
          </w:p>
        </w:tc>
        <w:tc>
          <w:tcPr>
            <w:tcW w:w="1520" w:type="dxa"/>
            <w:vAlign w:val="bottom"/>
            <w:tcBorders>
              <w:bottom w:val="single" w:sz="8" w:color="D6D1D8"/>
            </w:tcBorders>
            <w:shd w:val="clear" w:color="auto" w:fill="D6D1D8"/>
          </w:tcPr>
          <w:p>
            <w:pPr>
              <w:jc w:val="right"/>
              <w:spacing w:after="0"/>
              <w:rPr>
                <w:sz w:val="20"/>
                <w:szCs w:val="20"/>
                <w:color w:val="auto"/>
              </w:rPr>
            </w:pPr>
            <w:r>
              <w:rPr>
                <w:rFonts w:ascii="Arial" w:cs="Arial" w:eastAsia="Arial" w:hAnsi="Arial"/>
                <w:sz w:val="16"/>
                <w:szCs w:val="16"/>
                <w:color w:val="auto"/>
              </w:rPr>
              <w:t>7,623,440 </w:t>
            </w:r>
          </w:p>
        </w:tc>
        <w:tc>
          <w:tcPr>
            <w:tcW w:w="160" w:type="dxa"/>
            <w:vAlign w:val="bottom"/>
            <w:tcBorders>
              <w:bottom w:val="single" w:sz="8" w:color="D6D1D8"/>
            </w:tcBorders>
            <w:shd w:val="clear" w:color="auto" w:fill="D6D1D8"/>
          </w:tcPr>
          <w:p>
            <w:pPr>
              <w:ind w:left="60"/>
              <w:spacing w:after="0"/>
              <w:rPr>
                <w:sz w:val="20"/>
                <w:szCs w:val="20"/>
                <w:color w:val="auto"/>
              </w:rPr>
            </w:pPr>
            <w:r>
              <w:rPr>
                <w:rFonts w:ascii="Arial" w:cs="Arial" w:eastAsia="Arial" w:hAnsi="Arial"/>
                <w:sz w:val="11"/>
                <w:szCs w:val="11"/>
                <w:color w:val="auto"/>
                <w:w w:val="72"/>
              </w:rPr>
              <w:t> </w:t>
            </w:r>
          </w:p>
        </w:tc>
        <w:tc>
          <w:tcPr>
            <w:tcW w:w="580" w:type="dxa"/>
            <w:vAlign w:val="bottom"/>
            <w:tcBorders>
              <w:bottom w:val="single" w:sz="8" w:color="D6D1D8"/>
            </w:tcBorders>
            <w:shd w:val="clear" w:color="auto" w:fill="D6D1D8"/>
          </w:tcPr>
          <w:p>
            <w:pPr>
              <w:ind w:left="60"/>
              <w:spacing w:after="0"/>
              <w:rPr>
                <w:sz w:val="20"/>
                <w:szCs w:val="20"/>
                <w:color w:val="auto"/>
              </w:rPr>
            </w:pPr>
            <w:r>
              <w:rPr>
                <w:rFonts w:ascii="Arial" w:cs="Arial" w:eastAsia="Arial" w:hAnsi="Arial"/>
                <w:sz w:val="16"/>
                <w:szCs w:val="16"/>
                <w:color w:val="auto"/>
              </w:rPr>
              <w:t xml:space="preserve">   </w:t>
            </w:r>
          </w:p>
        </w:tc>
        <w:tc>
          <w:tcPr>
            <w:tcW w:w="1680" w:type="dxa"/>
            <w:vAlign w:val="bottom"/>
            <w:tcBorders>
              <w:bottom w:val="single" w:sz="8" w:color="D6D1D8"/>
            </w:tcBorders>
            <w:shd w:val="clear" w:color="auto" w:fill="D6D1D8"/>
          </w:tcPr>
          <w:p>
            <w:pPr>
              <w:jc w:val="right"/>
              <w:ind w:right="240"/>
              <w:spacing w:after="0"/>
              <w:rPr>
                <w:sz w:val="20"/>
                <w:szCs w:val="20"/>
                <w:color w:val="auto"/>
              </w:rPr>
            </w:pPr>
            <w:r>
              <w:rPr>
                <w:rFonts w:ascii="Arial" w:cs="Arial" w:eastAsia="Arial" w:hAnsi="Arial"/>
                <w:sz w:val="16"/>
                <w:szCs w:val="16"/>
                <w:color w:val="auto"/>
              </w:rPr>
              <w:t>7.18%</w:t>
            </w:r>
          </w:p>
        </w:tc>
      </w:tr>
      <w:tr>
        <w:trPr>
          <w:trHeight w:val="251"/>
        </w:trPr>
        <w:tc>
          <w:tcPr>
            <w:tcW w:w="6980" w:type="dxa"/>
            <w:vAlign w:val="bottom"/>
            <w:gridSpan w:val="3"/>
          </w:tcPr>
          <w:p>
            <w:pPr>
              <w:ind w:left="80"/>
              <w:spacing w:after="0"/>
              <w:rPr>
                <w:sz w:val="20"/>
                <w:szCs w:val="20"/>
                <w:color w:val="auto"/>
              </w:rPr>
            </w:pPr>
            <w:r>
              <w:rPr>
                <w:rFonts w:ascii="Arial" w:cs="Arial" w:eastAsia="Arial" w:hAnsi="Arial"/>
                <w:sz w:val="16"/>
                <w:szCs w:val="16"/>
                <w:color w:val="auto"/>
              </w:rPr>
              <w:t>Named Executive Officers, Directors and Director Nominees:</w:t>
            </w:r>
          </w:p>
        </w:tc>
        <w:tc>
          <w:tcPr>
            <w:tcW w:w="1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57"/>
        </w:trPr>
        <w:tc>
          <w:tcPr>
            <w:tcW w:w="6980" w:type="dxa"/>
            <w:vAlign w:val="bottom"/>
            <w:gridSpan w:val="3"/>
          </w:tcPr>
          <w:p>
            <w:pPr>
              <w:spacing w:after="0"/>
              <w:rPr>
                <w:sz w:val="4"/>
                <w:szCs w:val="4"/>
                <w:color w:val="auto"/>
              </w:rPr>
            </w:pPr>
          </w:p>
        </w:tc>
        <w:tc>
          <w:tcPr>
            <w:tcW w:w="1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80" w:type="dxa"/>
            <w:vAlign w:val="bottom"/>
          </w:tcPr>
          <w:p>
            <w:pPr>
              <w:spacing w:after="0"/>
              <w:rPr>
                <w:sz w:val="4"/>
                <w:szCs w:val="4"/>
                <w:color w:val="auto"/>
              </w:rPr>
            </w:pPr>
          </w:p>
        </w:tc>
      </w:tr>
      <w:tr>
        <w:trPr>
          <w:trHeight w:val="274"/>
        </w:trPr>
        <w:tc>
          <w:tcPr>
            <w:tcW w:w="6700" w:type="dxa"/>
            <w:vAlign w:val="bottom"/>
            <w:tcBorders>
              <w:bottom w:val="single" w:sz="8" w:color="D6D1D8"/>
            </w:tcBorders>
            <w:gridSpan w:val="2"/>
            <w:shd w:val="clear" w:color="auto" w:fill="D6D1D8"/>
          </w:tcPr>
          <w:p>
            <w:pPr>
              <w:ind w:left="80"/>
              <w:spacing w:after="0"/>
              <w:rPr>
                <w:sz w:val="20"/>
                <w:szCs w:val="20"/>
                <w:color w:val="auto"/>
              </w:rPr>
            </w:pPr>
            <w:r>
              <w:rPr>
                <w:rFonts w:ascii="Arial" w:cs="Arial" w:eastAsia="Arial" w:hAnsi="Arial"/>
                <w:sz w:val="16"/>
                <w:szCs w:val="16"/>
                <w:color w:val="auto"/>
              </w:rPr>
              <w:t>Philip G. Satre (8)</w:t>
            </w:r>
          </w:p>
        </w:tc>
        <w:tc>
          <w:tcPr>
            <w:tcW w:w="280" w:type="dxa"/>
            <w:vAlign w:val="bottom"/>
            <w:tcBorders>
              <w:bottom w:val="single" w:sz="8" w:color="D6D1D8"/>
            </w:tcBorders>
            <w:shd w:val="clear" w:color="auto" w:fill="D6D1D8"/>
          </w:tcPr>
          <w:p>
            <w:pPr>
              <w:spacing w:after="0"/>
              <w:rPr>
                <w:sz w:val="23"/>
                <w:szCs w:val="23"/>
                <w:color w:val="auto"/>
              </w:rPr>
            </w:pPr>
          </w:p>
        </w:tc>
        <w:tc>
          <w:tcPr>
            <w:tcW w:w="1520" w:type="dxa"/>
            <w:vAlign w:val="bottom"/>
            <w:tcBorders>
              <w:bottom w:val="single" w:sz="8" w:color="D6D1D8"/>
            </w:tcBorders>
            <w:shd w:val="clear" w:color="auto" w:fill="D6D1D8"/>
          </w:tcPr>
          <w:p>
            <w:pPr>
              <w:jc w:val="right"/>
              <w:spacing w:after="0"/>
              <w:rPr>
                <w:sz w:val="20"/>
                <w:szCs w:val="20"/>
                <w:color w:val="auto"/>
              </w:rPr>
            </w:pPr>
            <w:r>
              <w:rPr>
                <w:rFonts w:ascii="Arial" w:cs="Arial" w:eastAsia="Arial" w:hAnsi="Arial"/>
                <w:sz w:val="16"/>
                <w:szCs w:val="16"/>
                <w:color w:val="auto"/>
              </w:rPr>
              <w:t>55,484 </w:t>
            </w:r>
          </w:p>
        </w:tc>
        <w:tc>
          <w:tcPr>
            <w:tcW w:w="160" w:type="dxa"/>
            <w:vAlign w:val="bottom"/>
            <w:tcBorders>
              <w:bottom w:val="single" w:sz="8" w:color="D6D1D8"/>
            </w:tcBorders>
            <w:shd w:val="clear" w:color="auto" w:fill="D6D1D8"/>
          </w:tcPr>
          <w:p>
            <w:pPr>
              <w:ind w:left="60"/>
              <w:spacing w:after="0"/>
              <w:rPr>
                <w:sz w:val="20"/>
                <w:szCs w:val="20"/>
                <w:color w:val="auto"/>
              </w:rPr>
            </w:pPr>
            <w:r>
              <w:rPr>
                <w:rFonts w:ascii="Arial" w:cs="Arial" w:eastAsia="Arial" w:hAnsi="Arial"/>
                <w:sz w:val="11"/>
                <w:szCs w:val="11"/>
                <w:color w:val="auto"/>
                <w:w w:val="72"/>
              </w:rPr>
              <w:t> </w:t>
            </w:r>
          </w:p>
        </w:tc>
        <w:tc>
          <w:tcPr>
            <w:tcW w:w="580" w:type="dxa"/>
            <w:vAlign w:val="bottom"/>
            <w:tcBorders>
              <w:bottom w:val="single" w:sz="8" w:color="D6D1D8"/>
            </w:tcBorders>
            <w:shd w:val="clear" w:color="auto" w:fill="D6D1D8"/>
          </w:tcPr>
          <w:p>
            <w:pPr>
              <w:ind w:left="60"/>
              <w:spacing w:after="0"/>
              <w:rPr>
                <w:sz w:val="20"/>
                <w:szCs w:val="20"/>
                <w:color w:val="auto"/>
              </w:rPr>
            </w:pPr>
            <w:r>
              <w:rPr>
                <w:rFonts w:ascii="Arial" w:cs="Arial" w:eastAsia="Arial" w:hAnsi="Arial"/>
                <w:sz w:val="16"/>
                <w:szCs w:val="16"/>
                <w:color w:val="auto"/>
              </w:rPr>
              <w:t xml:space="preserve">   </w:t>
            </w:r>
          </w:p>
        </w:tc>
        <w:tc>
          <w:tcPr>
            <w:tcW w:w="1680" w:type="dxa"/>
            <w:vAlign w:val="bottom"/>
            <w:tcBorders>
              <w:bottom w:val="single" w:sz="8" w:color="D6D1D8"/>
            </w:tcBorders>
            <w:shd w:val="clear" w:color="auto" w:fill="D6D1D8"/>
          </w:tcPr>
          <w:p>
            <w:pPr>
              <w:jc w:val="right"/>
              <w:ind w:right="380"/>
              <w:spacing w:after="0"/>
              <w:rPr>
                <w:sz w:val="20"/>
                <w:szCs w:val="20"/>
                <w:color w:val="auto"/>
              </w:rPr>
            </w:pPr>
            <w:r>
              <w:rPr>
                <w:rFonts w:ascii="Arial" w:cs="Arial" w:eastAsia="Arial" w:hAnsi="Arial"/>
                <w:sz w:val="16"/>
                <w:szCs w:val="16"/>
                <w:color w:val="auto"/>
              </w:rPr>
              <w:t>*</w:t>
            </w:r>
          </w:p>
        </w:tc>
      </w:tr>
      <w:tr>
        <w:trPr>
          <w:trHeight w:val="251"/>
        </w:trPr>
        <w:tc>
          <w:tcPr>
            <w:tcW w:w="6980" w:type="dxa"/>
            <w:vAlign w:val="bottom"/>
            <w:gridSpan w:val="3"/>
          </w:tcPr>
          <w:p>
            <w:pPr>
              <w:ind w:left="80"/>
              <w:spacing w:after="0"/>
              <w:rPr>
                <w:sz w:val="20"/>
                <w:szCs w:val="20"/>
                <w:color w:val="auto"/>
              </w:rPr>
            </w:pPr>
            <w:r>
              <w:rPr>
                <w:rFonts w:ascii="Arial" w:cs="Arial" w:eastAsia="Arial" w:hAnsi="Arial"/>
                <w:sz w:val="16"/>
                <w:szCs w:val="16"/>
                <w:color w:val="auto"/>
              </w:rPr>
              <w:t>Betsy S. Atkins (9)</w:t>
            </w:r>
          </w:p>
        </w:tc>
        <w:tc>
          <w:tcPr>
            <w:tcW w:w="1520" w:type="dxa"/>
            <w:vAlign w:val="bottom"/>
          </w:tcPr>
          <w:p>
            <w:pPr>
              <w:jc w:val="right"/>
              <w:spacing w:after="0"/>
              <w:rPr>
                <w:sz w:val="20"/>
                <w:szCs w:val="20"/>
                <w:color w:val="auto"/>
              </w:rPr>
            </w:pPr>
            <w:r>
              <w:rPr>
                <w:rFonts w:ascii="Arial" w:cs="Arial" w:eastAsia="Arial" w:hAnsi="Arial"/>
                <w:sz w:val="16"/>
                <w:szCs w:val="16"/>
                <w:color w:val="auto"/>
              </w:rPr>
              <w:t>9,226 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580" w:type="dxa"/>
            <w:vAlign w:val="bottom"/>
          </w:tcPr>
          <w:p>
            <w:pPr>
              <w:ind w:left="60"/>
              <w:spacing w:after="0"/>
              <w:rPr>
                <w:sz w:val="20"/>
                <w:szCs w:val="20"/>
                <w:color w:val="auto"/>
              </w:rPr>
            </w:pPr>
            <w:r>
              <w:rPr>
                <w:rFonts w:ascii="Arial" w:cs="Arial" w:eastAsia="Arial" w:hAnsi="Arial"/>
                <w:sz w:val="16"/>
                <w:szCs w:val="16"/>
                <w:color w:val="auto"/>
              </w:rPr>
              <w:t xml:space="preserve">   </w:t>
            </w:r>
          </w:p>
        </w:tc>
        <w:tc>
          <w:tcPr>
            <w:tcW w:w="1680" w:type="dxa"/>
            <w:vAlign w:val="bottom"/>
          </w:tcPr>
          <w:p>
            <w:pPr>
              <w:jc w:val="right"/>
              <w:ind w:right="380"/>
              <w:spacing w:after="0"/>
              <w:rPr>
                <w:sz w:val="20"/>
                <w:szCs w:val="20"/>
                <w:color w:val="auto"/>
              </w:rPr>
            </w:pPr>
            <w:r>
              <w:rPr>
                <w:rFonts w:ascii="Arial" w:cs="Arial" w:eastAsia="Arial" w:hAnsi="Arial"/>
                <w:sz w:val="16"/>
                <w:szCs w:val="16"/>
                <w:color w:val="auto"/>
              </w:rPr>
              <w:t>*</w:t>
            </w:r>
          </w:p>
        </w:tc>
      </w:tr>
      <w:tr>
        <w:trPr>
          <w:trHeight w:val="44"/>
        </w:trPr>
        <w:tc>
          <w:tcPr>
            <w:tcW w:w="6980" w:type="dxa"/>
            <w:vAlign w:val="bottom"/>
            <w:gridSpan w:val="3"/>
          </w:tcPr>
          <w:p>
            <w:pPr>
              <w:spacing w:after="0"/>
              <w:rPr>
                <w:sz w:val="3"/>
                <w:szCs w:val="3"/>
                <w:color w:val="auto"/>
              </w:rPr>
            </w:pPr>
          </w:p>
        </w:tc>
        <w:tc>
          <w:tcPr>
            <w:tcW w:w="1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74"/>
        </w:trPr>
        <w:tc>
          <w:tcPr>
            <w:tcW w:w="6700" w:type="dxa"/>
            <w:vAlign w:val="bottom"/>
            <w:tcBorders>
              <w:bottom w:val="single" w:sz="8" w:color="D6D1D8"/>
            </w:tcBorders>
            <w:gridSpan w:val="2"/>
            <w:shd w:val="clear" w:color="auto" w:fill="D6D1D8"/>
          </w:tcPr>
          <w:p>
            <w:pPr>
              <w:ind w:left="80"/>
              <w:spacing w:after="0"/>
              <w:rPr>
                <w:sz w:val="20"/>
                <w:szCs w:val="20"/>
                <w:color w:val="auto"/>
              </w:rPr>
            </w:pPr>
            <w:r>
              <w:rPr>
                <w:rFonts w:ascii="Arial" w:cs="Arial" w:eastAsia="Arial" w:hAnsi="Arial"/>
                <w:sz w:val="16"/>
                <w:szCs w:val="16"/>
                <w:color w:val="auto"/>
              </w:rPr>
              <w:t>Richard J. Byrne (10)</w:t>
            </w:r>
          </w:p>
        </w:tc>
        <w:tc>
          <w:tcPr>
            <w:tcW w:w="280" w:type="dxa"/>
            <w:vAlign w:val="bottom"/>
            <w:tcBorders>
              <w:bottom w:val="single" w:sz="8" w:color="D6D1D8"/>
            </w:tcBorders>
            <w:shd w:val="clear" w:color="auto" w:fill="D6D1D8"/>
          </w:tcPr>
          <w:p>
            <w:pPr>
              <w:spacing w:after="0"/>
              <w:rPr>
                <w:sz w:val="23"/>
                <w:szCs w:val="23"/>
                <w:color w:val="auto"/>
              </w:rPr>
            </w:pPr>
          </w:p>
        </w:tc>
        <w:tc>
          <w:tcPr>
            <w:tcW w:w="1520" w:type="dxa"/>
            <w:vAlign w:val="bottom"/>
            <w:tcBorders>
              <w:bottom w:val="single" w:sz="8" w:color="D6D1D8"/>
            </w:tcBorders>
            <w:shd w:val="clear" w:color="auto" w:fill="D6D1D8"/>
          </w:tcPr>
          <w:p>
            <w:pPr>
              <w:jc w:val="right"/>
              <w:spacing w:after="0"/>
              <w:rPr>
                <w:sz w:val="20"/>
                <w:szCs w:val="20"/>
                <w:color w:val="auto"/>
              </w:rPr>
            </w:pPr>
            <w:r>
              <w:rPr>
                <w:rFonts w:ascii="Arial" w:cs="Arial" w:eastAsia="Arial" w:hAnsi="Arial"/>
                <w:sz w:val="16"/>
                <w:szCs w:val="16"/>
                <w:color w:val="auto"/>
              </w:rPr>
              <w:t>18,488 </w:t>
            </w:r>
          </w:p>
        </w:tc>
        <w:tc>
          <w:tcPr>
            <w:tcW w:w="160" w:type="dxa"/>
            <w:vAlign w:val="bottom"/>
            <w:tcBorders>
              <w:bottom w:val="single" w:sz="8" w:color="D6D1D8"/>
            </w:tcBorders>
            <w:shd w:val="clear" w:color="auto" w:fill="D6D1D8"/>
          </w:tcPr>
          <w:p>
            <w:pPr>
              <w:ind w:left="60"/>
              <w:spacing w:after="0"/>
              <w:rPr>
                <w:sz w:val="20"/>
                <w:szCs w:val="20"/>
                <w:color w:val="auto"/>
              </w:rPr>
            </w:pPr>
            <w:r>
              <w:rPr>
                <w:rFonts w:ascii="Arial" w:cs="Arial" w:eastAsia="Arial" w:hAnsi="Arial"/>
                <w:sz w:val="11"/>
                <w:szCs w:val="11"/>
                <w:color w:val="auto"/>
                <w:w w:val="72"/>
              </w:rPr>
              <w:t> </w:t>
            </w:r>
          </w:p>
        </w:tc>
        <w:tc>
          <w:tcPr>
            <w:tcW w:w="580" w:type="dxa"/>
            <w:vAlign w:val="bottom"/>
            <w:tcBorders>
              <w:bottom w:val="single" w:sz="8" w:color="D6D1D8"/>
            </w:tcBorders>
            <w:shd w:val="clear" w:color="auto" w:fill="D6D1D8"/>
          </w:tcPr>
          <w:p>
            <w:pPr>
              <w:ind w:left="60"/>
              <w:spacing w:after="0"/>
              <w:rPr>
                <w:sz w:val="20"/>
                <w:szCs w:val="20"/>
                <w:color w:val="auto"/>
              </w:rPr>
            </w:pPr>
            <w:r>
              <w:rPr>
                <w:rFonts w:ascii="Arial" w:cs="Arial" w:eastAsia="Arial" w:hAnsi="Arial"/>
                <w:sz w:val="16"/>
                <w:szCs w:val="16"/>
                <w:color w:val="auto"/>
              </w:rPr>
              <w:t xml:space="preserve">   </w:t>
            </w:r>
          </w:p>
        </w:tc>
        <w:tc>
          <w:tcPr>
            <w:tcW w:w="1680" w:type="dxa"/>
            <w:vAlign w:val="bottom"/>
            <w:tcBorders>
              <w:bottom w:val="single" w:sz="8" w:color="D6D1D8"/>
            </w:tcBorders>
            <w:shd w:val="clear" w:color="auto" w:fill="D6D1D8"/>
          </w:tcPr>
          <w:p>
            <w:pPr>
              <w:jc w:val="right"/>
              <w:ind w:right="380"/>
              <w:spacing w:after="0"/>
              <w:rPr>
                <w:sz w:val="20"/>
                <w:szCs w:val="20"/>
                <w:color w:val="auto"/>
              </w:rPr>
            </w:pPr>
            <w:r>
              <w:rPr>
                <w:rFonts w:ascii="Arial" w:cs="Arial" w:eastAsia="Arial" w:hAnsi="Arial"/>
                <w:sz w:val="16"/>
                <w:szCs w:val="16"/>
                <w:color w:val="auto"/>
              </w:rPr>
              <w:t>*</w:t>
            </w:r>
          </w:p>
        </w:tc>
      </w:tr>
      <w:tr>
        <w:trPr>
          <w:trHeight w:val="251"/>
        </w:trPr>
        <w:tc>
          <w:tcPr>
            <w:tcW w:w="6980" w:type="dxa"/>
            <w:vAlign w:val="bottom"/>
            <w:gridSpan w:val="3"/>
          </w:tcPr>
          <w:p>
            <w:pPr>
              <w:ind w:left="80"/>
              <w:spacing w:after="0"/>
              <w:rPr>
                <w:sz w:val="20"/>
                <w:szCs w:val="20"/>
                <w:color w:val="auto"/>
              </w:rPr>
            </w:pPr>
            <w:r>
              <w:rPr>
                <w:rFonts w:ascii="Arial" w:cs="Arial" w:eastAsia="Arial" w:hAnsi="Arial"/>
                <w:sz w:val="16"/>
                <w:szCs w:val="16"/>
                <w:color w:val="auto"/>
              </w:rPr>
              <w:t>Paul Liu (11)</w:t>
            </w:r>
          </w:p>
        </w:tc>
        <w:tc>
          <w:tcPr>
            <w:tcW w:w="1520" w:type="dxa"/>
            <w:vAlign w:val="bottom"/>
          </w:tcPr>
          <w:p>
            <w:pPr>
              <w:jc w:val="right"/>
              <w:spacing w:after="0"/>
              <w:rPr>
                <w:sz w:val="20"/>
                <w:szCs w:val="20"/>
                <w:color w:val="auto"/>
              </w:rPr>
            </w:pPr>
            <w:r>
              <w:rPr>
                <w:rFonts w:ascii="Arial" w:cs="Arial" w:eastAsia="Arial" w:hAnsi="Arial"/>
                <w:sz w:val="16"/>
                <w:szCs w:val="16"/>
                <w:color w:val="auto"/>
              </w:rPr>
              <w:t>7,296 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580" w:type="dxa"/>
            <w:vAlign w:val="bottom"/>
          </w:tcPr>
          <w:p>
            <w:pPr>
              <w:ind w:left="60"/>
              <w:spacing w:after="0"/>
              <w:rPr>
                <w:sz w:val="20"/>
                <w:szCs w:val="20"/>
                <w:color w:val="auto"/>
              </w:rPr>
            </w:pPr>
            <w:r>
              <w:rPr>
                <w:rFonts w:ascii="Arial" w:cs="Arial" w:eastAsia="Arial" w:hAnsi="Arial"/>
                <w:sz w:val="16"/>
                <w:szCs w:val="16"/>
                <w:color w:val="auto"/>
              </w:rPr>
              <w:t xml:space="preserve">   </w:t>
            </w:r>
          </w:p>
        </w:tc>
        <w:tc>
          <w:tcPr>
            <w:tcW w:w="1680" w:type="dxa"/>
            <w:vAlign w:val="bottom"/>
          </w:tcPr>
          <w:p>
            <w:pPr>
              <w:jc w:val="right"/>
              <w:ind w:right="380"/>
              <w:spacing w:after="0"/>
              <w:rPr>
                <w:sz w:val="20"/>
                <w:szCs w:val="20"/>
                <w:color w:val="auto"/>
              </w:rPr>
            </w:pPr>
            <w:r>
              <w:rPr>
                <w:rFonts w:ascii="Arial" w:cs="Arial" w:eastAsia="Arial" w:hAnsi="Arial"/>
                <w:sz w:val="16"/>
                <w:szCs w:val="16"/>
                <w:color w:val="auto"/>
              </w:rPr>
              <w:t>*</w:t>
            </w:r>
          </w:p>
        </w:tc>
      </w:tr>
      <w:tr>
        <w:trPr>
          <w:trHeight w:val="44"/>
        </w:trPr>
        <w:tc>
          <w:tcPr>
            <w:tcW w:w="6980" w:type="dxa"/>
            <w:vAlign w:val="bottom"/>
            <w:gridSpan w:val="3"/>
          </w:tcPr>
          <w:p>
            <w:pPr>
              <w:spacing w:after="0"/>
              <w:rPr>
                <w:sz w:val="3"/>
                <w:szCs w:val="3"/>
                <w:color w:val="auto"/>
              </w:rPr>
            </w:pPr>
          </w:p>
        </w:tc>
        <w:tc>
          <w:tcPr>
            <w:tcW w:w="1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74"/>
        </w:trPr>
        <w:tc>
          <w:tcPr>
            <w:tcW w:w="6700" w:type="dxa"/>
            <w:vAlign w:val="bottom"/>
            <w:tcBorders>
              <w:bottom w:val="single" w:sz="8" w:color="D6D1D8"/>
            </w:tcBorders>
            <w:gridSpan w:val="2"/>
            <w:shd w:val="clear" w:color="auto" w:fill="D6D1D8"/>
          </w:tcPr>
          <w:p>
            <w:pPr>
              <w:ind w:left="80"/>
              <w:spacing w:after="0"/>
              <w:rPr>
                <w:sz w:val="20"/>
                <w:szCs w:val="20"/>
                <w:color w:val="auto"/>
              </w:rPr>
            </w:pPr>
            <w:r>
              <w:rPr>
                <w:rFonts w:ascii="Arial" w:cs="Arial" w:eastAsia="Arial" w:hAnsi="Arial"/>
                <w:sz w:val="16"/>
                <w:szCs w:val="16"/>
                <w:color w:val="auto"/>
              </w:rPr>
              <w:t>Winifred M. Webb (12)</w:t>
            </w:r>
          </w:p>
        </w:tc>
        <w:tc>
          <w:tcPr>
            <w:tcW w:w="280" w:type="dxa"/>
            <w:vAlign w:val="bottom"/>
            <w:tcBorders>
              <w:bottom w:val="single" w:sz="8" w:color="D6D1D8"/>
            </w:tcBorders>
            <w:shd w:val="clear" w:color="auto" w:fill="D6D1D8"/>
          </w:tcPr>
          <w:p>
            <w:pPr>
              <w:spacing w:after="0"/>
              <w:rPr>
                <w:sz w:val="23"/>
                <w:szCs w:val="23"/>
                <w:color w:val="auto"/>
              </w:rPr>
            </w:pPr>
          </w:p>
        </w:tc>
        <w:tc>
          <w:tcPr>
            <w:tcW w:w="1520" w:type="dxa"/>
            <w:vAlign w:val="bottom"/>
            <w:tcBorders>
              <w:bottom w:val="single" w:sz="8" w:color="D6D1D8"/>
            </w:tcBorders>
            <w:shd w:val="clear" w:color="auto" w:fill="D6D1D8"/>
          </w:tcPr>
          <w:p>
            <w:pPr>
              <w:jc w:val="right"/>
              <w:spacing w:after="0"/>
              <w:rPr>
                <w:sz w:val="20"/>
                <w:szCs w:val="20"/>
                <w:color w:val="auto"/>
              </w:rPr>
            </w:pPr>
            <w:r>
              <w:rPr>
                <w:rFonts w:ascii="Arial" w:cs="Arial" w:eastAsia="Arial" w:hAnsi="Arial"/>
                <w:sz w:val="16"/>
                <w:szCs w:val="16"/>
                <w:color w:val="auto"/>
              </w:rPr>
              <w:t>21,440 </w:t>
            </w:r>
          </w:p>
        </w:tc>
        <w:tc>
          <w:tcPr>
            <w:tcW w:w="160" w:type="dxa"/>
            <w:vAlign w:val="bottom"/>
            <w:tcBorders>
              <w:bottom w:val="single" w:sz="8" w:color="D6D1D8"/>
            </w:tcBorders>
            <w:shd w:val="clear" w:color="auto" w:fill="D6D1D8"/>
          </w:tcPr>
          <w:p>
            <w:pPr>
              <w:ind w:left="60"/>
              <w:spacing w:after="0"/>
              <w:rPr>
                <w:sz w:val="20"/>
                <w:szCs w:val="20"/>
                <w:color w:val="auto"/>
              </w:rPr>
            </w:pPr>
            <w:r>
              <w:rPr>
                <w:rFonts w:ascii="Arial" w:cs="Arial" w:eastAsia="Arial" w:hAnsi="Arial"/>
                <w:sz w:val="11"/>
                <w:szCs w:val="11"/>
                <w:color w:val="auto"/>
                <w:w w:val="72"/>
              </w:rPr>
              <w:t> </w:t>
            </w:r>
          </w:p>
        </w:tc>
        <w:tc>
          <w:tcPr>
            <w:tcW w:w="580" w:type="dxa"/>
            <w:vAlign w:val="bottom"/>
            <w:tcBorders>
              <w:bottom w:val="single" w:sz="8" w:color="D6D1D8"/>
            </w:tcBorders>
            <w:shd w:val="clear" w:color="auto" w:fill="D6D1D8"/>
          </w:tcPr>
          <w:p>
            <w:pPr>
              <w:ind w:left="60"/>
              <w:spacing w:after="0"/>
              <w:rPr>
                <w:sz w:val="20"/>
                <w:szCs w:val="20"/>
                <w:color w:val="auto"/>
              </w:rPr>
            </w:pPr>
            <w:r>
              <w:rPr>
                <w:rFonts w:ascii="Arial" w:cs="Arial" w:eastAsia="Arial" w:hAnsi="Arial"/>
                <w:sz w:val="16"/>
                <w:szCs w:val="16"/>
                <w:color w:val="auto"/>
              </w:rPr>
              <w:t xml:space="preserve">   </w:t>
            </w:r>
          </w:p>
        </w:tc>
        <w:tc>
          <w:tcPr>
            <w:tcW w:w="1680" w:type="dxa"/>
            <w:vAlign w:val="bottom"/>
            <w:tcBorders>
              <w:bottom w:val="single" w:sz="8" w:color="D6D1D8"/>
            </w:tcBorders>
            <w:shd w:val="clear" w:color="auto" w:fill="D6D1D8"/>
          </w:tcPr>
          <w:p>
            <w:pPr>
              <w:jc w:val="right"/>
              <w:ind w:right="380"/>
              <w:spacing w:after="0"/>
              <w:rPr>
                <w:sz w:val="20"/>
                <w:szCs w:val="20"/>
                <w:color w:val="auto"/>
              </w:rPr>
            </w:pPr>
            <w:r>
              <w:rPr>
                <w:rFonts w:ascii="Arial" w:cs="Arial" w:eastAsia="Arial" w:hAnsi="Arial"/>
                <w:sz w:val="16"/>
                <w:szCs w:val="16"/>
                <w:color w:val="auto"/>
              </w:rPr>
              <w:t>*</w:t>
            </w:r>
          </w:p>
        </w:tc>
      </w:tr>
      <w:tr>
        <w:trPr>
          <w:trHeight w:val="251"/>
        </w:trPr>
        <w:tc>
          <w:tcPr>
            <w:tcW w:w="6980" w:type="dxa"/>
            <w:vAlign w:val="bottom"/>
            <w:gridSpan w:val="3"/>
          </w:tcPr>
          <w:p>
            <w:pPr>
              <w:ind w:left="80"/>
              <w:spacing w:after="0"/>
              <w:rPr>
                <w:sz w:val="20"/>
                <w:szCs w:val="20"/>
                <w:color w:val="auto"/>
              </w:rPr>
            </w:pPr>
            <w:r>
              <w:rPr>
                <w:rFonts w:ascii="Arial" w:cs="Arial" w:eastAsia="Arial" w:hAnsi="Arial"/>
                <w:sz w:val="16"/>
                <w:szCs w:val="16"/>
                <w:color w:val="auto"/>
              </w:rPr>
              <w:t>Patricia Mulroy (13)</w:t>
            </w:r>
          </w:p>
        </w:tc>
        <w:tc>
          <w:tcPr>
            <w:tcW w:w="1520" w:type="dxa"/>
            <w:vAlign w:val="bottom"/>
          </w:tcPr>
          <w:p>
            <w:pPr>
              <w:jc w:val="right"/>
              <w:spacing w:after="0"/>
              <w:rPr>
                <w:sz w:val="20"/>
                <w:szCs w:val="20"/>
                <w:color w:val="auto"/>
              </w:rPr>
            </w:pPr>
            <w:r>
              <w:rPr>
                <w:rFonts w:ascii="Arial" w:cs="Arial" w:eastAsia="Arial" w:hAnsi="Arial"/>
                <w:sz w:val="16"/>
                <w:szCs w:val="16"/>
                <w:color w:val="auto"/>
              </w:rPr>
              <w:t>15,085 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580" w:type="dxa"/>
            <w:vAlign w:val="bottom"/>
          </w:tcPr>
          <w:p>
            <w:pPr>
              <w:ind w:left="60"/>
              <w:spacing w:after="0"/>
              <w:rPr>
                <w:sz w:val="20"/>
                <w:szCs w:val="20"/>
                <w:color w:val="auto"/>
              </w:rPr>
            </w:pPr>
            <w:r>
              <w:rPr>
                <w:rFonts w:ascii="Arial" w:cs="Arial" w:eastAsia="Arial" w:hAnsi="Arial"/>
                <w:sz w:val="16"/>
                <w:szCs w:val="16"/>
                <w:color w:val="auto"/>
              </w:rPr>
              <w:t xml:space="preserve">   </w:t>
            </w:r>
          </w:p>
        </w:tc>
        <w:tc>
          <w:tcPr>
            <w:tcW w:w="1680" w:type="dxa"/>
            <w:vAlign w:val="bottom"/>
          </w:tcPr>
          <w:p>
            <w:pPr>
              <w:jc w:val="right"/>
              <w:ind w:right="380"/>
              <w:spacing w:after="0"/>
              <w:rPr>
                <w:sz w:val="20"/>
                <w:szCs w:val="20"/>
                <w:color w:val="auto"/>
              </w:rPr>
            </w:pPr>
            <w:r>
              <w:rPr>
                <w:rFonts w:ascii="Arial" w:cs="Arial" w:eastAsia="Arial" w:hAnsi="Arial"/>
                <w:sz w:val="16"/>
                <w:szCs w:val="16"/>
                <w:color w:val="auto"/>
              </w:rPr>
              <w:t>*</w:t>
            </w:r>
          </w:p>
        </w:tc>
      </w:tr>
      <w:tr>
        <w:trPr>
          <w:trHeight w:val="44"/>
        </w:trPr>
        <w:tc>
          <w:tcPr>
            <w:tcW w:w="6980" w:type="dxa"/>
            <w:vAlign w:val="bottom"/>
            <w:gridSpan w:val="3"/>
          </w:tcPr>
          <w:p>
            <w:pPr>
              <w:spacing w:after="0"/>
              <w:rPr>
                <w:sz w:val="3"/>
                <w:szCs w:val="3"/>
                <w:color w:val="auto"/>
              </w:rPr>
            </w:pPr>
          </w:p>
        </w:tc>
        <w:tc>
          <w:tcPr>
            <w:tcW w:w="1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74"/>
        </w:trPr>
        <w:tc>
          <w:tcPr>
            <w:tcW w:w="6700" w:type="dxa"/>
            <w:vAlign w:val="bottom"/>
            <w:tcBorders>
              <w:bottom w:val="single" w:sz="8" w:color="D6D1D8"/>
            </w:tcBorders>
            <w:gridSpan w:val="2"/>
            <w:shd w:val="clear" w:color="auto" w:fill="D6D1D8"/>
          </w:tcPr>
          <w:p>
            <w:pPr>
              <w:ind w:left="80"/>
              <w:spacing w:after="0"/>
              <w:rPr>
                <w:sz w:val="20"/>
                <w:szCs w:val="20"/>
                <w:color w:val="auto"/>
              </w:rPr>
            </w:pPr>
            <w:r>
              <w:rPr>
                <w:rFonts w:ascii="Arial" w:cs="Arial" w:eastAsia="Arial" w:hAnsi="Arial"/>
                <w:sz w:val="16"/>
                <w:szCs w:val="16"/>
                <w:color w:val="auto"/>
              </w:rPr>
              <w:t>Margaret J. Meyers (14)</w:t>
            </w:r>
          </w:p>
        </w:tc>
        <w:tc>
          <w:tcPr>
            <w:tcW w:w="280" w:type="dxa"/>
            <w:vAlign w:val="bottom"/>
            <w:tcBorders>
              <w:bottom w:val="single" w:sz="8" w:color="D6D1D8"/>
            </w:tcBorders>
            <w:shd w:val="clear" w:color="auto" w:fill="D6D1D8"/>
          </w:tcPr>
          <w:p>
            <w:pPr>
              <w:spacing w:after="0"/>
              <w:rPr>
                <w:sz w:val="23"/>
                <w:szCs w:val="23"/>
                <w:color w:val="auto"/>
              </w:rPr>
            </w:pPr>
          </w:p>
        </w:tc>
        <w:tc>
          <w:tcPr>
            <w:tcW w:w="1520" w:type="dxa"/>
            <w:vAlign w:val="bottom"/>
            <w:tcBorders>
              <w:bottom w:val="single" w:sz="8" w:color="D6D1D8"/>
            </w:tcBorders>
            <w:shd w:val="clear" w:color="auto" w:fill="D6D1D8"/>
          </w:tcPr>
          <w:p>
            <w:pPr>
              <w:jc w:val="right"/>
              <w:spacing w:after="0"/>
              <w:rPr>
                <w:sz w:val="20"/>
                <w:szCs w:val="20"/>
                <w:color w:val="auto"/>
              </w:rPr>
            </w:pPr>
            <w:r>
              <w:rPr>
                <w:rFonts w:ascii="Arial" w:cs="Arial" w:eastAsia="Arial" w:hAnsi="Arial"/>
                <w:sz w:val="16"/>
                <w:szCs w:val="16"/>
                <w:color w:val="auto"/>
              </w:rPr>
              <w:t>17,797 </w:t>
            </w:r>
          </w:p>
        </w:tc>
        <w:tc>
          <w:tcPr>
            <w:tcW w:w="160" w:type="dxa"/>
            <w:vAlign w:val="bottom"/>
            <w:tcBorders>
              <w:bottom w:val="single" w:sz="8" w:color="D6D1D8"/>
            </w:tcBorders>
            <w:shd w:val="clear" w:color="auto" w:fill="D6D1D8"/>
          </w:tcPr>
          <w:p>
            <w:pPr>
              <w:ind w:left="60"/>
              <w:spacing w:after="0"/>
              <w:rPr>
                <w:sz w:val="20"/>
                <w:szCs w:val="20"/>
                <w:color w:val="auto"/>
              </w:rPr>
            </w:pPr>
            <w:r>
              <w:rPr>
                <w:rFonts w:ascii="Arial" w:cs="Arial" w:eastAsia="Arial" w:hAnsi="Arial"/>
                <w:sz w:val="11"/>
                <w:szCs w:val="11"/>
                <w:color w:val="auto"/>
                <w:w w:val="72"/>
              </w:rPr>
              <w:t> </w:t>
            </w:r>
          </w:p>
        </w:tc>
        <w:tc>
          <w:tcPr>
            <w:tcW w:w="580" w:type="dxa"/>
            <w:vAlign w:val="bottom"/>
            <w:tcBorders>
              <w:bottom w:val="single" w:sz="8" w:color="D6D1D8"/>
            </w:tcBorders>
            <w:shd w:val="clear" w:color="auto" w:fill="D6D1D8"/>
          </w:tcPr>
          <w:p>
            <w:pPr>
              <w:ind w:left="60"/>
              <w:spacing w:after="0"/>
              <w:rPr>
                <w:sz w:val="20"/>
                <w:szCs w:val="20"/>
                <w:color w:val="auto"/>
              </w:rPr>
            </w:pPr>
            <w:r>
              <w:rPr>
                <w:rFonts w:ascii="Arial" w:cs="Arial" w:eastAsia="Arial" w:hAnsi="Arial"/>
                <w:sz w:val="16"/>
                <w:szCs w:val="16"/>
                <w:color w:val="auto"/>
              </w:rPr>
              <w:t xml:space="preserve">   </w:t>
            </w:r>
          </w:p>
        </w:tc>
        <w:tc>
          <w:tcPr>
            <w:tcW w:w="1680" w:type="dxa"/>
            <w:vAlign w:val="bottom"/>
            <w:tcBorders>
              <w:bottom w:val="single" w:sz="8" w:color="D6D1D8"/>
            </w:tcBorders>
            <w:shd w:val="clear" w:color="auto" w:fill="D6D1D8"/>
          </w:tcPr>
          <w:p>
            <w:pPr>
              <w:jc w:val="right"/>
              <w:ind w:right="380"/>
              <w:spacing w:after="0"/>
              <w:rPr>
                <w:sz w:val="20"/>
                <w:szCs w:val="20"/>
                <w:color w:val="auto"/>
              </w:rPr>
            </w:pPr>
            <w:r>
              <w:rPr>
                <w:rFonts w:ascii="Arial" w:cs="Arial" w:eastAsia="Arial" w:hAnsi="Arial"/>
                <w:sz w:val="16"/>
                <w:szCs w:val="16"/>
                <w:color w:val="auto"/>
              </w:rPr>
              <w:t>*</w:t>
            </w:r>
          </w:p>
        </w:tc>
      </w:tr>
      <w:tr>
        <w:trPr>
          <w:trHeight w:val="251"/>
        </w:trPr>
        <w:tc>
          <w:tcPr>
            <w:tcW w:w="6980" w:type="dxa"/>
            <w:vAlign w:val="bottom"/>
            <w:gridSpan w:val="3"/>
          </w:tcPr>
          <w:p>
            <w:pPr>
              <w:ind w:left="80"/>
              <w:spacing w:after="0"/>
              <w:rPr>
                <w:sz w:val="20"/>
                <w:szCs w:val="20"/>
                <w:color w:val="auto"/>
              </w:rPr>
            </w:pPr>
            <w:r>
              <w:rPr>
                <w:rFonts w:ascii="Arial" w:cs="Arial" w:eastAsia="Arial" w:hAnsi="Arial"/>
                <w:sz w:val="16"/>
                <w:szCs w:val="16"/>
                <w:color w:val="auto"/>
              </w:rPr>
              <w:t>Anthony Sanfilippo</w:t>
            </w:r>
          </w:p>
        </w:tc>
        <w:tc>
          <w:tcPr>
            <w:tcW w:w="1520" w:type="dxa"/>
            <w:vAlign w:val="bottom"/>
          </w:tcPr>
          <w:p>
            <w:pPr>
              <w:jc w:val="right"/>
              <w:spacing w:after="0"/>
              <w:rPr>
                <w:sz w:val="20"/>
                <w:szCs w:val="20"/>
                <w:color w:val="auto"/>
              </w:rPr>
            </w:pPr>
            <w:r>
              <w:rPr>
                <w:rFonts w:ascii="Arial" w:cs="Arial" w:eastAsia="Arial" w:hAnsi="Arial"/>
                <w:sz w:val="16"/>
                <w:szCs w:val="16"/>
                <w:color w:val="auto"/>
              </w:rPr>
              <w:t xml:space="preserve">-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580" w:type="dxa"/>
            <w:vAlign w:val="bottom"/>
          </w:tcPr>
          <w:p>
            <w:pPr>
              <w:ind w:left="60"/>
              <w:spacing w:after="0"/>
              <w:rPr>
                <w:sz w:val="20"/>
                <w:szCs w:val="20"/>
                <w:color w:val="auto"/>
              </w:rPr>
            </w:pPr>
            <w:r>
              <w:rPr>
                <w:rFonts w:ascii="Arial" w:cs="Arial" w:eastAsia="Arial" w:hAnsi="Arial"/>
                <w:sz w:val="16"/>
                <w:szCs w:val="16"/>
                <w:color w:val="auto"/>
              </w:rPr>
              <w:t>    </w:t>
            </w:r>
          </w:p>
        </w:tc>
        <w:tc>
          <w:tcPr>
            <w:tcW w:w="1680" w:type="dxa"/>
            <w:vAlign w:val="bottom"/>
          </w:tcPr>
          <w:p>
            <w:pPr>
              <w:jc w:val="right"/>
              <w:ind w:right="380"/>
              <w:spacing w:after="0"/>
              <w:rPr>
                <w:sz w:val="20"/>
                <w:szCs w:val="20"/>
                <w:color w:val="auto"/>
              </w:rPr>
            </w:pPr>
            <w:r>
              <w:rPr>
                <w:rFonts w:ascii="Arial" w:cs="Arial" w:eastAsia="Arial" w:hAnsi="Arial"/>
                <w:sz w:val="16"/>
                <w:szCs w:val="16"/>
                <w:color w:val="auto"/>
              </w:rPr>
              <w:t>*</w:t>
            </w:r>
          </w:p>
        </w:tc>
      </w:tr>
    </w:tbl>
    <w:p>
      <w:pPr>
        <w:spacing w:after="0" w:line="186" w:lineRule="exact"/>
        <w:rPr>
          <w:sz w:val="20"/>
          <w:szCs w:val="20"/>
          <w:color w:val="auto"/>
        </w:rPr>
      </w:pPr>
    </w:p>
    <w:p>
      <w:pPr>
        <w:ind w:left="160"/>
        <w:spacing w:after="0"/>
        <w:rPr>
          <w:sz w:val="20"/>
          <w:szCs w:val="20"/>
          <w:color w:val="auto"/>
        </w:rPr>
      </w:pPr>
      <w:r>
        <w:rPr>
          <w:rFonts w:ascii="Arial" w:cs="Arial" w:eastAsia="Arial" w:hAnsi="Arial"/>
          <w:sz w:val="12"/>
          <w:szCs w:val="12"/>
          <w:color w:val="351B3D"/>
        </w:rPr>
        <w:t>70</w:t>
      </w:r>
    </w:p>
    <w:p>
      <w:pPr>
        <w:sectPr>
          <w:pgSz w:w="11900" w:h="16838" w:orient="portrait"/>
          <w:cols w:equalWidth="0" w:num="1">
            <w:col w:w="11080"/>
          </w:cols>
          <w:pgMar w:left="320" w:top="478" w:right="4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1606550</wp:posOffset>
            </wp:positionV>
            <wp:extent cx="6929755" cy="13163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29755" cy="13163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160" w:type="dxa"/>
        <w:tblCellMar>
          <w:top w:w="0" w:type="dxa"/>
          <w:left w:w="0" w:type="dxa"/>
          <w:bottom w:w="0" w:type="dxa"/>
          <w:right w:w="0" w:type="dxa"/>
        </w:tblCellMar>
      </w:tblPr>
      <w:tr>
        <w:trPr>
          <w:trHeight w:val="231"/>
        </w:trPr>
        <w:tc>
          <w:tcPr>
            <w:tcW w:w="6920" w:type="dxa"/>
            <w:vAlign w:val="bottom"/>
            <w:shd w:val="clear" w:color="auto" w:fill="351B3D"/>
          </w:tcPr>
          <w:p>
            <w:pPr>
              <w:spacing w:after="0"/>
              <w:rPr>
                <w:sz w:val="20"/>
                <w:szCs w:val="20"/>
                <w:color w:val="auto"/>
              </w:rPr>
            </w:pPr>
          </w:p>
        </w:tc>
        <w:tc>
          <w:tcPr>
            <w:tcW w:w="120" w:type="dxa"/>
            <w:vAlign w:val="bottom"/>
            <w:shd w:val="clear" w:color="auto" w:fill="351B3D"/>
          </w:tcPr>
          <w:p>
            <w:pPr>
              <w:ind w:left="20"/>
              <w:spacing w:after="0"/>
              <w:rPr>
                <w:sz w:val="20"/>
                <w:szCs w:val="20"/>
                <w:color w:val="auto"/>
              </w:rPr>
            </w:pPr>
            <w:r>
              <w:rPr>
                <w:rFonts w:ascii="Arial" w:cs="Arial" w:eastAsia="Arial" w:hAnsi="Arial"/>
                <w:sz w:val="11"/>
                <w:szCs w:val="11"/>
                <w:color w:val="FFFFFF"/>
                <w:w w:val="72"/>
              </w:rPr>
              <w:t> </w:t>
            </w:r>
          </w:p>
        </w:tc>
        <w:tc>
          <w:tcPr>
            <w:tcW w:w="3520" w:type="dxa"/>
            <w:vAlign w:val="bottom"/>
            <w:gridSpan w:val="2"/>
            <w:shd w:val="clear" w:color="auto" w:fill="351B3D"/>
          </w:tcPr>
          <w:p>
            <w:pPr>
              <w:ind w:left="60"/>
              <w:spacing w:after="0"/>
              <w:rPr>
                <w:sz w:val="20"/>
                <w:szCs w:val="20"/>
                <w:color w:val="auto"/>
              </w:rPr>
            </w:pPr>
            <w:r>
              <w:rPr>
                <w:rFonts w:ascii="Arial" w:cs="Arial" w:eastAsia="Arial" w:hAnsi="Arial"/>
                <w:sz w:val="16"/>
                <w:szCs w:val="16"/>
                <w:color w:val="FFFFFF"/>
                <w:w w:val="97"/>
              </w:rPr>
              <w:t xml:space="preserve">     BENEFICIAL OWNERSHIP OF SHARES (1) </w:t>
            </w:r>
          </w:p>
        </w:tc>
        <w:tc>
          <w:tcPr>
            <w:tcW w:w="160" w:type="dxa"/>
            <w:vAlign w:val="bottom"/>
            <w:shd w:val="clear" w:color="auto" w:fill="351B3D"/>
          </w:tcPr>
          <w:p>
            <w:pPr>
              <w:ind w:left="120"/>
              <w:spacing w:after="0"/>
              <w:rPr>
                <w:sz w:val="20"/>
                <w:szCs w:val="20"/>
                <w:color w:val="auto"/>
              </w:rPr>
            </w:pPr>
            <w:r>
              <w:rPr>
                <w:rFonts w:ascii="Arial" w:cs="Arial" w:eastAsia="Arial" w:hAnsi="Arial"/>
                <w:sz w:val="2"/>
                <w:szCs w:val="2"/>
                <w:color w:val="FFFFFF"/>
                <w:w w:val="97"/>
              </w:rPr>
              <w:t> </w:t>
            </w:r>
          </w:p>
        </w:tc>
        <w:tc>
          <w:tcPr>
            <w:tcW w:w="200" w:type="dxa"/>
            <w:vAlign w:val="bottom"/>
            <w:shd w:val="clear" w:color="auto" w:fill="351B3D"/>
          </w:tcPr>
          <w:p>
            <w:pPr>
              <w:ind w:left="120"/>
              <w:spacing w:after="0"/>
              <w:rPr>
                <w:sz w:val="20"/>
                <w:szCs w:val="20"/>
                <w:color w:val="auto"/>
              </w:rPr>
            </w:pPr>
            <w:r>
              <w:rPr>
                <w:rFonts w:ascii="Arial" w:cs="Arial" w:eastAsia="Arial" w:hAnsi="Arial"/>
                <w:sz w:val="16"/>
                <w:szCs w:val="16"/>
                <w:color w:val="FFFFFF"/>
                <w:w w:val="74"/>
              </w:rPr>
              <w:t> </w:t>
            </w:r>
          </w:p>
        </w:tc>
      </w:tr>
      <w:tr>
        <w:trPr>
          <w:trHeight w:val="337"/>
        </w:trPr>
        <w:tc>
          <w:tcPr>
            <w:tcW w:w="6920" w:type="dxa"/>
            <w:vAlign w:val="bottom"/>
            <w:tcBorders>
              <w:bottom w:val="single" w:sz="8" w:color="351B3D"/>
            </w:tcBorders>
            <w:shd w:val="clear" w:color="auto" w:fill="351B3D"/>
          </w:tcPr>
          <w:p>
            <w:pPr>
              <w:ind w:left="80"/>
              <w:spacing w:after="0"/>
              <w:rPr>
                <w:sz w:val="20"/>
                <w:szCs w:val="20"/>
                <w:color w:val="auto"/>
              </w:rPr>
            </w:pPr>
            <w:r>
              <w:rPr>
                <w:rFonts w:ascii="Arial" w:cs="Arial" w:eastAsia="Arial" w:hAnsi="Arial"/>
                <w:sz w:val="16"/>
                <w:szCs w:val="16"/>
                <w:color w:val="FFFFFF"/>
              </w:rPr>
              <w:t>NAME AND ADDRESS OF BENEFICIAL OWNER (2)</w:t>
            </w:r>
          </w:p>
        </w:tc>
        <w:tc>
          <w:tcPr>
            <w:tcW w:w="120" w:type="dxa"/>
            <w:vAlign w:val="bottom"/>
            <w:tcBorders>
              <w:bottom w:val="single" w:sz="8" w:color="351B3D"/>
            </w:tcBorders>
            <w:shd w:val="clear" w:color="auto" w:fill="351B3D"/>
          </w:tcPr>
          <w:p>
            <w:pPr>
              <w:spacing w:after="0"/>
              <w:rPr>
                <w:sz w:val="24"/>
                <w:szCs w:val="24"/>
                <w:color w:val="auto"/>
              </w:rPr>
            </w:pPr>
          </w:p>
        </w:tc>
        <w:tc>
          <w:tcPr>
            <w:tcW w:w="2500" w:type="dxa"/>
            <w:vAlign w:val="bottom"/>
            <w:tcBorders>
              <w:bottom w:val="single" w:sz="8" w:color="351B3D"/>
            </w:tcBorders>
            <w:shd w:val="clear" w:color="auto" w:fill="351B3D"/>
          </w:tcPr>
          <w:p>
            <w:pPr>
              <w:jc w:val="right"/>
              <w:ind w:right="880"/>
              <w:spacing w:after="0"/>
              <w:rPr>
                <w:sz w:val="20"/>
                <w:szCs w:val="20"/>
                <w:color w:val="auto"/>
              </w:rPr>
            </w:pPr>
            <w:r>
              <w:rPr>
                <w:rFonts w:ascii="Arial" w:cs="Arial" w:eastAsia="Arial" w:hAnsi="Arial"/>
                <w:sz w:val="16"/>
                <w:szCs w:val="16"/>
                <w:color w:val="FFFFFF"/>
              </w:rPr>
              <w:t>NUMBER</w:t>
            </w:r>
          </w:p>
        </w:tc>
        <w:tc>
          <w:tcPr>
            <w:tcW w:w="1380" w:type="dxa"/>
            <w:vAlign w:val="bottom"/>
            <w:tcBorders>
              <w:bottom w:val="single" w:sz="8" w:color="351B3D"/>
            </w:tcBorders>
            <w:gridSpan w:val="3"/>
            <w:shd w:val="clear" w:color="auto" w:fill="351B3D"/>
          </w:tcPr>
          <w:p>
            <w:pPr>
              <w:ind w:left="140"/>
              <w:spacing w:after="0"/>
              <w:rPr>
                <w:sz w:val="20"/>
                <w:szCs w:val="20"/>
                <w:color w:val="auto"/>
              </w:rPr>
            </w:pPr>
            <w:r>
              <w:rPr>
                <w:rFonts w:ascii="Arial" w:cs="Arial" w:eastAsia="Arial" w:hAnsi="Arial"/>
                <w:sz w:val="16"/>
                <w:szCs w:val="16"/>
                <w:color w:val="FFFFFF"/>
              </w:rPr>
              <w:t>PERCENTAGE</w:t>
            </w:r>
          </w:p>
        </w:tc>
      </w:tr>
      <w:tr>
        <w:trPr>
          <w:trHeight w:val="274"/>
        </w:trPr>
        <w:tc>
          <w:tcPr>
            <w:tcW w:w="6920" w:type="dxa"/>
            <w:vAlign w:val="bottom"/>
            <w:tcBorders>
              <w:bottom w:val="single" w:sz="8" w:color="D6D1D8"/>
            </w:tcBorders>
            <w:shd w:val="clear" w:color="auto" w:fill="D6D1D8"/>
          </w:tcPr>
          <w:p>
            <w:pPr>
              <w:ind w:left="80"/>
              <w:spacing w:after="0"/>
              <w:rPr>
                <w:sz w:val="20"/>
                <w:szCs w:val="20"/>
                <w:color w:val="auto"/>
              </w:rPr>
            </w:pPr>
            <w:r>
              <w:rPr>
                <w:rFonts w:ascii="Arial" w:cs="Arial" w:eastAsia="Arial" w:hAnsi="Arial"/>
                <w:sz w:val="16"/>
                <w:szCs w:val="16"/>
                <w:color w:val="auto"/>
              </w:rPr>
              <w:t>Darnell O. Strom (15)</w:t>
            </w:r>
          </w:p>
        </w:tc>
        <w:tc>
          <w:tcPr>
            <w:tcW w:w="120" w:type="dxa"/>
            <w:vAlign w:val="bottom"/>
            <w:tcBorders>
              <w:bottom w:val="single" w:sz="8" w:color="D6D1D8"/>
            </w:tcBorders>
            <w:shd w:val="clear" w:color="auto" w:fill="D6D1D8"/>
          </w:tcPr>
          <w:p>
            <w:pPr>
              <w:spacing w:after="0"/>
              <w:rPr>
                <w:sz w:val="23"/>
                <w:szCs w:val="23"/>
                <w:color w:val="auto"/>
              </w:rPr>
            </w:pPr>
          </w:p>
        </w:tc>
        <w:tc>
          <w:tcPr>
            <w:tcW w:w="2500" w:type="dxa"/>
            <w:vAlign w:val="bottom"/>
            <w:tcBorders>
              <w:bottom w:val="single" w:sz="8" w:color="D6D1D8"/>
            </w:tcBorders>
            <w:shd w:val="clear" w:color="auto" w:fill="D6D1D8"/>
          </w:tcPr>
          <w:p>
            <w:pPr>
              <w:jc w:val="right"/>
              <w:ind w:right="60"/>
              <w:spacing w:after="0"/>
              <w:rPr>
                <w:sz w:val="20"/>
                <w:szCs w:val="20"/>
                <w:color w:val="auto"/>
              </w:rPr>
            </w:pPr>
            <w:r>
              <w:rPr>
                <w:rFonts w:ascii="Arial" w:cs="Arial" w:eastAsia="Arial" w:hAnsi="Arial"/>
                <w:sz w:val="16"/>
                <w:szCs w:val="16"/>
                <w:color w:val="auto"/>
              </w:rPr>
              <w:t>13,941              </w:t>
            </w:r>
          </w:p>
        </w:tc>
        <w:tc>
          <w:tcPr>
            <w:tcW w:w="1020" w:type="dxa"/>
            <w:vAlign w:val="bottom"/>
            <w:tcBorders>
              <w:bottom w:val="single" w:sz="8" w:color="D6D1D8"/>
            </w:tcBorders>
            <w:shd w:val="clear" w:color="auto" w:fill="D6D1D8"/>
          </w:tcPr>
          <w:p>
            <w:pPr>
              <w:ind w:left="800"/>
              <w:spacing w:after="0"/>
              <w:rPr>
                <w:sz w:val="20"/>
                <w:szCs w:val="20"/>
                <w:color w:val="auto"/>
              </w:rPr>
            </w:pPr>
            <w:r>
              <w:rPr>
                <w:rFonts w:ascii="Arial" w:cs="Arial" w:eastAsia="Arial" w:hAnsi="Arial"/>
                <w:sz w:val="16"/>
                <w:szCs w:val="16"/>
                <w:color w:val="auto"/>
              </w:rPr>
              <w:t xml:space="preserve">* </w:t>
            </w:r>
          </w:p>
        </w:tc>
        <w:tc>
          <w:tcPr>
            <w:tcW w:w="160" w:type="dxa"/>
            <w:vAlign w:val="bottom"/>
            <w:tcBorders>
              <w:bottom w:val="single" w:sz="8" w:color="D6D1D8"/>
            </w:tcBorders>
            <w:shd w:val="clear" w:color="auto" w:fill="D6D1D8"/>
          </w:tcPr>
          <w:p>
            <w:pPr>
              <w:spacing w:after="0"/>
              <w:rPr>
                <w:sz w:val="20"/>
                <w:szCs w:val="20"/>
                <w:color w:val="auto"/>
              </w:rPr>
            </w:pPr>
            <w:r>
              <w:rPr>
                <w:rFonts w:ascii="Arial" w:cs="Arial" w:eastAsia="Arial" w:hAnsi="Arial"/>
                <w:sz w:val="16"/>
                <w:szCs w:val="16"/>
                <w:color w:val="auto"/>
                <w:w w:val="87"/>
              </w:rPr>
              <w:t> </w:t>
            </w:r>
          </w:p>
        </w:tc>
        <w:tc>
          <w:tcPr>
            <w:tcW w:w="200" w:type="dxa"/>
            <w:vAlign w:val="bottom"/>
            <w:tcBorders>
              <w:bottom w:val="single" w:sz="8" w:color="D6D1D8"/>
            </w:tcBorders>
            <w:shd w:val="clear" w:color="auto" w:fill="D6D1D8"/>
          </w:tcPr>
          <w:p>
            <w:pPr>
              <w:spacing w:after="0"/>
              <w:rPr>
                <w:sz w:val="20"/>
                <w:szCs w:val="20"/>
                <w:color w:val="auto"/>
              </w:rPr>
            </w:pPr>
            <w:r>
              <w:rPr>
                <w:rFonts w:ascii="Arial" w:cs="Arial" w:eastAsia="Arial" w:hAnsi="Arial"/>
                <w:sz w:val="16"/>
                <w:szCs w:val="16"/>
                <w:color w:val="auto"/>
              </w:rPr>
              <w:t> </w:t>
            </w:r>
          </w:p>
        </w:tc>
      </w:tr>
      <w:tr>
        <w:trPr>
          <w:trHeight w:val="251"/>
        </w:trPr>
        <w:tc>
          <w:tcPr>
            <w:tcW w:w="7040" w:type="dxa"/>
            <w:vAlign w:val="bottom"/>
            <w:gridSpan w:val="2"/>
          </w:tcPr>
          <w:p>
            <w:pPr>
              <w:ind w:left="80"/>
              <w:spacing w:after="0"/>
              <w:rPr>
                <w:sz w:val="20"/>
                <w:szCs w:val="20"/>
                <w:color w:val="auto"/>
              </w:rPr>
            </w:pPr>
            <w:r>
              <w:rPr>
                <w:rFonts w:ascii="Arial" w:cs="Arial" w:eastAsia="Arial" w:hAnsi="Arial"/>
                <w:sz w:val="16"/>
                <w:szCs w:val="16"/>
                <w:color w:val="auto"/>
              </w:rPr>
              <w:t>Craig S. Billings (16)</w:t>
            </w:r>
          </w:p>
        </w:tc>
        <w:tc>
          <w:tcPr>
            <w:tcW w:w="2500" w:type="dxa"/>
            <w:vAlign w:val="bottom"/>
          </w:tcPr>
          <w:p>
            <w:pPr>
              <w:jc w:val="right"/>
              <w:ind w:right="60"/>
              <w:spacing w:after="0"/>
              <w:rPr>
                <w:sz w:val="20"/>
                <w:szCs w:val="20"/>
                <w:color w:val="auto"/>
              </w:rPr>
            </w:pPr>
            <w:r>
              <w:rPr>
                <w:rFonts w:ascii="Arial" w:cs="Arial" w:eastAsia="Arial" w:hAnsi="Arial"/>
                <w:sz w:val="16"/>
                <w:szCs w:val="16"/>
                <w:color w:val="auto"/>
              </w:rPr>
              <w:t>360,198              </w:t>
            </w:r>
          </w:p>
        </w:tc>
        <w:tc>
          <w:tcPr>
            <w:tcW w:w="1020" w:type="dxa"/>
            <w:vAlign w:val="bottom"/>
          </w:tcPr>
          <w:p>
            <w:pPr>
              <w:ind w:left="800"/>
              <w:spacing w:after="0"/>
              <w:rPr>
                <w:sz w:val="20"/>
                <w:szCs w:val="20"/>
                <w:color w:val="auto"/>
              </w:rPr>
            </w:pPr>
            <w:r>
              <w:rPr>
                <w:rFonts w:ascii="Arial" w:cs="Arial" w:eastAsia="Arial" w:hAnsi="Arial"/>
                <w:sz w:val="16"/>
                <w:szCs w:val="16"/>
                <w:color w:val="auto"/>
              </w:rPr>
              <w:t xml:space="preserve">* </w:t>
            </w:r>
          </w:p>
        </w:tc>
        <w:tc>
          <w:tcPr>
            <w:tcW w:w="160" w:type="dxa"/>
            <w:vAlign w:val="bottom"/>
          </w:tcPr>
          <w:p>
            <w:pPr>
              <w:spacing w:after="0"/>
              <w:rPr>
                <w:sz w:val="20"/>
                <w:szCs w:val="20"/>
                <w:color w:val="auto"/>
              </w:rPr>
            </w:pPr>
            <w:r>
              <w:rPr>
                <w:rFonts w:ascii="Arial" w:cs="Arial" w:eastAsia="Arial" w:hAnsi="Arial"/>
                <w:sz w:val="16"/>
                <w:szCs w:val="16"/>
                <w:color w:val="auto"/>
                <w:w w:val="87"/>
              </w:rPr>
              <w:t> </w:t>
            </w:r>
          </w:p>
        </w:tc>
        <w:tc>
          <w:tcPr>
            <w:tcW w:w="200" w:type="dxa"/>
            <w:vAlign w:val="bottom"/>
          </w:tcPr>
          <w:p>
            <w:pPr>
              <w:spacing w:after="0"/>
              <w:rPr>
                <w:sz w:val="20"/>
                <w:szCs w:val="20"/>
                <w:color w:val="auto"/>
              </w:rPr>
            </w:pPr>
            <w:r>
              <w:rPr>
                <w:rFonts w:ascii="Arial" w:cs="Arial" w:eastAsia="Arial" w:hAnsi="Arial"/>
                <w:sz w:val="16"/>
                <w:szCs w:val="16"/>
                <w:color w:val="auto"/>
              </w:rPr>
              <w:t> </w:t>
            </w:r>
          </w:p>
        </w:tc>
      </w:tr>
      <w:tr>
        <w:trPr>
          <w:trHeight w:val="44"/>
        </w:trPr>
        <w:tc>
          <w:tcPr>
            <w:tcW w:w="7040" w:type="dxa"/>
            <w:vAlign w:val="bottom"/>
            <w:gridSpan w:val="2"/>
          </w:tcPr>
          <w:p>
            <w:pPr>
              <w:spacing w:after="0"/>
              <w:rPr>
                <w:sz w:val="3"/>
                <w:szCs w:val="3"/>
                <w:color w:val="auto"/>
              </w:rPr>
            </w:pPr>
          </w:p>
        </w:tc>
        <w:tc>
          <w:tcPr>
            <w:tcW w:w="25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74"/>
        </w:trPr>
        <w:tc>
          <w:tcPr>
            <w:tcW w:w="6920" w:type="dxa"/>
            <w:vAlign w:val="bottom"/>
            <w:tcBorders>
              <w:bottom w:val="single" w:sz="8" w:color="D6D1D8"/>
            </w:tcBorders>
            <w:shd w:val="clear" w:color="auto" w:fill="D6D1D8"/>
          </w:tcPr>
          <w:p>
            <w:pPr>
              <w:ind w:left="80"/>
              <w:spacing w:after="0"/>
              <w:rPr>
                <w:sz w:val="20"/>
                <w:szCs w:val="20"/>
                <w:color w:val="auto"/>
              </w:rPr>
            </w:pPr>
            <w:r>
              <w:rPr>
                <w:rFonts w:ascii="Arial" w:cs="Arial" w:eastAsia="Arial" w:hAnsi="Arial"/>
                <w:sz w:val="16"/>
                <w:szCs w:val="16"/>
                <w:color w:val="auto"/>
              </w:rPr>
              <w:t>Julie M. Cameron-Doe (17)</w:t>
            </w:r>
          </w:p>
        </w:tc>
        <w:tc>
          <w:tcPr>
            <w:tcW w:w="120" w:type="dxa"/>
            <w:vAlign w:val="bottom"/>
            <w:tcBorders>
              <w:bottom w:val="single" w:sz="8" w:color="D6D1D8"/>
            </w:tcBorders>
            <w:shd w:val="clear" w:color="auto" w:fill="D6D1D8"/>
          </w:tcPr>
          <w:p>
            <w:pPr>
              <w:spacing w:after="0"/>
              <w:rPr>
                <w:sz w:val="23"/>
                <w:szCs w:val="23"/>
                <w:color w:val="auto"/>
              </w:rPr>
            </w:pPr>
          </w:p>
        </w:tc>
        <w:tc>
          <w:tcPr>
            <w:tcW w:w="2500" w:type="dxa"/>
            <w:vAlign w:val="bottom"/>
            <w:tcBorders>
              <w:bottom w:val="single" w:sz="8" w:color="D6D1D8"/>
            </w:tcBorders>
            <w:shd w:val="clear" w:color="auto" w:fill="D6D1D8"/>
          </w:tcPr>
          <w:p>
            <w:pPr>
              <w:jc w:val="right"/>
              <w:ind w:right="60"/>
              <w:spacing w:after="0"/>
              <w:rPr>
                <w:sz w:val="20"/>
                <w:szCs w:val="20"/>
                <w:color w:val="auto"/>
              </w:rPr>
            </w:pPr>
            <w:r>
              <w:rPr>
                <w:rFonts w:ascii="Arial" w:cs="Arial" w:eastAsia="Arial" w:hAnsi="Arial"/>
                <w:sz w:val="16"/>
                <w:szCs w:val="16"/>
                <w:color w:val="auto"/>
              </w:rPr>
              <w:t>89,561              </w:t>
            </w:r>
          </w:p>
        </w:tc>
        <w:tc>
          <w:tcPr>
            <w:tcW w:w="1020" w:type="dxa"/>
            <w:vAlign w:val="bottom"/>
            <w:tcBorders>
              <w:bottom w:val="single" w:sz="8" w:color="D6D1D8"/>
            </w:tcBorders>
            <w:shd w:val="clear" w:color="auto" w:fill="D6D1D8"/>
          </w:tcPr>
          <w:p>
            <w:pPr>
              <w:ind w:left="800"/>
              <w:spacing w:after="0"/>
              <w:rPr>
                <w:sz w:val="20"/>
                <w:szCs w:val="20"/>
                <w:color w:val="auto"/>
              </w:rPr>
            </w:pPr>
            <w:r>
              <w:rPr>
                <w:rFonts w:ascii="Arial" w:cs="Arial" w:eastAsia="Arial" w:hAnsi="Arial"/>
                <w:sz w:val="16"/>
                <w:szCs w:val="16"/>
                <w:color w:val="auto"/>
              </w:rPr>
              <w:t xml:space="preserve">* </w:t>
            </w:r>
          </w:p>
        </w:tc>
        <w:tc>
          <w:tcPr>
            <w:tcW w:w="160" w:type="dxa"/>
            <w:vAlign w:val="bottom"/>
            <w:tcBorders>
              <w:bottom w:val="single" w:sz="8" w:color="D6D1D8"/>
            </w:tcBorders>
            <w:shd w:val="clear" w:color="auto" w:fill="D6D1D8"/>
          </w:tcPr>
          <w:p>
            <w:pPr>
              <w:spacing w:after="0"/>
              <w:rPr>
                <w:sz w:val="20"/>
                <w:szCs w:val="20"/>
                <w:color w:val="auto"/>
              </w:rPr>
            </w:pPr>
            <w:r>
              <w:rPr>
                <w:rFonts w:ascii="Arial" w:cs="Arial" w:eastAsia="Arial" w:hAnsi="Arial"/>
                <w:sz w:val="16"/>
                <w:szCs w:val="16"/>
                <w:color w:val="auto"/>
                <w:w w:val="87"/>
              </w:rPr>
              <w:t> </w:t>
            </w:r>
          </w:p>
        </w:tc>
        <w:tc>
          <w:tcPr>
            <w:tcW w:w="200" w:type="dxa"/>
            <w:vAlign w:val="bottom"/>
            <w:tcBorders>
              <w:bottom w:val="single" w:sz="8" w:color="D6D1D8"/>
            </w:tcBorders>
            <w:shd w:val="clear" w:color="auto" w:fill="D6D1D8"/>
          </w:tcPr>
          <w:p>
            <w:pPr>
              <w:spacing w:after="0"/>
              <w:rPr>
                <w:sz w:val="20"/>
                <w:szCs w:val="20"/>
                <w:color w:val="auto"/>
              </w:rPr>
            </w:pPr>
            <w:r>
              <w:rPr>
                <w:rFonts w:ascii="Arial" w:cs="Arial" w:eastAsia="Arial" w:hAnsi="Arial"/>
                <w:sz w:val="16"/>
                <w:szCs w:val="16"/>
                <w:color w:val="auto"/>
              </w:rPr>
              <w:t> </w:t>
            </w:r>
          </w:p>
        </w:tc>
      </w:tr>
      <w:tr>
        <w:trPr>
          <w:trHeight w:val="251"/>
        </w:trPr>
        <w:tc>
          <w:tcPr>
            <w:tcW w:w="7040" w:type="dxa"/>
            <w:vAlign w:val="bottom"/>
            <w:gridSpan w:val="2"/>
          </w:tcPr>
          <w:p>
            <w:pPr>
              <w:ind w:left="80"/>
              <w:spacing w:after="0"/>
              <w:rPr>
                <w:sz w:val="20"/>
                <w:szCs w:val="20"/>
                <w:color w:val="auto"/>
              </w:rPr>
            </w:pPr>
            <w:r>
              <w:rPr>
                <w:rFonts w:ascii="Arial" w:cs="Arial" w:eastAsia="Arial" w:hAnsi="Arial"/>
                <w:sz w:val="16"/>
                <w:szCs w:val="16"/>
                <w:color w:val="auto"/>
              </w:rPr>
              <w:t>Ellen F. Whittemore (18)</w:t>
            </w:r>
          </w:p>
        </w:tc>
        <w:tc>
          <w:tcPr>
            <w:tcW w:w="2500" w:type="dxa"/>
            <w:vAlign w:val="bottom"/>
          </w:tcPr>
          <w:p>
            <w:pPr>
              <w:jc w:val="right"/>
              <w:ind w:right="60"/>
              <w:spacing w:after="0"/>
              <w:rPr>
                <w:sz w:val="20"/>
                <w:szCs w:val="20"/>
                <w:color w:val="auto"/>
              </w:rPr>
            </w:pPr>
            <w:r>
              <w:rPr>
                <w:rFonts w:ascii="Arial" w:cs="Arial" w:eastAsia="Arial" w:hAnsi="Arial"/>
                <w:sz w:val="16"/>
                <w:szCs w:val="16"/>
                <w:color w:val="auto"/>
              </w:rPr>
              <w:t>107,316              </w:t>
            </w:r>
          </w:p>
        </w:tc>
        <w:tc>
          <w:tcPr>
            <w:tcW w:w="1020" w:type="dxa"/>
            <w:vAlign w:val="bottom"/>
          </w:tcPr>
          <w:p>
            <w:pPr>
              <w:ind w:left="800"/>
              <w:spacing w:after="0"/>
              <w:rPr>
                <w:sz w:val="20"/>
                <w:szCs w:val="20"/>
                <w:color w:val="auto"/>
              </w:rPr>
            </w:pPr>
            <w:r>
              <w:rPr>
                <w:rFonts w:ascii="Arial" w:cs="Arial" w:eastAsia="Arial" w:hAnsi="Arial"/>
                <w:sz w:val="16"/>
                <w:szCs w:val="16"/>
                <w:color w:val="auto"/>
              </w:rPr>
              <w:t xml:space="preserve">* </w:t>
            </w:r>
          </w:p>
        </w:tc>
        <w:tc>
          <w:tcPr>
            <w:tcW w:w="160" w:type="dxa"/>
            <w:vAlign w:val="bottom"/>
          </w:tcPr>
          <w:p>
            <w:pPr>
              <w:spacing w:after="0"/>
              <w:rPr>
                <w:sz w:val="20"/>
                <w:szCs w:val="20"/>
                <w:color w:val="auto"/>
              </w:rPr>
            </w:pPr>
            <w:r>
              <w:rPr>
                <w:rFonts w:ascii="Arial" w:cs="Arial" w:eastAsia="Arial" w:hAnsi="Arial"/>
                <w:sz w:val="16"/>
                <w:szCs w:val="16"/>
                <w:color w:val="auto"/>
                <w:w w:val="87"/>
              </w:rPr>
              <w:t> </w:t>
            </w:r>
          </w:p>
        </w:tc>
        <w:tc>
          <w:tcPr>
            <w:tcW w:w="200" w:type="dxa"/>
            <w:vAlign w:val="bottom"/>
          </w:tcPr>
          <w:p>
            <w:pPr>
              <w:spacing w:after="0"/>
              <w:rPr>
                <w:sz w:val="20"/>
                <w:szCs w:val="20"/>
                <w:color w:val="auto"/>
              </w:rPr>
            </w:pPr>
            <w:r>
              <w:rPr>
                <w:rFonts w:ascii="Arial" w:cs="Arial" w:eastAsia="Arial" w:hAnsi="Arial"/>
                <w:sz w:val="16"/>
                <w:szCs w:val="16"/>
                <w:color w:val="auto"/>
              </w:rPr>
              <w:t> </w:t>
            </w:r>
          </w:p>
        </w:tc>
      </w:tr>
      <w:tr>
        <w:trPr>
          <w:trHeight w:val="44"/>
        </w:trPr>
        <w:tc>
          <w:tcPr>
            <w:tcW w:w="7040" w:type="dxa"/>
            <w:vAlign w:val="bottom"/>
            <w:gridSpan w:val="2"/>
          </w:tcPr>
          <w:p>
            <w:pPr>
              <w:spacing w:after="0"/>
              <w:rPr>
                <w:sz w:val="3"/>
                <w:szCs w:val="3"/>
                <w:color w:val="auto"/>
              </w:rPr>
            </w:pPr>
          </w:p>
        </w:tc>
        <w:tc>
          <w:tcPr>
            <w:tcW w:w="25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74"/>
        </w:trPr>
        <w:tc>
          <w:tcPr>
            <w:tcW w:w="6920" w:type="dxa"/>
            <w:vAlign w:val="bottom"/>
            <w:tcBorders>
              <w:bottom w:val="single" w:sz="8" w:color="D6D1D8"/>
            </w:tcBorders>
            <w:shd w:val="clear" w:color="auto" w:fill="D6D1D8"/>
          </w:tcPr>
          <w:p>
            <w:pPr>
              <w:ind w:left="80"/>
              <w:spacing w:after="0"/>
              <w:rPr>
                <w:sz w:val="20"/>
                <w:szCs w:val="20"/>
                <w:color w:val="auto"/>
              </w:rPr>
            </w:pPr>
            <w:r>
              <w:rPr>
                <w:rFonts w:ascii="Arial" w:cs="Arial" w:eastAsia="Arial" w:hAnsi="Arial"/>
                <w:sz w:val="16"/>
                <w:szCs w:val="16"/>
                <w:color w:val="auto"/>
              </w:rPr>
              <w:t>Jacqui Krum (19)</w:t>
            </w:r>
          </w:p>
        </w:tc>
        <w:tc>
          <w:tcPr>
            <w:tcW w:w="120" w:type="dxa"/>
            <w:vAlign w:val="bottom"/>
            <w:tcBorders>
              <w:bottom w:val="single" w:sz="8" w:color="D6D1D8"/>
            </w:tcBorders>
            <w:shd w:val="clear" w:color="auto" w:fill="D6D1D8"/>
          </w:tcPr>
          <w:p>
            <w:pPr>
              <w:spacing w:after="0"/>
              <w:rPr>
                <w:sz w:val="23"/>
                <w:szCs w:val="23"/>
                <w:color w:val="auto"/>
              </w:rPr>
            </w:pPr>
          </w:p>
        </w:tc>
        <w:tc>
          <w:tcPr>
            <w:tcW w:w="2500" w:type="dxa"/>
            <w:vAlign w:val="bottom"/>
            <w:tcBorders>
              <w:bottom w:val="single" w:sz="8" w:color="D6D1D8"/>
            </w:tcBorders>
            <w:shd w:val="clear" w:color="auto" w:fill="D6D1D8"/>
          </w:tcPr>
          <w:p>
            <w:pPr>
              <w:jc w:val="right"/>
              <w:ind w:right="60"/>
              <w:spacing w:after="0"/>
              <w:rPr>
                <w:sz w:val="20"/>
                <w:szCs w:val="20"/>
                <w:color w:val="auto"/>
              </w:rPr>
            </w:pPr>
            <w:r>
              <w:rPr>
                <w:rFonts w:ascii="Arial" w:cs="Arial" w:eastAsia="Arial" w:hAnsi="Arial"/>
                <w:sz w:val="16"/>
                <w:szCs w:val="16"/>
                <w:color w:val="auto"/>
              </w:rPr>
              <w:t>44,242              </w:t>
            </w:r>
          </w:p>
        </w:tc>
        <w:tc>
          <w:tcPr>
            <w:tcW w:w="1020" w:type="dxa"/>
            <w:vAlign w:val="bottom"/>
            <w:tcBorders>
              <w:bottom w:val="single" w:sz="8" w:color="D6D1D8"/>
            </w:tcBorders>
            <w:shd w:val="clear" w:color="auto" w:fill="D6D1D8"/>
          </w:tcPr>
          <w:p>
            <w:pPr>
              <w:ind w:left="800"/>
              <w:spacing w:after="0"/>
              <w:rPr>
                <w:sz w:val="20"/>
                <w:szCs w:val="20"/>
                <w:color w:val="auto"/>
              </w:rPr>
            </w:pPr>
            <w:r>
              <w:rPr>
                <w:rFonts w:ascii="Arial" w:cs="Arial" w:eastAsia="Arial" w:hAnsi="Arial"/>
                <w:sz w:val="16"/>
                <w:szCs w:val="16"/>
                <w:color w:val="auto"/>
              </w:rPr>
              <w:t xml:space="preserve">* </w:t>
            </w:r>
          </w:p>
        </w:tc>
        <w:tc>
          <w:tcPr>
            <w:tcW w:w="160" w:type="dxa"/>
            <w:vAlign w:val="bottom"/>
            <w:tcBorders>
              <w:bottom w:val="single" w:sz="8" w:color="D6D1D8"/>
            </w:tcBorders>
            <w:shd w:val="clear" w:color="auto" w:fill="D6D1D8"/>
          </w:tcPr>
          <w:p>
            <w:pPr>
              <w:spacing w:after="0"/>
              <w:rPr>
                <w:sz w:val="20"/>
                <w:szCs w:val="20"/>
                <w:color w:val="auto"/>
              </w:rPr>
            </w:pPr>
            <w:r>
              <w:rPr>
                <w:rFonts w:ascii="Arial" w:cs="Arial" w:eastAsia="Arial" w:hAnsi="Arial"/>
                <w:sz w:val="16"/>
                <w:szCs w:val="16"/>
                <w:color w:val="auto"/>
                <w:w w:val="87"/>
              </w:rPr>
              <w:t> </w:t>
            </w:r>
          </w:p>
        </w:tc>
        <w:tc>
          <w:tcPr>
            <w:tcW w:w="200" w:type="dxa"/>
            <w:vAlign w:val="bottom"/>
            <w:tcBorders>
              <w:bottom w:val="single" w:sz="8" w:color="D6D1D8"/>
            </w:tcBorders>
            <w:shd w:val="clear" w:color="auto" w:fill="D6D1D8"/>
          </w:tcPr>
          <w:p>
            <w:pPr>
              <w:spacing w:after="0"/>
              <w:rPr>
                <w:sz w:val="20"/>
                <w:szCs w:val="20"/>
                <w:color w:val="auto"/>
              </w:rPr>
            </w:pPr>
            <w:r>
              <w:rPr>
                <w:rFonts w:ascii="Arial" w:cs="Arial" w:eastAsia="Arial" w:hAnsi="Arial"/>
                <w:sz w:val="16"/>
                <w:szCs w:val="16"/>
                <w:color w:val="auto"/>
              </w:rPr>
              <w:t> </w:t>
            </w:r>
          </w:p>
        </w:tc>
      </w:tr>
      <w:tr>
        <w:trPr>
          <w:trHeight w:val="251"/>
        </w:trPr>
        <w:tc>
          <w:tcPr>
            <w:tcW w:w="7040" w:type="dxa"/>
            <w:vAlign w:val="bottom"/>
            <w:gridSpan w:val="2"/>
          </w:tcPr>
          <w:p>
            <w:pPr>
              <w:ind w:left="80"/>
              <w:spacing w:after="0"/>
              <w:rPr>
                <w:sz w:val="20"/>
                <w:szCs w:val="20"/>
                <w:color w:val="auto"/>
              </w:rPr>
            </w:pPr>
            <w:r>
              <w:rPr>
                <w:rFonts w:ascii="Arial" w:cs="Arial" w:eastAsia="Arial" w:hAnsi="Arial"/>
                <w:sz w:val="16"/>
                <w:szCs w:val="16"/>
                <w:color w:val="auto"/>
              </w:rPr>
              <w:t>All current directors, director nominees, and executive officers as a group (12 persons)</w:t>
            </w:r>
          </w:p>
        </w:tc>
        <w:tc>
          <w:tcPr>
            <w:tcW w:w="2500" w:type="dxa"/>
            <w:vAlign w:val="bottom"/>
          </w:tcPr>
          <w:p>
            <w:pPr>
              <w:jc w:val="right"/>
              <w:ind w:right="60"/>
              <w:spacing w:after="0"/>
              <w:rPr>
                <w:sz w:val="20"/>
                <w:szCs w:val="20"/>
                <w:color w:val="auto"/>
              </w:rPr>
            </w:pPr>
            <w:r>
              <w:rPr>
                <w:rFonts w:ascii="Arial" w:cs="Arial" w:eastAsia="Arial" w:hAnsi="Arial"/>
                <w:sz w:val="16"/>
                <w:szCs w:val="16"/>
                <w:color w:val="auto"/>
              </w:rPr>
              <w:t>652,758              </w:t>
            </w:r>
          </w:p>
        </w:tc>
        <w:tc>
          <w:tcPr>
            <w:tcW w:w="1020" w:type="dxa"/>
            <w:vAlign w:val="bottom"/>
          </w:tcPr>
          <w:p>
            <w:pPr>
              <w:ind w:left="800"/>
              <w:spacing w:after="0"/>
              <w:rPr>
                <w:sz w:val="20"/>
                <w:szCs w:val="20"/>
                <w:color w:val="auto"/>
              </w:rPr>
            </w:pPr>
            <w:r>
              <w:rPr>
                <w:rFonts w:ascii="Arial" w:cs="Arial" w:eastAsia="Arial" w:hAnsi="Arial"/>
                <w:sz w:val="16"/>
                <w:szCs w:val="16"/>
                <w:color w:val="auto"/>
              </w:rPr>
              <w:t xml:space="preserve">* </w:t>
            </w:r>
          </w:p>
        </w:tc>
        <w:tc>
          <w:tcPr>
            <w:tcW w:w="160" w:type="dxa"/>
            <w:vAlign w:val="bottom"/>
          </w:tcPr>
          <w:p>
            <w:pPr>
              <w:spacing w:after="0"/>
              <w:rPr>
                <w:sz w:val="20"/>
                <w:szCs w:val="20"/>
                <w:color w:val="auto"/>
              </w:rPr>
            </w:pPr>
            <w:r>
              <w:rPr>
                <w:rFonts w:ascii="Arial" w:cs="Arial" w:eastAsia="Arial" w:hAnsi="Arial"/>
                <w:sz w:val="16"/>
                <w:szCs w:val="16"/>
                <w:color w:val="auto"/>
                <w:w w:val="87"/>
              </w:rPr>
              <w:t> </w:t>
            </w:r>
          </w:p>
        </w:tc>
        <w:tc>
          <w:tcPr>
            <w:tcW w:w="200" w:type="dxa"/>
            <w:vAlign w:val="bottom"/>
          </w:tcPr>
          <w:p>
            <w:pPr>
              <w:spacing w:after="0"/>
              <w:rPr>
                <w:sz w:val="20"/>
                <w:szCs w:val="20"/>
                <w:color w:val="auto"/>
              </w:rPr>
            </w:pPr>
            <w:r>
              <w:rPr>
                <w:rFonts w:ascii="Arial" w:cs="Arial" w:eastAsia="Arial" w:hAnsi="Arial"/>
                <w:sz w:val="16"/>
                <w:szCs w:val="16"/>
                <w:color w:val="auto"/>
              </w:rPr>
              <w:t> </w:t>
            </w:r>
          </w:p>
        </w:tc>
      </w:tr>
    </w:tbl>
    <w:p>
      <w:pPr>
        <w:spacing w:after="0" w:line="2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*Less than one percent</w:t>
      </w:r>
    </w:p>
    <w:p>
      <w:pPr>
        <w:spacing w:after="0" w:line="106" w:lineRule="exact"/>
        <w:rPr>
          <w:sz w:val="20"/>
          <w:szCs w:val="20"/>
          <w:color w:val="auto"/>
        </w:rPr>
      </w:pPr>
    </w:p>
    <w:p>
      <w:pPr>
        <w:ind w:left="160" w:right="160" w:firstLine="7"/>
        <w:spacing w:after="0" w:line="248" w:lineRule="auto"/>
        <w:tabs>
          <w:tab w:leader="none" w:pos="347"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This table is based upon information supplied by our executive officers, directors, and nominees for director, and contained in Forms 3 and 4 and Schedules 13D and 13G (and amendments thereto) filed with the SEC. Unless otherwise indicated in the footnotes to this table and subject to community property laws, where applicable, the Company believes each of the shareholders named in this table has sole voting and investment power with respect to the shares indicated as beneficially owned. Executives and directors have voting power over shares of restricted stock but cannot transfer such shares unless and until they vest.</w:t>
      </w:r>
    </w:p>
    <w:p>
      <w:pPr>
        <w:spacing w:after="0" w:line="71" w:lineRule="exact"/>
        <w:rPr>
          <w:rFonts w:ascii="Arial" w:cs="Arial" w:eastAsia="Arial" w:hAnsi="Arial"/>
          <w:sz w:val="12"/>
          <w:szCs w:val="12"/>
          <w:color w:val="auto"/>
        </w:rPr>
      </w:pPr>
    </w:p>
    <w:p>
      <w:pPr>
        <w:ind w:left="360" w:hanging="193"/>
        <w:spacing w:after="0"/>
        <w:tabs>
          <w:tab w:leader="none" w:pos="3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Unless otherwise indicated, the address of each of the named parties in this table is: c/o Wynn Resorts, Limited, 3131 Las Vegas Boulevard South, Las Vegas, Nevada 89109.</w:t>
      </w:r>
    </w:p>
    <w:p>
      <w:pPr>
        <w:spacing w:after="0" w:line="102" w:lineRule="exact"/>
        <w:rPr>
          <w:rFonts w:ascii="Arial" w:cs="Arial" w:eastAsia="Arial" w:hAnsi="Arial"/>
          <w:sz w:val="12"/>
          <w:szCs w:val="12"/>
          <w:color w:val="auto"/>
        </w:rPr>
      </w:pPr>
    </w:p>
    <w:p>
      <w:pPr>
        <w:ind w:left="160" w:right="80" w:firstLine="7"/>
        <w:spacing w:after="0"/>
        <w:tabs>
          <w:tab w:leader="none" w:pos="347" w:val="left"/>
        </w:tabs>
        <w:numPr>
          <w:ilvl w:val="0"/>
          <w:numId w:val="57"/>
        </w:numPr>
        <w:rPr>
          <w:rFonts w:ascii="Arial" w:cs="Arial" w:eastAsia="Arial" w:hAnsi="Arial"/>
          <w:sz w:val="12"/>
          <w:szCs w:val="12"/>
          <w:color w:val="auto"/>
        </w:rPr>
      </w:pPr>
      <w:r>
        <w:rPr>
          <w:rFonts w:ascii="Arial" w:cs="Arial" w:eastAsia="Arial" w:hAnsi="Arial"/>
          <w:sz w:val="12"/>
          <w:szCs w:val="12"/>
          <w:color w:val="auto"/>
        </w:rPr>
        <w:t>Tilman J. Fertitta, Fertitta Entertainment, Inc., Hospitality Headquarters, Inc., and Fertitta Entertainment, LLC (collectively, “Fertitta”) reported beneficial ownership of these shares as of February 13, 2025. The shares of Common Stock reported as beneficially owned in the table includes (i) 161,925 shares that are beneficially owned by Mr. Fertitta; (ii) 10,000 shares that are beneficially owned by Fertitta Entertainment, Inc.; (iii) 6,863,324 shares that are beneficially owned by Hospitality Headquarters, Inc.; and (iv) 3,864,751 shares that are beneficially owned by Fertitta Entertainment, LLC. Mr. Fertitta is the sole shareholder of Fertitta Entertainment, Inc., which is the sole shareholder of Hospitality Headquarters, Inc. and the sole indirect owner of Fertitta Entertainment, LLC. As such, Mr. Fertitta may be deemed to share beneficial ownership of the securities beneficially owned by Fertitta Entertainment, Inc., Hospitality Headquarters, Inc. and Fertitta Entertainment, LLC. The information provided is based upon a Form 3 filed on February 24, 2025 by Fertitta. The shares of Common Stock beneficially owned by Fertitta may have changed since the filing of the Form 3.</w:t>
      </w:r>
    </w:p>
    <w:p>
      <w:pPr>
        <w:spacing w:after="0" w:line="215" w:lineRule="exact"/>
        <w:rPr>
          <w:rFonts w:ascii="Arial" w:cs="Arial" w:eastAsia="Arial" w:hAnsi="Arial"/>
          <w:sz w:val="12"/>
          <w:szCs w:val="12"/>
          <w:color w:val="auto"/>
        </w:rPr>
      </w:pPr>
    </w:p>
    <w:p>
      <w:pPr>
        <w:ind w:left="360" w:hanging="193"/>
        <w:spacing w:after="0"/>
        <w:tabs>
          <w:tab w:leader="none" w:pos="3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Includes 1,683,500 unexercised stock options to purchase Wynn Resorts’ Common Stock held indirectly through Hospitality Headquarters, Inc.</w:t>
      </w:r>
    </w:p>
    <w:p>
      <w:pPr>
        <w:spacing w:after="0" w:line="102" w:lineRule="exact"/>
        <w:rPr>
          <w:rFonts w:ascii="Arial" w:cs="Arial" w:eastAsia="Arial" w:hAnsi="Arial"/>
          <w:sz w:val="12"/>
          <w:szCs w:val="12"/>
          <w:color w:val="auto"/>
        </w:rPr>
      </w:pPr>
    </w:p>
    <w:p>
      <w:pPr>
        <w:ind w:left="160" w:right="20" w:firstLine="7"/>
        <w:spacing w:after="0" w:line="256" w:lineRule="auto"/>
        <w:tabs>
          <w:tab w:leader="none" w:pos="347"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Vanguard Group (“Vanguard”) reported beneficial ownership of these shares as of December 31, 2023. Vanguard has sole dispositive power as to 10,458,738 shares, shared voting power as to 121,033 shares and shared dispositive power as to 403,286 shares. The information provided is based upon a Schedule 13G/A filed on February 13, 2024 by Vanguard. The shares of Common Stock beneficially owned by the Vanguard Group may have changed since the filing of the Schedule 13G/A.</w:t>
      </w:r>
    </w:p>
    <w:p>
      <w:pPr>
        <w:spacing w:after="0" w:line="66" w:lineRule="exact"/>
        <w:rPr>
          <w:rFonts w:ascii="Arial" w:cs="Arial" w:eastAsia="Arial" w:hAnsi="Arial"/>
          <w:sz w:val="12"/>
          <w:szCs w:val="12"/>
          <w:color w:val="auto"/>
        </w:rPr>
      </w:pPr>
    </w:p>
    <w:p>
      <w:pPr>
        <w:ind w:left="360" w:hanging="193"/>
        <w:spacing w:after="0"/>
        <w:tabs>
          <w:tab w:leader="none" w:pos="3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information provided is based upon a Schedule 13D/A, dated August 6, 2018, filed by Elaine P. Wynn.</w:t>
      </w:r>
    </w:p>
    <w:p>
      <w:pPr>
        <w:spacing w:after="0" w:line="102" w:lineRule="exact"/>
        <w:rPr>
          <w:rFonts w:ascii="Arial" w:cs="Arial" w:eastAsia="Arial" w:hAnsi="Arial"/>
          <w:sz w:val="12"/>
          <w:szCs w:val="12"/>
          <w:color w:val="auto"/>
        </w:rPr>
      </w:pPr>
    </w:p>
    <w:p>
      <w:pPr>
        <w:ind w:left="160" w:right="380" w:firstLine="7"/>
        <w:spacing w:after="0" w:line="256" w:lineRule="auto"/>
        <w:tabs>
          <w:tab w:leader="none" w:pos="347" w:val="left"/>
        </w:tabs>
        <w:numPr>
          <w:ilvl w:val="0"/>
          <w:numId w:val="57"/>
        </w:numPr>
        <w:rPr>
          <w:rFonts w:ascii="Arial" w:cs="Arial" w:eastAsia="Arial" w:hAnsi="Arial"/>
          <w:sz w:val="12"/>
          <w:szCs w:val="12"/>
          <w:color w:val="auto"/>
        </w:rPr>
      </w:pPr>
      <w:r>
        <w:rPr>
          <w:rFonts w:ascii="Arial" w:cs="Arial" w:eastAsia="Arial" w:hAnsi="Arial"/>
          <w:sz w:val="12"/>
          <w:szCs w:val="12"/>
          <w:color w:val="auto"/>
        </w:rPr>
        <w:t>Blackrock, Inc. (“Blackrock”) has beneficial ownership of these shares as of December 31, 2023. Blackrock has sole dispositive power as to 7,623,440 shares, and sole voting power as to 7,107,366 shares. The information provided is based upon a Schedule 13G/A filed on January 26, 2024 by Blackrock. The shares of Common Stock beneficially owned by Blackrock may have changed since the filing of the Schedule 13G/A.</w:t>
      </w:r>
    </w:p>
    <w:p>
      <w:pPr>
        <w:spacing w:after="0" w:line="66" w:lineRule="exact"/>
        <w:rPr>
          <w:rFonts w:ascii="Arial" w:cs="Arial" w:eastAsia="Arial" w:hAnsi="Arial"/>
          <w:sz w:val="12"/>
          <w:szCs w:val="12"/>
          <w:color w:val="auto"/>
        </w:rPr>
      </w:pPr>
    </w:p>
    <w:p>
      <w:pPr>
        <w:ind w:left="360" w:hanging="193"/>
        <w:spacing w:after="0"/>
        <w:tabs>
          <w:tab w:leader="none" w:pos="3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Includes (i) 2,696 shares of unvested restricted stock subject to vesting in accordance with Restricted Stock Agreements and (ii) 34,195 shares held indirectly through a family trust.</w:t>
      </w:r>
    </w:p>
    <w:p>
      <w:pPr>
        <w:spacing w:after="0" w:line="102" w:lineRule="exact"/>
        <w:rPr>
          <w:rFonts w:ascii="Arial" w:cs="Arial" w:eastAsia="Arial" w:hAnsi="Arial"/>
          <w:sz w:val="12"/>
          <w:szCs w:val="12"/>
          <w:color w:val="auto"/>
        </w:rPr>
      </w:pPr>
    </w:p>
    <w:p>
      <w:pPr>
        <w:ind w:left="360" w:hanging="193"/>
        <w:spacing w:after="0"/>
        <w:tabs>
          <w:tab w:leader="none" w:pos="3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Includes 2,696 shares of unvested restricted stock subject to vesting in accordance with Restricted Stock Agreements.</w:t>
      </w:r>
    </w:p>
    <w:p>
      <w:pPr>
        <w:spacing w:after="0" w:line="102" w:lineRule="exact"/>
        <w:rPr>
          <w:rFonts w:ascii="Arial" w:cs="Arial" w:eastAsia="Arial" w:hAnsi="Arial"/>
          <w:sz w:val="12"/>
          <w:szCs w:val="12"/>
          <w:color w:val="auto"/>
        </w:rPr>
      </w:pPr>
    </w:p>
    <w:p>
      <w:pPr>
        <w:ind w:left="420" w:hanging="253"/>
        <w:spacing w:after="0"/>
        <w:tabs>
          <w:tab w:leader="none" w:pos="4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Includes 2,696 shares of unvested restricted stock subject to vesting in accordance with Restricted Stock Agreements.</w:t>
      </w:r>
    </w:p>
    <w:p>
      <w:pPr>
        <w:spacing w:after="0" w:line="102" w:lineRule="exact"/>
        <w:rPr>
          <w:rFonts w:ascii="Arial" w:cs="Arial" w:eastAsia="Arial" w:hAnsi="Arial"/>
          <w:sz w:val="12"/>
          <w:szCs w:val="12"/>
          <w:color w:val="auto"/>
        </w:rPr>
      </w:pPr>
    </w:p>
    <w:p>
      <w:pPr>
        <w:ind w:left="420" w:hanging="253"/>
        <w:spacing w:after="0"/>
        <w:tabs>
          <w:tab w:leader="none" w:pos="4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Includes 2,696 shares of unvested restricted stock subject to vesting in accordance with Restricted Stock Agreements and (ii) 1,600 shares held indirectly through a family trust.</w:t>
      </w:r>
    </w:p>
    <w:p>
      <w:pPr>
        <w:spacing w:after="0" w:line="102" w:lineRule="exact"/>
        <w:rPr>
          <w:rFonts w:ascii="Arial" w:cs="Arial" w:eastAsia="Arial" w:hAnsi="Arial"/>
          <w:sz w:val="12"/>
          <w:szCs w:val="12"/>
          <w:color w:val="auto"/>
        </w:rPr>
      </w:pPr>
    </w:p>
    <w:p>
      <w:pPr>
        <w:ind w:left="420" w:hanging="253"/>
        <w:spacing w:after="0"/>
        <w:tabs>
          <w:tab w:leader="none" w:pos="4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Includes 2,696 shares of unvested restricted stock subject to vesting in accordance with Restricted Stock Agreements.</w:t>
      </w:r>
    </w:p>
    <w:p>
      <w:pPr>
        <w:spacing w:after="0" w:line="102" w:lineRule="exact"/>
        <w:rPr>
          <w:rFonts w:ascii="Arial" w:cs="Arial" w:eastAsia="Arial" w:hAnsi="Arial"/>
          <w:sz w:val="12"/>
          <w:szCs w:val="12"/>
          <w:color w:val="auto"/>
        </w:rPr>
      </w:pPr>
    </w:p>
    <w:p>
      <w:pPr>
        <w:ind w:left="160" w:right="540" w:firstLine="7"/>
        <w:spacing w:after="0" w:line="279" w:lineRule="auto"/>
        <w:tabs>
          <w:tab w:leader="none" w:pos="417" w:val="left"/>
        </w:tabs>
        <w:numPr>
          <w:ilvl w:val="0"/>
          <w:numId w:val="57"/>
        </w:numPr>
        <w:rPr>
          <w:rFonts w:ascii="Arial" w:cs="Arial" w:eastAsia="Arial" w:hAnsi="Arial"/>
          <w:sz w:val="12"/>
          <w:szCs w:val="12"/>
          <w:color w:val="auto"/>
        </w:rPr>
      </w:pPr>
      <w:r>
        <w:rPr>
          <w:rFonts w:ascii="Arial" w:cs="Arial" w:eastAsia="Arial" w:hAnsi="Arial"/>
          <w:sz w:val="12"/>
          <w:szCs w:val="12"/>
          <w:color w:val="auto"/>
        </w:rPr>
        <w:t>Includes (i) 2,696 shares of unvested restricted stock subject to vesting in accordance with Restricted Stock Agreements, (ii) 6,700 shares subject to immediately exercisable options to purchase Wynn Resorts’ Common Stock, and (iii) 5,689 shares held indirectly through a family trust.</w:t>
      </w:r>
    </w:p>
    <w:p>
      <w:pPr>
        <w:spacing w:after="0" w:line="53" w:lineRule="exact"/>
        <w:rPr>
          <w:rFonts w:ascii="Arial" w:cs="Arial" w:eastAsia="Arial" w:hAnsi="Arial"/>
          <w:sz w:val="12"/>
          <w:szCs w:val="12"/>
          <w:color w:val="auto"/>
        </w:rPr>
      </w:pPr>
    </w:p>
    <w:p>
      <w:pPr>
        <w:ind w:left="420" w:hanging="253"/>
        <w:spacing w:after="0"/>
        <w:tabs>
          <w:tab w:leader="none" w:pos="4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Includes 2,696 shares of unvested restricted stock subject to vesting in accordance with Restricted Stock Agreements.</w:t>
      </w:r>
    </w:p>
    <w:p>
      <w:pPr>
        <w:spacing w:after="0" w:line="102" w:lineRule="exact"/>
        <w:rPr>
          <w:rFonts w:ascii="Arial" w:cs="Arial" w:eastAsia="Arial" w:hAnsi="Arial"/>
          <w:sz w:val="12"/>
          <w:szCs w:val="12"/>
          <w:color w:val="auto"/>
        </w:rPr>
      </w:pPr>
    </w:p>
    <w:p>
      <w:pPr>
        <w:ind w:left="420" w:hanging="253"/>
        <w:spacing w:after="0"/>
        <w:tabs>
          <w:tab w:leader="none" w:pos="4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Includes 2,696 shares of unvested restricted stock subject to vesting in accordance with Restricted Stock Agreements.</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11080"/>
          </w:cols>
          <w:pgMar w:left="320" w:top="478" w:right="4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20" w:hanging="253"/>
        <w:spacing w:after="0"/>
        <w:tabs>
          <w:tab w:leader="none" w:pos="4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Includes (i) 138,549 shares of unvested restricted stock subject to vesting in accordance with Restricted Stock Agreements and (ii) 60,000 shares held indirectly through a family trust.</w:t>
      </w:r>
    </w:p>
    <w:p>
      <w:pPr>
        <w:spacing w:after="0" w:line="102" w:lineRule="exact"/>
        <w:rPr>
          <w:rFonts w:ascii="Arial" w:cs="Arial" w:eastAsia="Arial" w:hAnsi="Arial"/>
          <w:sz w:val="12"/>
          <w:szCs w:val="12"/>
          <w:color w:val="auto"/>
        </w:rPr>
      </w:pPr>
    </w:p>
    <w:p>
      <w:pPr>
        <w:ind w:left="420" w:hanging="253"/>
        <w:spacing w:after="0"/>
        <w:tabs>
          <w:tab w:leader="none" w:pos="4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Includes (i) 39,189 shares of unvested restricted stock subject to vesting in accordance with Restricted Stock Agreements.</w:t>
      </w:r>
    </w:p>
    <w:p>
      <w:pPr>
        <w:spacing w:after="0" w:line="102" w:lineRule="exact"/>
        <w:rPr>
          <w:rFonts w:ascii="Arial" w:cs="Arial" w:eastAsia="Arial" w:hAnsi="Arial"/>
          <w:sz w:val="12"/>
          <w:szCs w:val="12"/>
          <w:color w:val="auto"/>
        </w:rPr>
      </w:pPr>
    </w:p>
    <w:p>
      <w:pPr>
        <w:ind w:left="420" w:hanging="253"/>
        <w:spacing w:after="0"/>
        <w:tabs>
          <w:tab w:leader="none" w:pos="4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Includes (i) 35,724 shares of unvested restricted stock subject to vesting in accordance with Restricted Stock Agreements.</w:t>
      </w:r>
    </w:p>
    <w:p>
      <w:pPr>
        <w:spacing w:after="0" w:line="102" w:lineRule="exact"/>
        <w:rPr>
          <w:rFonts w:ascii="Arial" w:cs="Arial" w:eastAsia="Arial" w:hAnsi="Arial"/>
          <w:sz w:val="12"/>
          <w:szCs w:val="12"/>
          <w:color w:val="auto"/>
        </w:rPr>
      </w:pPr>
    </w:p>
    <w:p>
      <w:pPr>
        <w:ind w:left="420" w:hanging="253"/>
        <w:spacing w:after="0"/>
        <w:tabs>
          <w:tab w:leader="none" w:pos="4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Includes (i) 28,142 shares of unvested restricted stock subject to vesting in accordance with Restricted Stock Agreements.</w:t>
      </w:r>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DELINQUENT SECTION 16(A) REPORTS</w:t>
      </w:r>
    </w:p>
    <w:p>
      <w:pPr>
        <w:spacing w:after="0" w:line="19"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color w:val="auto"/>
        </w:rPr>
        <w:t>Section 16(a) of the Exchange Act requires the Company’s executive officers and directors and any persons who own more than 10% of the Company’s Common Stock to file reports of ownership on Forms 3, 4 and 5 with the SEC. Executive officers, directors and any greater than 10% beneficial owners are also required to furnish the Company with copies of all Forms 3, 4 and 5 they file. Based solely on the Company’s review of reports filed with the SEC, or written representations from reporting persons that all reportable transactions were reported, the Company believes that all its executive officers and directors timely filed all reports they were required to file under Section 16(a) of the Exchange Act, except that, due to inadvertent administrative error, one report covering a total of 2,000 shares of Common Stock in a sale transaction to satisfy a tax liability was filed late by Ms. Myers.</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2"/>
          <w:szCs w:val="12"/>
          <w:color w:val="351B3D"/>
        </w:rPr>
        <w:t>72</w:t>
      </w:r>
    </w:p>
    <w:p>
      <w:pPr>
        <w:sectPr>
          <w:pgSz w:w="11900" w:h="16838" w:orient="portrait"/>
          <w:cols w:equalWidth="0" w:num="1">
            <w:col w:w="11080"/>
          </w:cols>
          <w:pgMar w:left="320" w:top="478" w:right="4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ind w:right="2899"/>
        <w:spacing w:after="0"/>
        <w:rPr>
          <w:sz w:val="20"/>
          <w:szCs w:val="20"/>
          <w:color w:val="auto"/>
        </w:rPr>
      </w:pPr>
      <w:r>
        <w:rPr>
          <w:rFonts w:ascii="Arial" w:cs="Arial" w:eastAsia="Arial" w:hAnsi="Arial"/>
          <w:sz w:val="16"/>
          <w:szCs w:val="16"/>
          <w:color w:val="auto"/>
        </w:rPr>
        <w:t>[THIS PAGE INTENTIONALLY LEFT BLANK]</w:t>
      </w:r>
    </w:p>
    <w:p>
      <w:pPr>
        <w:sectPr>
          <w:pgSz w:w="11900" w:h="16838" w:orient="portrait"/>
          <w:cols w:equalWidth="0" w:num="1">
            <w:col w:w="10139"/>
          </w:cols>
          <w:pgMar w:left="320" w:top="478"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7094855" cy="9171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78"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45"/>
          <w:szCs w:val="45"/>
          <w:color w:val="140F21"/>
        </w:rPr>
        <w:t>Proposal 1:</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27"/>
          <w:szCs w:val="27"/>
          <w:color w:val="140F21"/>
        </w:rPr>
        <w:t>ELECTION OF DIRECTORS</w:t>
      </w:r>
    </w:p>
    <w:p>
      <w:pPr>
        <w:spacing w:after="0" w:line="30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At the recommendation of the Nominating and Corporate Governance Committee, the Board has nominated the following individuals for election as</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Class II directors:</w:t>
      </w:r>
    </w:p>
    <w:p>
      <w:pPr>
        <w:spacing w:after="0" w:line="27" w:lineRule="exact"/>
        <w:rPr>
          <w:sz w:val="20"/>
          <w:szCs w:val="20"/>
          <w:color w:val="auto"/>
        </w:rPr>
      </w:pPr>
    </w:p>
    <w:p>
      <w:pPr>
        <w:ind w:left="380" w:hanging="213"/>
        <w:spacing w:after="0"/>
        <w:tabs>
          <w:tab w:leader="none" w:pos="3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Craig Billings</w:t>
      </w:r>
    </w:p>
    <w:p>
      <w:pPr>
        <w:spacing w:after="0" w:line="43" w:lineRule="exact"/>
        <w:rPr>
          <w:rFonts w:ascii="Arial" w:cs="Arial" w:eastAsia="Arial" w:hAnsi="Arial"/>
          <w:sz w:val="16"/>
          <w:szCs w:val="16"/>
          <w:color w:val="auto"/>
        </w:rPr>
      </w:pPr>
    </w:p>
    <w:p>
      <w:pPr>
        <w:ind w:left="380" w:hanging="213"/>
        <w:spacing w:after="0"/>
        <w:tabs>
          <w:tab w:leader="none" w:pos="3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Anthony Sanfilippo</w:t>
      </w:r>
    </w:p>
    <w:p>
      <w:pPr>
        <w:spacing w:after="0" w:line="43" w:lineRule="exact"/>
        <w:rPr>
          <w:rFonts w:ascii="Arial" w:cs="Arial" w:eastAsia="Arial" w:hAnsi="Arial"/>
          <w:sz w:val="16"/>
          <w:szCs w:val="16"/>
          <w:color w:val="auto"/>
        </w:rPr>
      </w:pPr>
    </w:p>
    <w:p>
      <w:pPr>
        <w:ind w:left="380" w:hanging="213"/>
        <w:spacing w:after="0"/>
        <w:tabs>
          <w:tab w:leader="none" w:pos="3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Winifred M. Webb</w:t>
      </w:r>
    </w:p>
    <w:p>
      <w:pPr>
        <w:spacing w:after="0" w:line="217" w:lineRule="exact"/>
        <w:rPr>
          <w:sz w:val="20"/>
          <w:szCs w:val="20"/>
          <w:color w:val="auto"/>
        </w:rPr>
      </w:pPr>
    </w:p>
    <w:p>
      <w:pPr>
        <w:ind w:left="160" w:right="20"/>
        <w:spacing w:after="0" w:line="249" w:lineRule="auto"/>
        <w:rPr>
          <w:sz w:val="20"/>
          <w:szCs w:val="20"/>
          <w:color w:val="auto"/>
        </w:rPr>
      </w:pPr>
      <w:r>
        <w:rPr>
          <w:rFonts w:ascii="Arial" w:cs="Arial" w:eastAsia="Arial" w:hAnsi="Arial"/>
          <w:sz w:val="16"/>
          <w:szCs w:val="16"/>
          <w:color w:val="auto"/>
        </w:rPr>
        <w:t>If elected at the 2025 Annual Meeting, each nominee will serve a three-year term expiring at the 2028 Annual Meeting and until his or her successor has been duly elected and qualified, or until his or her earlier death, resignation, removal or retirement. Each director nominee has consented to being named in this Proxy Statement. In the event any nominee for director is unable to serve, or chooses not to serve, the persons designated as proxies will have discretion to cast votes for a substitute nominated by the Board. Alternatively, the Board may let the vacancy stay unfilled until an appropriate candidate is identified, or the Board may choose to reduce the size of the Board. At present, it is not anticipated that any nominee will be unable to serve. If any director nominee is not elected at the Annual Meeting, a majority of the remaining directors may fill the resulting vacancy, or the Board may choose to reduce the size of the Board. Biographical and other information for our director nominees and our continuing directors is provided in the “Director Biographies” section.</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4"/>
          <w:szCs w:val="14"/>
          <w:color w:val="351B3D"/>
        </w:rPr>
        <w:t>OUR BOARD OF DIRECTORS RECOMMENDS THAT YOU VOTE FOR THE ELECTION OF EACH OF THE NOMINEES LISTED ABOVE.</w:t>
      </w:r>
    </w:p>
    <w:p>
      <w:pPr>
        <w:spacing w:after="0" w:line="2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45"/>
          <w:szCs w:val="45"/>
          <w:color w:val="140F21"/>
        </w:rPr>
        <w:t>Proposal 2:</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27"/>
          <w:szCs w:val="27"/>
          <w:color w:val="140F21"/>
        </w:rPr>
        <w:t>RATIFICATION OF APPOINTMENT OF INDEPENDENT AUDITORS</w:t>
      </w:r>
    </w:p>
    <w:p>
      <w:pPr>
        <w:spacing w:after="0" w:line="305" w:lineRule="exact"/>
        <w:rPr>
          <w:sz w:val="20"/>
          <w:szCs w:val="20"/>
          <w:color w:val="auto"/>
        </w:rPr>
      </w:pPr>
    </w:p>
    <w:p>
      <w:pPr>
        <w:ind w:left="160" w:right="280"/>
        <w:spacing w:after="0" w:line="262" w:lineRule="auto"/>
        <w:rPr>
          <w:sz w:val="20"/>
          <w:szCs w:val="20"/>
          <w:color w:val="auto"/>
        </w:rPr>
      </w:pPr>
      <w:r>
        <w:rPr>
          <w:rFonts w:ascii="Arial" w:cs="Arial" w:eastAsia="Arial" w:hAnsi="Arial"/>
          <w:sz w:val="16"/>
          <w:szCs w:val="16"/>
          <w:color w:val="auto"/>
        </w:rPr>
        <w:t>The Audit Committee of the Board has selected Ernst &amp; Young LLP, a registered public accounting firm, as our independent auditors to examine and report to our shareholders on the consolidated financial statements of our Company and its subsidiaries for the fiscal year ending December 31, 2025. Representatives of Ernst &amp; Young LLP are expected to be present at the virtual Annual Meeting and will be given an opportunity to make a statement.</w:t>
      </w:r>
    </w:p>
    <w:p>
      <w:pPr>
        <w:spacing w:after="0" w:line="173" w:lineRule="exact"/>
        <w:rPr>
          <w:sz w:val="20"/>
          <w:szCs w:val="20"/>
          <w:color w:val="auto"/>
        </w:rPr>
      </w:pPr>
    </w:p>
    <w:p>
      <w:pPr>
        <w:ind w:left="160" w:right="40"/>
        <w:spacing w:after="0" w:line="250" w:lineRule="auto"/>
        <w:rPr>
          <w:sz w:val="20"/>
          <w:szCs w:val="20"/>
          <w:color w:val="auto"/>
        </w:rPr>
      </w:pPr>
      <w:r>
        <w:rPr>
          <w:rFonts w:ascii="Arial" w:cs="Arial" w:eastAsia="Arial" w:hAnsi="Arial"/>
          <w:sz w:val="16"/>
          <w:szCs w:val="16"/>
          <w:color w:val="auto"/>
        </w:rPr>
        <w:t>As a matter of good corporate governance, the Audit Committee has determined to seek shareholder ratification of its appointment of Ernst &amp; Young LLP as the Company’s independent auditors, even though this is not required under Nevada law, the Company’s Articles of Incorporation or Bylaws, SEC rules or applicable listing standards. If the shareholders do not ratify the selection of Ernst &amp; Young LLP as the Company’s independent auditors for 2025, the Audit Committee will evaluate what would be in the best interests of the Company and its shareholders and consider whether to appoint new independent auditors. Even if the shareholders ratify the selection of Ernst &amp; Young LLP, the Audit Committee, in its discretion, may direct the appointment of a different independent public accounting firm at any time during the year if the Audit Committee determines that such a change would be in the best interests of the Company and its shareholders.</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11080"/>
          </w:cols>
          <w:pgMar w:left="320" w:top="478" w:right="4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60" w:right="200"/>
        <w:spacing w:after="0" w:line="281" w:lineRule="auto"/>
        <w:rPr>
          <w:sz w:val="20"/>
          <w:szCs w:val="20"/>
          <w:color w:val="auto"/>
        </w:rPr>
      </w:pPr>
      <w:r>
        <w:rPr>
          <w:rFonts w:ascii="Arial" w:cs="Arial" w:eastAsia="Arial" w:hAnsi="Arial"/>
          <w:sz w:val="14"/>
          <w:szCs w:val="14"/>
          <w:color w:val="351B3D"/>
        </w:rPr>
        <w:t>OUR BOARD OF DIRECTORS RECOMMENDS THAT YOU VOTE FOR THE RATIFICATION OF THE APPOINTMENT OF ERNST &amp; YOUNG LLP AS THE COMPANY’S INDEPENDENT AUDITORS FOR THE FISCAL YEAR 2025.</w:t>
      </w:r>
    </w:p>
    <w:p>
      <w:pPr>
        <w:spacing w:after="0" w:line="153"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AUDIT AND OTHER FEES</w:t>
      </w:r>
    </w:p>
    <w:p>
      <w:pPr>
        <w:spacing w:after="0" w:line="19" w:lineRule="exact"/>
        <w:rPr>
          <w:sz w:val="20"/>
          <w:szCs w:val="20"/>
          <w:color w:val="auto"/>
        </w:rPr>
      </w:pPr>
    </w:p>
    <w:p>
      <w:pPr>
        <w:ind w:left="160" w:right="200"/>
        <w:spacing w:after="0" w:line="258" w:lineRule="auto"/>
        <w:rPr>
          <w:sz w:val="20"/>
          <w:szCs w:val="20"/>
          <w:color w:val="auto"/>
        </w:rPr>
      </w:pPr>
      <w:r>
        <w:rPr>
          <w:rFonts w:ascii="Arial" w:cs="Arial" w:eastAsia="Arial" w:hAnsi="Arial"/>
          <w:sz w:val="16"/>
          <w:szCs w:val="16"/>
          <w:color w:val="auto"/>
        </w:rPr>
        <w:t>The following table presents the aggregate fees billed (or expected to be billed) to the Company for audit and other services provided by Ernst &amp; Young LLP, the Company’s independent auditor, for each of the fiscal years ended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5303520</wp:posOffset>
            </wp:positionH>
            <wp:positionV relativeFrom="paragraph">
              <wp:posOffset>138430</wp:posOffset>
            </wp:positionV>
            <wp:extent cx="1732280" cy="12141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732280" cy="1214120"/>
                    </a:xfrm>
                    <a:prstGeom prst="rect">
                      <a:avLst/>
                    </a:prstGeom>
                    <a:noFill/>
                  </pic:spPr>
                </pic:pic>
              </a:graphicData>
            </a:graphic>
          </wp:anchor>
        </w:drawing>
      </w:r>
    </w:p>
    <w:p>
      <w:pPr>
        <w:spacing w:after="0" w:line="198" w:lineRule="exact"/>
        <w:rPr>
          <w:sz w:val="20"/>
          <w:szCs w:val="20"/>
          <w:color w:val="auto"/>
        </w:rPr>
      </w:pPr>
    </w:p>
    <w:tbl>
      <w:tblPr>
        <w:tblLayout w:type="fixed"/>
        <w:tblInd w:w="160" w:type="dxa"/>
        <w:tblCellMar>
          <w:top w:w="0" w:type="dxa"/>
          <w:left w:w="0" w:type="dxa"/>
          <w:bottom w:w="0" w:type="dxa"/>
          <w:right w:w="0" w:type="dxa"/>
        </w:tblCellMar>
      </w:tblPr>
      <w:tr>
        <w:trPr>
          <w:trHeight w:val="304"/>
        </w:trPr>
        <w:tc>
          <w:tcPr>
            <w:tcW w:w="8200" w:type="dxa"/>
            <w:vAlign w:val="bottom"/>
            <w:shd w:val="clear" w:color="auto" w:fill="351B3D"/>
          </w:tcPr>
          <w:p>
            <w:pPr>
              <w:spacing w:after="0"/>
              <w:rPr>
                <w:sz w:val="24"/>
                <w:szCs w:val="24"/>
                <w:color w:val="auto"/>
              </w:rPr>
            </w:pPr>
          </w:p>
        </w:tc>
        <w:tc>
          <w:tcPr>
            <w:tcW w:w="500" w:type="dxa"/>
            <w:vAlign w:val="bottom"/>
            <w:shd w:val="clear" w:color="auto" w:fill="351B3D"/>
          </w:tcPr>
          <w:p>
            <w:pPr>
              <w:spacing w:after="0"/>
              <w:rPr>
                <w:sz w:val="24"/>
                <w:szCs w:val="24"/>
                <w:color w:val="auto"/>
              </w:rPr>
            </w:pPr>
          </w:p>
        </w:tc>
        <w:tc>
          <w:tcPr>
            <w:tcW w:w="2220" w:type="dxa"/>
            <w:vAlign w:val="bottom"/>
            <w:gridSpan w:val="3"/>
            <w:shd w:val="clear" w:color="auto" w:fill="351B3D"/>
          </w:tcPr>
          <w:p>
            <w:pPr>
              <w:jc w:val="right"/>
              <w:ind w:right="540"/>
              <w:spacing w:after="0"/>
              <w:rPr>
                <w:sz w:val="20"/>
                <w:szCs w:val="20"/>
                <w:color w:val="auto"/>
              </w:rPr>
            </w:pPr>
            <w:r>
              <w:rPr>
                <w:rFonts w:ascii="Arial" w:cs="Arial" w:eastAsia="Arial" w:hAnsi="Arial"/>
                <w:sz w:val="16"/>
                <w:szCs w:val="16"/>
                <w:color w:val="FFFFFF"/>
              </w:rPr>
              <w:t>AGGREGATE FEES</w:t>
            </w:r>
          </w:p>
        </w:tc>
      </w:tr>
      <w:tr>
        <w:trPr>
          <w:trHeight w:val="358"/>
        </w:trPr>
        <w:tc>
          <w:tcPr>
            <w:tcW w:w="8200" w:type="dxa"/>
            <w:vAlign w:val="bottom"/>
            <w:tcBorders>
              <w:bottom w:val="single" w:sz="8" w:color="351B3D"/>
            </w:tcBorders>
            <w:shd w:val="clear" w:color="auto" w:fill="351B3D"/>
          </w:tcPr>
          <w:p>
            <w:pPr>
              <w:ind w:left="80"/>
              <w:spacing w:after="0"/>
              <w:rPr>
                <w:sz w:val="20"/>
                <w:szCs w:val="20"/>
                <w:color w:val="auto"/>
              </w:rPr>
            </w:pPr>
            <w:r>
              <w:rPr>
                <w:rFonts w:ascii="Arial" w:cs="Arial" w:eastAsia="Arial" w:hAnsi="Arial"/>
                <w:sz w:val="16"/>
                <w:szCs w:val="16"/>
                <w:color w:val="FFFFFF"/>
              </w:rPr>
              <w:t>CATEGORY</w:t>
            </w:r>
          </w:p>
        </w:tc>
        <w:tc>
          <w:tcPr>
            <w:tcW w:w="500" w:type="dxa"/>
            <w:vAlign w:val="bottom"/>
            <w:tcBorders>
              <w:bottom w:val="single" w:sz="8" w:color="351B3D"/>
            </w:tcBorders>
            <w:shd w:val="clear" w:color="auto" w:fill="351B3D"/>
          </w:tcPr>
          <w:p>
            <w:pPr>
              <w:spacing w:after="0"/>
              <w:rPr>
                <w:sz w:val="24"/>
                <w:szCs w:val="24"/>
                <w:color w:val="auto"/>
              </w:rPr>
            </w:pPr>
          </w:p>
        </w:tc>
        <w:tc>
          <w:tcPr>
            <w:tcW w:w="1020" w:type="dxa"/>
            <w:vAlign w:val="bottom"/>
            <w:tcBorders>
              <w:bottom w:val="single" w:sz="8" w:color="351B3D"/>
            </w:tcBorders>
            <w:shd w:val="clear" w:color="auto" w:fill="351B3D"/>
          </w:tcPr>
          <w:p>
            <w:pPr>
              <w:jc w:val="right"/>
              <w:ind w:right="500"/>
              <w:spacing w:after="0"/>
              <w:rPr>
                <w:sz w:val="20"/>
                <w:szCs w:val="20"/>
                <w:color w:val="auto"/>
              </w:rPr>
            </w:pPr>
            <w:r>
              <w:rPr>
                <w:rFonts w:ascii="Arial" w:cs="Arial" w:eastAsia="Arial" w:hAnsi="Arial"/>
                <w:sz w:val="16"/>
                <w:szCs w:val="16"/>
                <w:color w:val="FFFFFF"/>
              </w:rPr>
              <w:t>2024</w:t>
            </w:r>
          </w:p>
        </w:tc>
        <w:tc>
          <w:tcPr>
            <w:tcW w:w="280" w:type="dxa"/>
            <w:vAlign w:val="bottom"/>
            <w:tcBorders>
              <w:bottom w:val="single" w:sz="8" w:color="351B3D"/>
            </w:tcBorders>
            <w:shd w:val="clear" w:color="auto" w:fill="351B3D"/>
          </w:tcPr>
          <w:p>
            <w:pPr>
              <w:spacing w:after="0"/>
              <w:rPr>
                <w:sz w:val="24"/>
                <w:szCs w:val="24"/>
                <w:color w:val="auto"/>
              </w:rPr>
            </w:pPr>
          </w:p>
        </w:tc>
        <w:tc>
          <w:tcPr>
            <w:tcW w:w="920" w:type="dxa"/>
            <w:vAlign w:val="bottom"/>
            <w:tcBorders>
              <w:bottom w:val="single" w:sz="8" w:color="351B3D"/>
            </w:tcBorders>
            <w:shd w:val="clear" w:color="auto" w:fill="351B3D"/>
          </w:tcPr>
          <w:p>
            <w:pPr>
              <w:jc w:val="right"/>
              <w:ind w:right="340"/>
              <w:spacing w:after="0"/>
              <w:rPr>
                <w:sz w:val="20"/>
                <w:szCs w:val="20"/>
                <w:color w:val="auto"/>
              </w:rPr>
            </w:pPr>
            <w:r>
              <w:rPr>
                <w:rFonts w:ascii="Arial" w:cs="Arial" w:eastAsia="Arial" w:hAnsi="Arial"/>
                <w:sz w:val="16"/>
                <w:szCs w:val="16"/>
                <w:color w:val="FFFFFF"/>
              </w:rPr>
              <w:t>2023</w:t>
            </w:r>
          </w:p>
        </w:tc>
      </w:tr>
      <w:tr>
        <w:trPr>
          <w:trHeight w:val="288"/>
        </w:trPr>
        <w:tc>
          <w:tcPr>
            <w:tcW w:w="8200" w:type="dxa"/>
            <w:vAlign w:val="bottom"/>
            <w:tcBorders>
              <w:bottom w:val="single" w:sz="8" w:color="D6D1D8"/>
            </w:tcBorders>
            <w:shd w:val="clear" w:color="auto" w:fill="D6D1D8"/>
          </w:tcPr>
          <w:p>
            <w:pPr>
              <w:ind w:left="80"/>
              <w:spacing w:after="0"/>
              <w:rPr>
                <w:sz w:val="20"/>
                <w:szCs w:val="20"/>
                <w:color w:val="auto"/>
              </w:rPr>
            </w:pPr>
            <w:r>
              <w:rPr>
                <w:rFonts w:ascii="Arial" w:cs="Arial" w:eastAsia="Arial" w:hAnsi="Arial"/>
                <w:sz w:val="16"/>
                <w:szCs w:val="16"/>
                <w:color w:val="auto"/>
              </w:rPr>
              <w:t>Audit fees</w:t>
            </w:r>
          </w:p>
        </w:tc>
        <w:tc>
          <w:tcPr>
            <w:tcW w:w="1520" w:type="dxa"/>
            <w:vAlign w:val="bottom"/>
            <w:tcBorders>
              <w:bottom w:val="single" w:sz="8" w:color="D6D1D8"/>
            </w:tcBorders>
            <w:gridSpan w:val="2"/>
            <w:shd w:val="clear" w:color="auto" w:fill="D6D1D8"/>
          </w:tcPr>
          <w:p>
            <w:pPr>
              <w:jc w:val="right"/>
              <w:ind w:right="80"/>
              <w:spacing w:after="0"/>
              <w:rPr>
                <w:sz w:val="20"/>
                <w:szCs w:val="20"/>
                <w:color w:val="auto"/>
              </w:rPr>
            </w:pPr>
            <w:r>
              <w:rPr>
                <w:rFonts w:ascii="Arial" w:cs="Arial" w:eastAsia="Arial" w:hAnsi="Arial"/>
                <w:sz w:val="16"/>
                <w:szCs w:val="16"/>
                <w:color w:val="auto"/>
              </w:rPr>
              <w:t>    $ 3,373,826    </w:t>
            </w:r>
          </w:p>
        </w:tc>
        <w:tc>
          <w:tcPr>
            <w:tcW w:w="280" w:type="dxa"/>
            <w:vAlign w:val="bottom"/>
            <w:tcBorders>
              <w:bottom w:val="single" w:sz="8" w:color="D6D1D8"/>
            </w:tcBorders>
            <w:shd w:val="clear" w:color="auto" w:fill="D6D1D8"/>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D6D1D8"/>
            </w:tcBorders>
            <w:shd w:val="clear" w:color="auto" w:fill="D6D1D8"/>
          </w:tcPr>
          <w:p>
            <w:pPr>
              <w:jc w:val="right"/>
              <w:ind w:right="100"/>
              <w:spacing w:after="0"/>
              <w:rPr>
                <w:sz w:val="20"/>
                <w:szCs w:val="20"/>
                <w:color w:val="auto"/>
              </w:rPr>
            </w:pPr>
            <w:r>
              <w:rPr>
                <w:rFonts w:ascii="Arial" w:cs="Arial" w:eastAsia="Arial" w:hAnsi="Arial"/>
                <w:sz w:val="16"/>
                <w:szCs w:val="16"/>
                <w:color w:val="auto"/>
              </w:rPr>
              <w:t>5,814,910</w:t>
            </w:r>
          </w:p>
        </w:tc>
      </w:tr>
      <w:tr>
        <w:trPr>
          <w:trHeight w:val="264"/>
        </w:trPr>
        <w:tc>
          <w:tcPr>
            <w:tcW w:w="8200" w:type="dxa"/>
            <w:vAlign w:val="bottom"/>
          </w:tcPr>
          <w:p>
            <w:pPr>
              <w:ind w:left="80"/>
              <w:spacing w:after="0"/>
              <w:rPr>
                <w:sz w:val="20"/>
                <w:szCs w:val="20"/>
                <w:color w:val="auto"/>
              </w:rPr>
            </w:pPr>
            <w:r>
              <w:rPr>
                <w:rFonts w:ascii="Arial" w:cs="Arial" w:eastAsia="Arial" w:hAnsi="Arial"/>
                <w:sz w:val="16"/>
                <w:szCs w:val="16"/>
                <w:color w:val="auto"/>
              </w:rPr>
              <w:t>Audit-related fees</w:t>
            </w:r>
          </w:p>
        </w:tc>
        <w:tc>
          <w:tcPr>
            <w:tcW w:w="500" w:type="dxa"/>
            <w:vAlign w:val="bottom"/>
          </w:tcPr>
          <w:p>
            <w:pPr>
              <w:ind w:left="180"/>
              <w:spacing w:after="0"/>
              <w:rPr>
                <w:sz w:val="20"/>
                <w:szCs w:val="20"/>
                <w:color w:val="auto"/>
              </w:rPr>
            </w:pPr>
            <w:r>
              <w:rPr>
                <w:rFonts w:ascii="Arial" w:cs="Arial" w:eastAsia="Arial" w:hAnsi="Arial"/>
                <w:sz w:val="16"/>
                <w:szCs w:val="16"/>
                <w:color w:val="auto"/>
              </w:rPr>
              <w:t>    $</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45,000    </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42,900</w:t>
            </w:r>
          </w:p>
        </w:tc>
      </w:tr>
      <w:tr>
        <w:trPr>
          <w:trHeight w:val="44"/>
        </w:trPr>
        <w:tc>
          <w:tcPr>
            <w:tcW w:w="8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8"/>
        </w:trPr>
        <w:tc>
          <w:tcPr>
            <w:tcW w:w="8200" w:type="dxa"/>
            <w:vAlign w:val="bottom"/>
            <w:tcBorders>
              <w:bottom w:val="single" w:sz="8" w:color="D6D1D8"/>
            </w:tcBorders>
            <w:shd w:val="clear" w:color="auto" w:fill="D6D1D8"/>
          </w:tcPr>
          <w:p>
            <w:pPr>
              <w:ind w:left="80"/>
              <w:spacing w:after="0"/>
              <w:rPr>
                <w:sz w:val="20"/>
                <w:szCs w:val="20"/>
                <w:color w:val="auto"/>
              </w:rPr>
            </w:pPr>
            <w:r>
              <w:rPr>
                <w:rFonts w:ascii="Arial" w:cs="Arial" w:eastAsia="Arial" w:hAnsi="Arial"/>
                <w:sz w:val="16"/>
                <w:szCs w:val="16"/>
                <w:color w:val="auto"/>
              </w:rPr>
              <w:t>Tax fees</w:t>
            </w:r>
          </w:p>
        </w:tc>
        <w:tc>
          <w:tcPr>
            <w:tcW w:w="500" w:type="dxa"/>
            <w:vAlign w:val="bottom"/>
            <w:tcBorders>
              <w:bottom w:val="single" w:sz="8" w:color="D6D1D8"/>
            </w:tcBorders>
            <w:shd w:val="clear" w:color="auto" w:fill="D6D1D8"/>
          </w:tcPr>
          <w:p>
            <w:pPr>
              <w:ind w:left="180"/>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D6D1D8"/>
            </w:tcBorders>
            <w:shd w:val="clear" w:color="auto" w:fill="D6D1D8"/>
          </w:tcPr>
          <w:p>
            <w:pPr>
              <w:jc w:val="right"/>
              <w:ind w:right="80"/>
              <w:spacing w:after="0"/>
              <w:rPr>
                <w:sz w:val="20"/>
                <w:szCs w:val="20"/>
                <w:color w:val="auto"/>
              </w:rPr>
            </w:pPr>
            <w:r>
              <w:rPr>
                <w:rFonts w:ascii="Arial" w:cs="Arial" w:eastAsia="Arial" w:hAnsi="Arial"/>
                <w:sz w:val="16"/>
                <w:szCs w:val="16"/>
                <w:color w:val="auto"/>
              </w:rPr>
              <w:t>212,300    </w:t>
            </w:r>
          </w:p>
        </w:tc>
        <w:tc>
          <w:tcPr>
            <w:tcW w:w="280" w:type="dxa"/>
            <w:vAlign w:val="bottom"/>
            <w:tcBorders>
              <w:bottom w:val="single" w:sz="8" w:color="D6D1D8"/>
            </w:tcBorders>
            <w:shd w:val="clear" w:color="auto" w:fill="D6D1D8"/>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D6D1D8"/>
            </w:tcBorders>
            <w:shd w:val="clear" w:color="auto" w:fill="D6D1D8"/>
          </w:tcPr>
          <w:p>
            <w:pPr>
              <w:jc w:val="right"/>
              <w:ind w:right="100"/>
              <w:spacing w:after="0"/>
              <w:rPr>
                <w:sz w:val="20"/>
                <w:szCs w:val="20"/>
                <w:color w:val="auto"/>
              </w:rPr>
            </w:pPr>
            <w:r>
              <w:rPr>
                <w:rFonts w:ascii="Arial" w:cs="Arial" w:eastAsia="Arial" w:hAnsi="Arial"/>
                <w:sz w:val="16"/>
                <w:szCs w:val="16"/>
                <w:color w:val="auto"/>
              </w:rPr>
              <w:t>47,100</w:t>
            </w:r>
          </w:p>
        </w:tc>
      </w:tr>
      <w:tr>
        <w:trPr>
          <w:trHeight w:val="264"/>
        </w:trPr>
        <w:tc>
          <w:tcPr>
            <w:tcW w:w="8200" w:type="dxa"/>
            <w:vAlign w:val="bottom"/>
          </w:tcPr>
          <w:p>
            <w:pPr>
              <w:ind w:left="80"/>
              <w:spacing w:after="0"/>
              <w:rPr>
                <w:sz w:val="20"/>
                <w:szCs w:val="20"/>
                <w:color w:val="auto"/>
              </w:rPr>
            </w:pPr>
            <w:r>
              <w:rPr>
                <w:rFonts w:ascii="Arial" w:cs="Arial" w:eastAsia="Arial" w:hAnsi="Arial"/>
                <w:sz w:val="16"/>
                <w:szCs w:val="16"/>
                <w:color w:val="auto"/>
              </w:rPr>
              <w:t>All other fees</w:t>
            </w:r>
          </w:p>
        </w:tc>
        <w:tc>
          <w:tcPr>
            <w:tcW w:w="500" w:type="dxa"/>
            <w:vAlign w:val="bottom"/>
          </w:tcPr>
          <w:p>
            <w:pPr>
              <w:spacing w:after="0"/>
              <w:rPr>
                <w:sz w:val="22"/>
                <w:szCs w:val="22"/>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 xml:space="preserve">    —    </w:t>
            </w:r>
          </w:p>
        </w:tc>
        <w:tc>
          <w:tcPr>
            <w:tcW w:w="280" w:type="dxa"/>
            <w:vAlign w:val="bottom"/>
          </w:tcPr>
          <w:p>
            <w:pPr>
              <w:spacing w:after="0"/>
              <w:rPr>
                <w:sz w:val="22"/>
                <w:szCs w:val="22"/>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w:t>
            </w:r>
          </w:p>
        </w:tc>
      </w:tr>
    </w:tbl>
    <w:p>
      <w:pPr>
        <w:spacing w:after="0" w:line="243" w:lineRule="exact"/>
        <w:rPr>
          <w:sz w:val="20"/>
          <w:szCs w:val="20"/>
          <w:color w:val="auto"/>
        </w:rPr>
      </w:pPr>
    </w:p>
    <w:p>
      <w:pPr>
        <w:ind w:left="160" w:right="180"/>
        <w:spacing w:after="0" w:line="251" w:lineRule="auto"/>
        <w:rPr>
          <w:sz w:val="20"/>
          <w:szCs w:val="20"/>
          <w:color w:val="auto"/>
        </w:rPr>
      </w:pPr>
      <w:r>
        <w:rPr>
          <w:rFonts w:ascii="Arial" w:cs="Arial" w:eastAsia="Arial" w:hAnsi="Arial"/>
          <w:sz w:val="16"/>
          <w:szCs w:val="16"/>
          <w:color w:val="auto"/>
        </w:rPr>
        <w:t>“Audit fees” includes the aggregate fees for professional services rendered for the reviews of our consolidated financial statements for the quarterly periods ended March 31, June 30 and September 30, for the audit of our consolidated financial statements and the consolidated financial statements of certain of our subsidiaries for the years ended December 31, 2024, and 2023, and for the audit of our internal controls over financial reporting as of December 31, 2024, and 2023. “Audit fees” also include fees for services provided in connection with capital market transactions, audit-related accounting consultations and statutory audits of certain subsidiaries of the Company. “Audit-related fees” include the aggregate fees for the audit of the Company’s defined contribution employee benefit plan. “Tax fees” include fees for domestic tax planning and other research.</w:t>
      </w:r>
    </w:p>
    <w:p>
      <w:pPr>
        <w:spacing w:after="0" w:line="290"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PRE-APPROVAL POLICY</w:t>
      </w:r>
    </w:p>
    <w:p>
      <w:pPr>
        <w:spacing w:after="0" w:line="19" w:lineRule="exact"/>
        <w:rPr>
          <w:sz w:val="20"/>
          <w:szCs w:val="20"/>
          <w:color w:val="auto"/>
        </w:rPr>
      </w:pPr>
    </w:p>
    <w:p>
      <w:pPr>
        <w:ind w:left="160" w:right="40"/>
        <w:spacing w:after="0" w:line="247" w:lineRule="auto"/>
        <w:rPr>
          <w:sz w:val="20"/>
          <w:szCs w:val="20"/>
          <w:color w:val="auto"/>
        </w:rPr>
      </w:pPr>
      <w:r>
        <w:rPr>
          <w:rFonts w:ascii="Arial" w:cs="Arial" w:eastAsia="Arial" w:hAnsi="Arial"/>
          <w:sz w:val="16"/>
          <w:szCs w:val="16"/>
          <w:color w:val="auto"/>
        </w:rPr>
        <w:t>The Audit Committee’s policy is to pre-approve all audit and non-audit services provided by the independent registered public accountants by pre-approving certain types of services at usual and customary rates. These services may include audit services, audit-related services, tax services and other permissible non-audit services. The pre-approval authority details the particular service or category of service that the independent registered public accountants will perform. Management reports to the Audit Committee on the actual fees charged by the independent registered public accountants for each category of service.</w:t>
      </w:r>
    </w:p>
    <w:p>
      <w:pPr>
        <w:spacing w:after="0" w:line="187"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color w:val="auto"/>
        </w:rPr>
        <w:t>During the year, circumstances may arise when it becomes necessary to engage the independent registered public accountants for additional services not contemplated in the original pre-approval authority. In those instances, management submits a request to the Audit Committee describing a specific project at a specific fee or rate and, if deemed appropriate and necessary, the Audit Committee approves the services before we engage the independent registered public accountants.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Audit Committee pre-approved all fees related to services provided by Ernst &amp; Young LLP in 2024.</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REPORT OF THE AUDIT COMMITTEE</w:t>
      </w:r>
    </w:p>
    <w:p>
      <w:pPr>
        <w:spacing w:after="0" w:line="19" w:lineRule="exact"/>
        <w:rPr>
          <w:sz w:val="20"/>
          <w:szCs w:val="20"/>
          <w:color w:val="auto"/>
        </w:rPr>
      </w:pPr>
    </w:p>
    <w:p>
      <w:pPr>
        <w:ind w:left="160"/>
        <w:spacing w:after="0" w:line="249" w:lineRule="auto"/>
        <w:rPr>
          <w:sz w:val="20"/>
          <w:szCs w:val="20"/>
          <w:color w:val="auto"/>
        </w:rPr>
      </w:pPr>
      <w:r>
        <w:rPr>
          <w:rFonts w:ascii="Arial" w:cs="Arial" w:eastAsia="Arial" w:hAnsi="Arial"/>
          <w:sz w:val="16"/>
          <w:szCs w:val="16"/>
          <w:color w:val="auto"/>
        </w:rPr>
        <w:t>The Audit Committee is comprised of the five members named below. As required by our committee charter, each member of the Audit Committee has been determined by its Board, in its business judgement to be an “independent director,” as defined under the NASDAQ listing rules and the rules of SEC. In addition, the Board has determined that two of the five Audit Committee members (Mr. Byrne and Ms. Webb) are audit committee financial experts, as defined by SEC rules.</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2"/>
          <w:szCs w:val="12"/>
          <w:color w:val="351B3D"/>
        </w:rPr>
        <w:t>76</w:t>
      </w:r>
    </w:p>
    <w:p>
      <w:pPr>
        <w:sectPr>
          <w:pgSz w:w="11900" w:h="16838" w:orient="portrait"/>
          <w:cols w:equalWidth="0" w:num="1">
            <w:col w:w="11080"/>
          </w:cols>
          <w:pgMar w:left="320" w:top="478" w:right="4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DURING 2024, WE HELD EIGHT AUDIT COMMITTEE MEETINGS.</w:t>
      </w:r>
    </w:p>
    <w:p>
      <w:pPr>
        <w:spacing w:after="0" w:line="217" w:lineRule="exact"/>
        <w:rPr>
          <w:sz w:val="20"/>
          <w:szCs w:val="20"/>
          <w:color w:val="auto"/>
        </w:rPr>
      </w:pPr>
    </w:p>
    <w:p>
      <w:pPr>
        <w:ind w:left="160" w:right="120"/>
        <w:spacing w:after="0" w:line="279" w:lineRule="auto"/>
        <w:rPr>
          <w:sz w:val="20"/>
          <w:szCs w:val="20"/>
          <w:color w:val="auto"/>
        </w:rPr>
      </w:pPr>
      <w:r>
        <w:rPr>
          <w:rFonts w:ascii="Arial" w:cs="Arial" w:eastAsia="Arial" w:hAnsi="Arial"/>
          <w:sz w:val="16"/>
          <w:szCs w:val="16"/>
          <w:color w:val="auto"/>
        </w:rPr>
        <w:t>Our purpose and responsibilities are set forth in our committee charter, which is reviewed and updated, as appropriate, to address changes in regulatory requirements, authoritative guidance, evolving oversight practices and investor feedback.</w:t>
      </w:r>
    </w:p>
    <w:p>
      <w:pPr>
        <w:spacing w:after="0" w:line="161" w:lineRule="exact"/>
        <w:rPr>
          <w:sz w:val="20"/>
          <w:szCs w:val="20"/>
          <w:color w:val="auto"/>
        </w:rPr>
      </w:pPr>
    </w:p>
    <w:p>
      <w:pPr>
        <w:ind w:left="160"/>
        <w:spacing w:after="0" w:line="249" w:lineRule="auto"/>
        <w:rPr>
          <w:sz w:val="20"/>
          <w:szCs w:val="20"/>
          <w:color w:val="auto"/>
        </w:rPr>
      </w:pPr>
      <w:r>
        <w:rPr>
          <w:rFonts w:ascii="Arial" w:cs="Arial" w:eastAsia="Arial" w:hAnsi="Arial"/>
          <w:sz w:val="16"/>
          <w:szCs w:val="16"/>
          <w:color w:val="auto"/>
        </w:rPr>
        <w:t>Our role is to oversee, on behalf of the Board, the accounting and financial reporting processes of the Company and the audits of the Company’s financial statements, including review of the Company’s guidelines and policies with respect to risk assessment and risk management related to financial reporting and internal controls, major financial risk exposures of the Company and the steps the Company’s management has taken to monitor and control such exposures. The Company’s management is responsible for the preparation, presentation and integrity of our financial statements, and for maintaining appropriate accounting and financial reporting principles and policies, and internal controls and procedures that are reasonably designed to assure compliance with accounting standards and applicable laws and regulations. The independent auditors are responsible for auditing our financial statements and expressing an opinion as to their conformity with generally accepted accounting principles in the United States of America and for auditing and providing an attestation report on the effectiveness of our internal control over financial reporting.</w:t>
      </w:r>
    </w:p>
    <w:p>
      <w:pPr>
        <w:spacing w:after="0" w:line="185" w:lineRule="exact"/>
        <w:rPr>
          <w:sz w:val="20"/>
          <w:szCs w:val="20"/>
          <w:color w:val="auto"/>
        </w:rPr>
      </w:pPr>
    </w:p>
    <w:p>
      <w:pPr>
        <w:ind w:left="160" w:right="80"/>
        <w:spacing w:after="0" w:line="249" w:lineRule="auto"/>
        <w:rPr>
          <w:sz w:val="20"/>
          <w:szCs w:val="20"/>
          <w:color w:val="auto"/>
        </w:rPr>
      </w:pPr>
      <w:r>
        <w:rPr>
          <w:rFonts w:ascii="Arial" w:cs="Arial" w:eastAsia="Arial" w:hAnsi="Arial"/>
          <w:sz w:val="16"/>
          <w:szCs w:val="16"/>
          <w:color w:val="auto"/>
        </w:rPr>
        <w:t>In fulfilling our oversight duties, periodically throughout the year, we met separately in executive session with Ernst &amp; Young LLP, our independent registered public accountants, as well with each of the Company’s General Counsel, Chief Audit Executive (who heads internal audit), Chief Financial Officer, and Global Chief Compliance Officer. During these meetings, we discussed the quality of the Company’s accounting and financial reporting processes and the adequacy and effectiveness of its internal controls and procedures; reviewed significant audit findings prepared by each of the independent registered public accountants and internal audit department, together with management’s responses; reviewed the overall scope and plans for the audits by the internal audit department and the independent registered public accountants; reviewed critical accounting policies and the significant estimates and judgments management used in preparing the financial statements and their appropriateness for the Company’s business and current circumstances; and reviewed each Company press release concerning Company earnings prior to its release.</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Audit Committee and management have robust policies and procedures in place to monitor and confirm Ernst &amp; Young’s independence from the</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Company on an on-going basis. These policies and procedures include:</w:t>
      </w:r>
    </w:p>
    <w:p>
      <w:pPr>
        <w:spacing w:after="0" w:line="27" w:lineRule="exact"/>
        <w:rPr>
          <w:sz w:val="20"/>
          <w:szCs w:val="20"/>
          <w:color w:val="auto"/>
        </w:rPr>
      </w:pPr>
    </w:p>
    <w:p>
      <w:pPr>
        <w:ind w:left="800" w:hanging="205"/>
        <w:spacing w:after="0"/>
        <w:tabs>
          <w:tab w:leader="none" w:pos="8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Private sessions between the Audit Committee and Ernst &amp; Young throughout the year;</w:t>
      </w:r>
    </w:p>
    <w:p>
      <w:pPr>
        <w:spacing w:after="0" w:line="43" w:lineRule="exact"/>
        <w:rPr>
          <w:rFonts w:ascii="Arial" w:cs="Arial" w:eastAsia="Arial" w:hAnsi="Arial"/>
          <w:sz w:val="16"/>
          <w:szCs w:val="16"/>
          <w:color w:val="auto"/>
        </w:rPr>
      </w:pPr>
    </w:p>
    <w:p>
      <w:pPr>
        <w:ind w:left="800" w:hanging="205"/>
        <w:spacing w:after="0"/>
        <w:tabs>
          <w:tab w:leader="none" w:pos="8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Pre-approval by the Audit Committee of audit and non-audit services proposed to be performed by Ernst &amp; Young;</w:t>
      </w:r>
    </w:p>
    <w:p>
      <w:pPr>
        <w:spacing w:after="0" w:line="43" w:lineRule="exact"/>
        <w:rPr>
          <w:rFonts w:ascii="Arial" w:cs="Arial" w:eastAsia="Arial" w:hAnsi="Arial"/>
          <w:sz w:val="16"/>
          <w:szCs w:val="16"/>
          <w:color w:val="auto"/>
        </w:rPr>
      </w:pPr>
    </w:p>
    <w:p>
      <w:pPr>
        <w:ind w:left="800" w:hanging="205"/>
        <w:spacing w:after="0"/>
        <w:tabs>
          <w:tab w:leader="none" w:pos="8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Lead engagement partner rotation at least every 5 years; and</w:t>
      </w:r>
    </w:p>
    <w:p>
      <w:pPr>
        <w:spacing w:after="0" w:line="43" w:lineRule="exact"/>
        <w:rPr>
          <w:rFonts w:ascii="Arial" w:cs="Arial" w:eastAsia="Arial" w:hAnsi="Arial"/>
          <w:sz w:val="16"/>
          <w:szCs w:val="16"/>
          <w:color w:val="auto"/>
        </w:rPr>
      </w:pPr>
    </w:p>
    <w:p>
      <w:pPr>
        <w:ind w:left="800" w:hanging="205"/>
        <w:spacing w:after="0"/>
        <w:tabs>
          <w:tab w:leader="none" w:pos="8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Concurring audit partner rotation at least every 5 years.</w:t>
      </w:r>
    </w:p>
    <w:p>
      <w:pPr>
        <w:spacing w:after="0" w:line="217" w:lineRule="exact"/>
        <w:rPr>
          <w:sz w:val="20"/>
          <w:szCs w:val="20"/>
          <w:color w:val="auto"/>
        </w:rPr>
      </w:pPr>
    </w:p>
    <w:p>
      <w:pPr>
        <w:ind w:left="160" w:right="140"/>
        <w:spacing w:after="0" w:line="279" w:lineRule="auto"/>
        <w:rPr>
          <w:sz w:val="20"/>
          <w:szCs w:val="20"/>
          <w:color w:val="auto"/>
        </w:rPr>
      </w:pPr>
      <w:r>
        <w:rPr>
          <w:rFonts w:ascii="Arial" w:cs="Arial" w:eastAsia="Arial" w:hAnsi="Arial"/>
          <w:sz w:val="16"/>
          <w:szCs w:val="16"/>
          <w:color w:val="auto"/>
        </w:rPr>
        <w:t>As a result of the partner rotation policy, a new Ernst &amp; Young LLP partner rotated onto our account as lead coordinating partner for our 2024 fiscal year, replacing the lead coordinating partner that had served for the prior five fiscal years.</w:t>
      </w:r>
    </w:p>
    <w:p>
      <w:pPr>
        <w:spacing w:after="0" w:line="161" w:lineRule="exact"/>
        <w:rPr>
          <w:sz w:val="20"/>
          <w:szCs w:val="20"/>
          <w:color w:val="auto"/>
        </w:rPr>
      </w:pPr>
    </w:p>
    <w:p>
      <w:pPr>
        <w:ind w:left="160" w:right="20"/>
        <w:spacing w:after="0" w:line="253" w:lineRule="auto"/>
        <w:rPr>
          <w:sz w:val="20"/>
          <w:szCs w:val="20"/>
          <w:color w:val="auto"/>
        </w:rPr>
      </w:pPr>
      <w:r>
        <w:rPr>
          <w:rFonts w:ascii="Arial" w:cs="Arial" w:eastAsia="Arial" w:hAnsi="Arial"/>
          <w:sz w:val="16"/>
          <w:szCs w:val="16"/>
          <w:color w:val="auto"/>
        </w:rPr>
        <w:t>Ernst &amp; Young LLP has served as the Company’s independent registered public accounting firm since 2006. In evaluating and selecting the Company’s independent registered public accounting firm, we consider, among other things, the historical and recent performance of our current firm, the firm’s global reach, external data on audit quality and performance, including Public Company Accounting Oversight Board (“PCAOB”) reports, industry experience, audit fee revenues, firm capabilities and audit approach, and the independence and tenure of the accounting firm. As discussed above, we have engaged Ernst &amp; Young LLP to serve as our independent registered public accountants for the year ending December 31, 2025.</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77</w:t>
      </w:r>
    </w:p>
    <w:p>
      <w:pPr>
        <w:sectPr>
          <w:pgSz w:w="11900" w:h="16838" w:orient="portrait"/>
          <w:cols w:equalWidth="0" w:num="1">
            <w:col w:w="11080"/>
          </w:cols>
          <w:pgMar w:left="320" w:top="478" w:right="4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0"/>
        <w:spacing w:after="0" w:line="248" w:lineRule="auto"/>
        <w:rPr>
          <w:sz w:val="20"/>
          <w:szCs w:val="20"/>
          <w:color w:val="auto"/>
        </w:rPr>
      </w:pPr>
      <w:r>
        <w:rPr>
          <w:rFonts w:ascii="Arial" w:cs="Arial" w:eastAsia="Arial" w:hAnsi="Arial"/>
          <w:sz w:val="16"/>
          <w:szCs w:val="16"/>
          <w:color w:val="auto"/>
        </w:rPr>
        <w:t>In addition to the activities discussed above, prior to the Company’s filing of its Annual Report on Form 10-K for the year ended December 31, 2024, with the SEC, we reviewed and discussed with management the Company’s audited financial statements for the year ended December 31, 2024, including the Company’s disclosures under “Management’s Discussion and Analysis of Financial Condition and Results of Operations.” We discussed with the independent registered public accounting firm the matters required to be discussed by the applicable standards of the PCAOB and the SEC, including the quality, not just the acceptability, of the accounting principles, the reasonableness of significant judgments and the clarity of the disclosures in the financial statements. We received the written disclosures and the letter from the independent auditors required by applicable requirements of the PCAOB regarding the independent auditors’ communications with the audit committee concerning independence and have discussed with the independent auditors their firm’s independence. Based on the review and discussions described in this report, we recommended to the Board that the audited financial statements referred to above be included in the Company’s Annual Report on Form 10-K for the year ended December 31, 2024, filed with the SEC.</w:t>
      </w:r>
    </w:p>
    <w:p>
      <w:pPr>
        <w:spacing w:after="0" w:line="148"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AUDIT COMMITTEE</w:t>
      </w:r>
    </w:p>
    <w:p>
      <w:pPr>
        <w:spacing w:after="0" w:line="217"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Winifred M. Webb, Chair</w:t>
      </w:r>
    </w:p>
    <w:p>
      <w:pPr>
        <w:spacing w:after="0" w:line="19"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Richard J. Byrne</w:t>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Paul Liu</w:t>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Patricia Mulroy</w:t>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Philip G. Satre</w:t>
      </w:r>
    </w:p>
    <w:p>
      <w:pPr>
        <w:spacing w:after="0" w:line="131" w:lineRule="exact"/>
        <w:rPr>
          <w:sz w:val="20"/>
          <w:szCs w:val="20"/>
          <w:color w:val="auto"/>
        </w:rPr>
      </w:pPr>
    </w:p>
    <w:p>
      <w:pPr>
        <w:ind w:left="160"/>
        <w:spacing w:after="0"/>
        <w:rPr>
          <w:sz w:val="20"/>
          <w:szCs w:val="20"/>
          <w:color w:val="auto"/>
        </w:rPr>
      </w:pPr>
      <w:r>
        <w:rPr>
          <w:rFonts w:ascii="Arial" w:cs="Arial" w:eastAsia="Arial" w:hAnsi="Arial"/>
          <w:sz w:val="12"/>
          <w:szCs w:val="12"/>
          <w:color w:val="351B3D"/>
        </w:rPr>
        <w:t>78</w:t>
      </w:r>
    </w:p>
    <w:p>
      <w:pPr>
        <w:sectPr>
          <w:pgSz w:w="11900" w:h="16838" w:orient="portrait"/>
          <w:cols w:equalWidth="0" w:num="1">
            <w:col w:w="11060"/>
          </w:cols>
          <w:pgMar w:left="320" w:top="478" w:right="5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45"/>
          <w:szCs w:val="45"/>
          <w:color w:val="140F21"/>
        </w:rPr>
        <w:t>Proposal 3:</w:t>
      </w:r>
    </w:p>
    <w:p>
      <w:pPr>
        <w:spacing w:after="0" w:line="35" w:lineRule="exact"/>
        <w:rPr>
          <w:sz w:val="20"/>
          <w:szCs w:val="20"/>
          <w:color w:val="auto"/>
        </w:rPr>
      </w:pPr>
    </w:p>
    <w:p>
      <w:pPr>
        <w:ind w:left="160" w:right="1020"/>
        <w:spacing w:after="0" w:line="251" w:lineRule="auto"/>
        <w:rPr>
          <w:sz w:val="20"/>
          <w:szCs w:val="20"/>
          <w:color w:val="auto"/>
        </w:rPr>
      </w:pPr>
      <w:r>
        <w:rPr>
          <w:rFonts w:ascii="Arial" w:cs="Arial" w:eastAsia="Arial" w:hAnsi="Arial"/>
          <w:sz w:val="27"/>
          <w:szCs w:val="27"/>
          <w:color w:val="140F21"/>
        </w:rPr>
        <w:t>ADVISORY VOTE TO APPROVE THE COMPENSATION OF NAMED EXECUTIVE OFFICERS</w:t>
      </w:r>
    </w:p>
    <w:p>
      <w:pPr>
        <w:spacing w:after="0" w:line="274" w:lineRule="exact"/>
        <w:rPr>
          <w:sz w:val="20"/>
          <w:szCs w:val="20"/>
          <w:color w:val="auto"/>
        </w:rPr>
      </w:pPr>
    </w:p>
    <w:p>
      <w:pPr>
        <w:ind w:left="160" w:right="20"/>
        <w:spacing w:after="0" w:line="253" w:lineRule="auto"/>
        <w:rPr>
          <w:sz w:val="20"/>
          <w:szCs w:val="20"/>
          <w:color w:val="auto"/>
        </w:rPr>
      </w:pPr>
      <w:r>
        <w:rPr>
          <w:rFonts w:ascii="Arial" w:cs="Arial" w:eastAsia="Arial" w:hAnsi="Arial"/>
          <w:sz w:val="16"/>
          <w:szCs w:val="16"/>
          <w:color w:val="auto"/>
        </w:rPr>
        <w:t>In accordance with Section 14A of the Exchange Act (which was added by the Dodd-Frank Wall Street Reform and Consumer Protection Act (the “Dodd Frank Act”)) and the related rules of the SEC, and consistent with the frequency selected by shareholders, on an advisory basis, at the 2023 Annual Meeting of Shareholders, the Company presents its shareholders with the opportunity each year to vote to approve, on an advisory and non-binding basis, the compensation of our NEOs as disclosed in the Compensation Discussion and Analysis, the accompanying compensation tables and the related narrative disclosure in this Proxy Statement.</w:t>
      </w:r>
    </w:p>
    <w:p>
      <w:pPr>
        <w:spacing w:after="0" w:line="180" w:lineRule="exact"/>
        <w:rPr>
          <w:sz w:val="20"/>
          <w:szCs w:val="20"/>
          <w:color w:val="auto"/>
        </w:rPr>
      </w:pPr>
    </w:p>
    <w:p>
      <w:pPr>
        <w:ind w:left="160" w:right="40"/>
        <w:spacing w:after="0" w:line="251" w:lineRule="auto"/>
        <w:rPr>
          <w:sz w:val="20"/>
          <w:szCs w:val="20"/>
          <w:color w:val="auto"/>
        </w:rPr>
      </w:pPr>
      <w:r>
        <w:rPr>
          <w:rFonts w:ascii="Arial" w:cs="Arial" w:eastAsia="Arial" w:hAnsi="Arial"/>
          <w:sz w:val="16"/>
          <w:szCs w:val="16"/>
          <w:color w:val="auto"/>
        </w:rPr>
        <w:t>This proposal, commonly known as a “Say-on-Pay” proposal, allows our shareholders the opportunity to express their views on our NEOs’ compensation. At our 2023 Annual Meeting of Shareholders, shareholders voted, on an advisory and non-binding basis, that Say-on-Pay proposals be presented to our shareholders every year, and on the basis of that recommendation, the Board determined that future Say-on-Pay proposals would be conducted every year. Accordingly, Say-on-Pay proposals will continue to be presented to our shareholders annually unless our shareholders vote at our 2029 Annual Meeting of Shareholders, as required under the Dodd Frank Act and the related rules of the SEC rules, to approve a different say-on-pay proposal frequency.</w:t>
      </w:r>
    </w:p>
    <w:p>
      <w:pPr>
        <w:spacing w:after="0" w:line="183" w:lineRule="exact"/>
        <w:rPr>
          <w:sz w:val="20"/>
          <w:szCs w:val="20"/>
          <w:color w:val="auto"/>
        </w:rPr>
      </w:pPr>
    </w:p>
    <w:p>
      <w:pPr>
        <w:jc w:val="both"/>
        <w:ind w:left="160" w:right="180"/>
        <w:spacing w:after="0" w:line="262" w:lineRule="auto"/>
        <w:rPr>
          <w:sz w:val="20"/>
          <w:szCs w:val="20"/>
          <w:color w:val="auto"/>
        </w:rPr>
      </w:pPr>
      <w:r>
        <w:rPr>
          <w:rFonts w:ascii="Arial" w:cs="Arial" w:eastAsia="Arial" w:hAnsi="Arial"/>
          <w:sz w:val="16"/>
          <w:szCs w:val="16"/>
          <w:color w:val="auto"/>
        </w:rPr>
        <w:t>In considering this proposal, we urge shareholders to read the Compensation Discussion and Analysis, the accompanying compensation tables and the related narrative disclosure. Although this vote is advisory only, and therefore non-binding, the Board and the Compensation Committee will review and evaluate the voting result when considering future executive compensation decisions.</w:t>
      </w:r>
    </w:p>
    <w:p>
      <w:pPr>
        <w:spacing w:after="0" w:line="173" w:lineRule="exact"/>
        <w:rPr>
          <w:sz w:val="20"/>
          <w:szCs w:val="20"/>
          <w:color w:val="auto"/>
        </w:rPr>
      </w:pPr>
    </w:p>
    <w:p>
      <w:pPr>
        <w:ind w:left="160" w:right="80"/>
        <w:spacing w:after="0" w:line="256" w:lineRule="auto"/>
        <w:rPr>
          <w:sz w:val="20"/>
          <w:szCs w:val="20"/>
          <w:color w:val="auto"/>
        </w:rPr>
      </w:pPr>
      <w:r>
        <w:rPr>
          <w:rFonts w:ascii="Arial" w:cs="Arial" w:eastAsia="Arial" w:hAnsi="Arial"/>
          <w:sz w:val="16"/>
          <w:szCs w:val="16"/>
          <w:color w:val="auto"/>
        </w:rPr>
        <w:t>As described in detail in the Compensation Discussion and Analysis, the majority of our executives’ total compensation is at-risk, tied to achieving annual and long-term goals that enhance the value of our reputation and brand, sustain the performance and attractiveness of our resorts and drive long-term shareholder value. The design of our long-term incentives coupled with robust stock ownership guidelines ensure that our executives’ interests are aligned with those of long-term shareholders.</w:t>
      </w:r>
    </w:p>
    <w:p>
      <w:pPr>
        <w:spacing w:after="0" w:line="178" w:lineRule="exact"/>
        <w:rPr>
          <w:sz w:val="20"/>
          <w:szCs w:val="20"/>
          <w:color w:val="auto"/>
        </w:rPr>
      </w:pPr>
    </w:p>
    <w:p>
      <w:pPr>
        <w:ind w:left="160" w:right="200"/>
        <w:spacing w:after="0" w:line="279" w:lineRule="auto"/>
        <w:rPr>
          <w:sz w:val="20"/>
          <w:szCs w:val="20"/>
          <w:color w:val="auto"/>
        </w:rPr>
      </w:pPr>
      <w:r>
        <w:rPr>
          <w:rFonts w:ascii="Arial" w:cs="Arial" w:eastAsia="Arial" w:hAnsi="Arial"/>
          <w:sz w:val="16"/>
          <w:szCs w:val="16"/>
          <w:color w:val="auto"/>
        </w:rPr>
        <w:t>Therefore, in accordance with Section 14A of the Exchange Act and as a matter of good corporate governance, we are asking shareholders to approve the following advisory resolution at the 2025 Annual Meeting:</w:t>
      </w:r>
    </w:p>
    <w:p>
      <w:pPr>
        <w:spacing w:after="0" w:line="161" w:lineRule="exact"/>
        <w:rPr>
          <w:sz w:val="20"/>
          <w:szCs w:val="20"/>
          <w:color w:val="auto"/>
        </w:rPr>
      </w:pPr>
    </w:p>
    <w:p>
      <w:pPr>
        <w:ind w:left="160" w:right="60"/>
        <w:spacing w:after="0" w:line="256" w:lineRule="auto"/>
        <w:rPr>
          <w:sz w:val="20"/>
          <w:szCs w:val="20"/>
          <w:color w:val="auto"/>
        </w:rPr>
      </w:pPr>
      <w:r>
        <w:rPr>
          <w:rFonts w:ascii="Arial" w:cs="Arial" w:eastAsia="Arial" w:hAnsi="Arial"/>
          <w:sz w:val="16"/>
          <w:szCs w:val="16"/>
          <w:color w:val="auto"/>
        </w:rPr>
        <w:t>“RESOLVED, that the shareholders of Wynn Resorts, Limited (the “Company”) approve, on an advisory basis, the compensation of the Company’s named executive officers as disclosed in the Compensation Discussion and Analysis and the tabular disclosure regarding each named executive officer’s compensation (together with the accompanying narrative disclosure) in the Proxy Statement, as disclosed pursuant to Item 402 of Regulation S-K, for the 2025 Annual Meeting of Shareholders.”</w:t>
      </w:r>
    </w:p>
    <w:p>
      <w:pPr>
        <w:spacing w:after="0" w:line="166" w:lineRule="exact"/>
        <w:rPr>
          <w:sz w:val="20"/>
          <w:szCs w:val="20"/>
          <w:color w:val="auto"/>
        </w:rPr>
      </w:pPr>
    </w:p>
    <w:p>
      <w:pPr>
        <w:jc w:val="both"/>
        <w:ind w:left="160" w:right="360"/>
        <w:spacing w:after="0" w:line="259" w:lineRule="auto"/>
        <w:rPr>
          <w:sz w:val="20"/>
          <w:szCs w:val="20"/>
          <w:color w:val="auto"/>
        </w:rPr>
      </w:pPr>
      <w:r>
        <w:rPr>
          <w:rFonts w:ascii="Arial" w:cs="Arial" w:eastAsia="Arial" w:hAnsi="Arial"/>
          <w:sz w:val="21"/>
          <w:szCs w:val="21"/>
          <w:color w:val="351B3D"/>
        </w:rPr>
        <w:t>OUR BOARD OF DIRECTORS RECOMMENDS THAT YOU VOTE FOR THE APPROVAL OF THE ADVISORY RESOLUTION ON OUR NAMED EXECUTIVE OFFICER COMPENSATION, AS DISCLOSED IN THIS PROXY STATEMENT.</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79</w:t>
      </w:r>
    </w:p>
    <w:p>
      <w:pPr>
        <w:sectPr>
          <w:pgSz w:w="11900" w:h="16838" w:orient="portrait"/>
          <w:cols w:equalWidth="0" w:num="1">
            <w:col w:w="11080"/>
          </w:cols>
          <w:pgMar w:left="320" w:top="478" w:right="4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45"/>
          <w:szCs w:val="45"/>
          <w:color w:val="140F21"/>
        </w:rPr>
        <w:t>Proposal 4:</w:t>
      </w:r>
    </w:p>
    <w:p>
      <w:pPr>
        <w:spacing w:after="0" w:line="35" w:lineRule="exact"/>
        <w:rPr>
          <w:sz w:val="20"/>
          <w:szCs w:val="20"/>
          <w:color w:val="auto"/>
        </w:rPr>
      </w:pPr>
    </w:p>
    <w:p>
      <w:pPr>
        <w:jc w:val="both"/>
        <w:ind w:left="160" w:right="940"/>
        <w:spacing w:after="0" w:line="242" w:lineRule="auto"/>
        <w:rPr>
          <w:sz w:val="20"/>
          <w:szCs w:val="20"/>
          <w:color w:val="auto"/>
        </w:rPr>
      </w:pPr>
      <w:r>
        <w:rPr>
          <w:rFonts w:ascii="Arial" w:cs="Arial" w:eastAsia="Arial" w:hAnsi="Arial"/>
          <w:sz w:val="27"/>
          <w:szCs w:val="27"/>
          <w:color w:val="140F21"/>
        </w:rPr>
        <w:t>SHAREHOLDER PROPOSAL REQUESTING THAT THE BOARD OF DIRECTORS COMMISSION AND DISCLOSE A REPORT ON THE POTENTIAL COST SAVINGS THROUGH THE ADOPTION OF A SMOKEFREE POLICY FOR THE COMPANY’S PROPERTIES</w:t>
      </w:r>
    </w:p>
    <w:p>
      <w:pPr>
        <w:spacing w:after="0" w:line="286" w:lineRule="exact"/>
        <w:rPr>
          <w:sz w:val="20"/>
          <w:szCs w:val="20"/>
          <w:color w:val="auto"/>
        </w:rPr>
      </w:pPr>
    </w:p>
    <w:p>
      <w:pPr>
        <w:ind w:left="160"/>
        <w:spacing w:after="0" w:line="251" w:lineRule="auto"/>
        <w:rPr>
          <w:sz w:val="20"/>
          <w:szCs w:val="20"/>
          <w:color w:val="auto"/>
        </w:rPr>
      </w:pPr>
      <w:r>
        <w:rPr>
          <w:rFonts w:ascii="Arial" w:cs="Arial" w:eastAsia="Arial" w:hAnsi="Arial"/>
          <w:sz w:val="16"/>
          <w:szCs w:val="16"/>
          <w:color w:val="auto"/>
        </w:rPr>
        <w:t>Trinity Health has informed us that they intend to present the proposal set forth below at our Annual Meeting. If the shareholder proponent (or its “qualified representative”) is present at the 2025 Annual Meeting and properly presents the proposal for a vote, then the shareholder proposal will be voted upon at the 2025 Annual Meeting. Share ownership and address information for the shareholder proponent will be provided promptly upon request to our Secretary at the address listed under “General Information” in this Proxy Statement. In accordance with SEC rules, the shareholder proposal is set forth in italics below as submitted by the shareholder to us and is quoted verbatim. The Company disclaims all responsibility for the content of the proposal and the supporting statement, including other sources referenced in the supporting statement.</w:t>
      </w:r>
    </w:p>
    <w:p>
      <w:pPr>
        <w:spacing w:after="0" w:line="185" w:lineRule="exact"/>
        <w:rPr>
          <w:sz w:val="20"/>
          <w:szCs w:val="20"/>
          <w:color w:val="auto"/>
        </w:rPr>
      </w:pPr>
    </w:p>
    <w:p>
      <w:pPr>
        <w:ind w:left="160" w:right="140"/>
        <w:spacing w:after="0" w:line="260" w:lineRule="auto"/>
        <w:rPr>
          <w:sz w:val="20"/>
          <w:szCs w:val="20"/>
          <w:color w:val="auto"/>
        </w:rPr>
      </w:pPr>
      <w:r>
        <w:rPr>
          <w:rFonts w:ascii="Arial" w:cs="Arial" w:eastAsia="Arial" w:hAnsi="Arial"/>
          <w:sz w:val="16"/>
          <w:szCs w:val="16"/>
          <w:i w:val="1"/>
          <w:iCs w:val="1"/>
          <w:color w:val="auto"/>
        </w:rPr>
        <w:t>RESOLVED: Shareholders request the Board of Directors commission and disclose a report on the potential cost savings through the adoption of a smokefree policy for Wynn Resorts, Limited (“Wynn”) properties. The report should be prepared at reasonable cost, omitting confidential and proprietary information.</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WHEREAS:</w:t>
      </w:r>
    </w:p>
    <w:p>
      <w:pPr>
        <w:spacing w:after="0" w:line="12" w:lineRule="exact"/>
        <w:rPr>
          <w:sz w:val="20"/>
          <w:szCs w:val="20"/>
          <w:color w:val="auto"/>
        </w:rPr>
      </w:pPr>
    </w:p>
    <w:p>
      <w:pPr>
        <w:ind w:left="160" w:right="180"/>
        <w:spacing w:after="0" w:line="251" w:lineRule="auto"/>
        <w:rPr>
          <w:sz w:val="20"/>
          <w:szCs w:val="20"/>
          <w:color w:val="auto"/>
        </w:rPr>
      </w:pPr>
      <w:r>
        <w:rPr>
          <w:rFonts w:ascii="Arial" w:cs="Arial" w:eastAsia="Arial" w:hAnsi="Arial"/>
          <w:sz w:val="16"/>
          <w:szCs w:val="16"/>
          <w:i w:val="1"/>
          <w:iCs w:val="1"/>
          <w:color w:val="auto"/>
        </w:rPr>
        <w:t>The U.S. Surgeon General released a landmark report in 2006 stating there is no safe level of exposure to secondhand smoke. Tobacco use and secondhand smoke exposure kill nearly 500,000 Americans annually. For gaming industry workers on casino floors, largely people of color and women, lack of access to smokefree air can deepen existing disparities in health outcomes.</w:t>
      </w:r>
    </w:p>
    <w:p>
      <w:pPr>
        <w:spacing w:after="0" w:line="184" w:lineRule="exact"/>
        <w:rPr>
          <w:sz w:val="20"/>
          <w:szCs w:val="20"/>
          <w:color w:val="auto"/>
        </w:rPr>
      </w:pPr>
    </w:p>
    <w:p>
      <w:pPr>
        <w:ind w:left="160" w:right="320"/>
        <w:spacing w:after="0" w:line="260" w:lineRule="auto"/>
        <w:rPr>
          <w:sz w:val="20"/>
          <w:szCs w:val="20"/>
          <w:color w:val="auto"/>
        </w:rPr>
      </w:pPr>
      <w:r>
        <w:rPr>
          <w:rFonts w:ascii="Arial" w:cs="Arial" w:eastAsia="Arial" w:hAnsi="Arial"/>
          <w:sz w:val="16"/>
          <w:szCs w:val="16"/>
          <w:i w:val="1"/>
          <w:iCs w:val="1"/>
          <w:color w:val="auto"/>
        </w:rPr>
        <w:t>The American Society of Heating, Refrigerating and Air-Conditioning Engineers states: “There is no currently available or reasonably anticipated ventilation or air cleaning system that can adequately control or significantly reduce the health risks of environmental tobacco smoke to an acceptable level.”</w:t>
      </w:r>
    </w:p>
    <w:p>
      <w:pPr>
        <w:spacing w:after="0" w:line="178" w:lineRule="exact"/>
        <w:rPr>
          <w:sz w:val="20"/>
          <w:szCs w:val="20"/>
          <w:color w:val="auto"/>
        </w:rPr>
      </w:pPr>
    </w:p>
    <w:p>
      <w:pPr>
        <w:ind w:left="160" w:right="160"/>
        <w:spacing w:after="0" w:line="260" w:lineRule="auto"/>
        <w:rPr>
          <w:sz w:val="20"/>
          <w:szCs w:val="20"/>
          <w:color w:val="auto"/>
        </w:rPr>
      </w:pPr>
      <w:r>
        <w:rPr>
          <w:rFonts w:ascii="Arial" w:cs="Arial" w:eastAsia="Arial" w:hAnsi="Arial"/>
          <w:sz w:val="16"/>
          <w:szCs w:val="16"/>
          <w:i w:val="1"/>
          <w:iCs w:val="1"/>
          <w:color w:val="auto"/>
        </w:rPr>
        <w:t>As independent researchers C3 Gaming found in analyzing revenue performance in several competitive casino markets, smokefree casinos, for the first time, generated more revenue: “Data from multiple jurisdictions clearly indicates that banning smoking no longer causes a dramatic drop in gaming revenue. In fact, non-smoking properties appear to be performing better than their counterparts that continue to allow smoking.”</w:t>
      </w:r>
    </w:p>
    <w:p>
      <w:pPr>
        <w:spacing w:after="0" w:line="178" w:lineRule="exact"/>
        <w:rPr>
          <w:sz w:val="20"/>
          <w:szCs w:val="20"/>
          <w:color w:val="auto"/>
        </w:rPr>
      </w:pPr>
    </w:p>
    <w:p>
      <w:pPr>
        <w:ind w:left="160" w:right="380"/>
        <w:spacing w:after="0" w:line="260" w:lineRule="auto"/>
        <w:rPr>
          <w:sz w:val="20"/>
          <w:szCs w:val="20"/>
          <w:color w:val="auto"/>
        </w:rPr>
      </w:pPr>
      <w:r>
        <w:rPr>
          <w:rFonts w:ascii="Arial" w:cs="Arial" w:eastAsia="Arial" w:hAnsi="Arial"/>
          <w:sz w:val="16"/>
          <w:szCs w:val="16"/>
          <w:i w:val="1"/>
          <w:iCs w:val="1"/>
          <w:color w:val="auto"/>
        </w:rPr>
        <w:t>There are potential business risks to allowing indoor smoking in Wynn properties: higher employee health insurance premiums (when compared with casinos that don’t permit indoor smoking); greater maintenance costs; loss of a significant number of potential visitors who won’t visit a casino due exposure to secondhand smoke. A recent Gallup survey found the rate of adult cigarette smoking to be 11 %, the lowest in 80 years.</w:t>
      </w:r>
    </w:p>
    <w:p>
      <w:pPr>
        <w:spacing w:after="0" w:line="178" w:lineRule="exact"/>
        <w:rPr>
          <w:sz w:val="20"/>
          <w:szCs w:val="20"/>
          <w:color w:val="auto"/>
        </w:rPr>
      </w:pPr>
    </w:p>
    <w:p>
      <w:pPr>
        <w:ind w:left="160" w:right="440"/>
        <w:spacing w:after="0" w:line="277" w:lineRule="auto"/>
        <w:rPr>
          <w:sz w:val="20"/>
          <w:szCs w:val="20"/>
          <w:color w:val="auto"/>
        </w:rPr>
      </w:pPr>
      <w:r>
        <w:rPr>
          <w:rFonts w:ascii="Arial" w:cs="Arial" w:eastAsia="Arial" w:hAnsi="Arial"/>
          <w:sz w:val="16"/>
          <w:szCs w:val="16"/>
          <w:i w:val="1"/>
          <w:iCs w:val="1"/>
          <w:color w:val="auto"/>
        </w:rPr>
        <w:t>Shareholders have no guidance as to the costs our Company is bearing for continuing to allow indoor smoking. The Company has not disclosed the social and environmental costs and risks imposed on its stakeholders.</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2"/>
          <w:szCs w:val="12"/>
          <w:color w:val="351B3D"/>
        </w:rPr>
        <w:t>80</w:t>
      </w:r>
    </w:p>
    <w:p>
      <w:pPr>
        <w:sectPr>
          <w:pgSz w:w="11900" w:h="16838" w:orient="portrait"/>
          <w:cols w:equalWidth="0" w:num="1">
            <w:col w:w="11080"/>
          </w:cols>
          <w:pgMar w:left="320" w:top="478" w:right="4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60" w:right="100"/>
        <w:spacing w:after="0" w:line="255" w:lineRule="auto"/>
        <w:rPr>
          <w:sz w:val="20"/>
          <w:szCs w:val="20"/>
          <w:color w:val="auto"/>
        </w:rPr>
      </w:pPr>
      <w:r>
        <w:rPr>
          <w:rFonts w:ascii="Arial" w:cs="Arial" w:eastAsia="Arial" w:hAnsi="Arial"/>
          <w:sz w:val="16"/>
          <w:szCs w:val="16"/>
          <w:i w:val="1"/>
          <w:iCs w:val="1"/>
          <w:color w:val="auto"/>
        </w:rPr>
        <w:t>Other casinos have successfully adopted a smokefree policy indoors. Parx Casino’s Chief Marketing Officer told the Play Pennsylvania website in February 2023 that since the casino went smokefree, Parx has seen a positive effect on the health and morale of employees, with no increase in health insurance premiums: “Frankly, we are starting to see health costs go down .... What’s been interesting to me, is a lot of our smoking guests have actually said things like, ‘I never realized how smoky and annoying it was. I really don’t mind walking 50 feet out to the smoking patio.”</w:t>
      </w:r>
    </w:p>
    <w:p>
      <w:pPr>
        <w:spacing w:after="0" w:line="181" w:lineRule="exact"/>
        <w:rPr>
          <w:sz w:val="20"/>
          <w:szCs w:val="20"/>
          <w:color w:val="auto"/>
        </w:rPr>
      </w:pPr>
    </w:p>
    <w:p>
      <w:pPr>
        <w:ind w:left="160" w:right="300"/>
        <w:spacing w:after="0" w:line="277" w:lineRule="auto"/>
        <w:rPr>
          <w:sz w:val="20"/>
          <w:szCs w:val="20"/>
          <w:color w:val="auto"/>
        </w:rPr>
      </w:pPr>
      <w:r>
        <w:rPr>
          <w:rFonts w:ascii="Arial" w:cs="Arial" w:eastAsia="Arial" w:hAnsi="Arial"/>
          <w:sz w:val="16"/>
          <w:szCs w:val="16"/>
          <w:i w:val="1"/>
          <w:iCs w:val="1"/>
          <w:color w:val="auto"/>
        </w:rPr>
        <w:t>Speaking at a recent industry conference, a senior official of Foxwoods, the nation’s largest resort casino which has been smoke-free since reopening after the pandemic, said that Foxwoods’ surveys found strong support for ending indoor smoking.</w:t>
      </w:r>
    </w:p>
    <w:p>
      <w:pPr>
        <w:spacing w:after="0" w:line="164" w:lineRule="exact"/>
        <w:rPr>
          <w:sz w:val="20"/>
          <w:szCs w:val="20"/>
          <w:color w:val="auto"/>
        </w:rPr>
      </w:pPr>
    </w:p>
    <w:p>
      <w:pPr>
        <w:ind w:left="160" w:right="260"/>
        <w:spacing w:after="0" w:line="277" w:lineRule="auto"/>
        <w:rPr>
          <w:sz w:val="20"/>
          <w:szCs w:val="20"/>
          <w:color w:val="auto"/>
        </w:rPr>
      </w:pPr>
      <w:r>
        <w:rPr>
          <w:rFonts w:ascii="Arial" w:cs="Arial" w:eastAsia="Arial" w:hAnsi="Arial"/>
          <w:sz w:val="16"/>
          <w:szCs w:val="16"/>
          <w:i w:val="1"/>
          <w:iCs w:val="1"/>
          <w:color w:val="auto"/>
        </w:rPr>
        <w:t>New customer preferences require an examination of the status quo in which smoking is allowed in gaming properties. We believe our Company could enhance its safety initiatives by conducting the report our proposal requests.</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STATEMENT IN OPPOSITION: BOARD RECOMMENDATION</w:t>
      </w:r>
    </w:p>
    <w:p>
      <w:pPr>
        <w:spacing w:after="0" w:line="19" w:lineRule="exact"/>
        <w:rPr>
          <w:sz w:val="20"/>
          <w:szCs w:val="20"/>
          <w:color w:val="auto"/>
        </w:rPr>
      </w:pPr>
    </w:p>
    <w:p>
      <w:pPr>
        <w:ind w:left="160" w:right="540"/>
        <w:spacing w:after="0" w:line="258" w:lineRule="auto"/>
        <w:rPr>
          <w:sz w:val="20"/>
          <w:szCs w:val="20"/>
          <w:color w:val="auto"/>
        </w:rPr>
      </w:pPr>
      <w:r>
        <w:rPr>
          <w:rFonts w:ascii="Arial" w:cs="Arial" w:eastAsia="Arial" w:hAnsi="Arial"/>
          <w:sz w:val="16"/>
          <w:szCs w:val="16"/>
          <w:color w:val="auto"/>
        </w:rPr>
        <w:t>The Board has carefully considered this proposal and concluded that the adoption of this proposal is not in the best interests of the Company or its shareholders. The Board of Directors unanimously recommends a vote against this proposal.</w:t>
      </w:r>
    </w:p>
    <w:p>
      <w:pPr>
        <w:spacing w:after="0" w:line="177" w:lineRule="exact"/>
        <w:rPr>
          <w:sz w:val="20"/>
          <w:szCs w:val="20"/>
          <w:color w:val="auto"/>
        </w:rPr>
      </w:pPr>
    </w:p>
    <w:p>
      <w:pPr>
        <w:ind w:left="160" w:right="440"/>
        <w:spacing w:after="0" w:line="279" w:lineRule="auto"/>
        <w:rPr>
          <w:sz w:val="20"/>
          <w:szCs w:val="20"/>
          <w:color w:val="auto"/>
        </w:rPr>
      </w:pPr>
      <w:r>
        <w:rPr>
          <w:rFonts w:ascii="Arial" w:cs="Arial" w:eastAsia="Arial" w:hAnsi="Arial"/>
          <w:sz w:val="16"/>
          <w:szCs w:val="16"/>
          <w:color w:val="auto"/>
        </w:rPr>
        <w:t>The Company’s smoking policies at our properties already take into consideration a wide range of business factors, including the various needs and preferences of all our guests, local practices and regulations, the policies of our relevant market competitors, and other considerations.</w:t>
      </w:r>
    </w:p>
    <w:p>
      <w:pPr>
        <w:spacing w:after="0" w:line="161" w:lineRule="exact"/>
        <w:rPr>
          <w:sz w:val="20"/>
          <w:szCs w:val="20"/>
          <w:color w:val="auto"/>
        </w:rPr>
      </w:pPr>
    </w:p>
    <w:p>
      <w:pPr>
        <w:ind w:left="160" w:right="240"/>
        <w:spacing w:after="0" w:line="262" w:lineRule="auto"/>
        <w:rPr>
          <w:sz w:val="20"/>
          <w:szCs w:val="20"/>
          <w:color w:val="auto"/>
        </w:rPr>
      </w:pPr>
      <w:r>
        <w:rPr>
          <w:rFonts w:ascii="Arial" w:cs="Arial" w:eastAsia="Arial" w:hAnsi="Arial"/>
          <w:sz w:val="16"/>
          <w:szCs w:val="16"/>
          <w:color w:val="auto"/>
        </w:rPr>
        <w:t>The Company is subject to, and complies with, all applicable laws and regulations concerning smoking at each of our properties. In addition, at our Las Vegas property where smoking is allowed in the casino, we limit the areas in which our customers and other visitors are allowed to smoke and have invested in a state-of-the-art air ventilation system to reduce the presence of smoke in those limited areas in which smoking is permitted. </w:t>
      </w:r>
    </w:p>
    <w:p>
      <w:pPr>
        <w:spacing w:after="0" w:line="173" w:lineRule="exact"/>
        <w:rPr>
          <w:sz w:val="20"/>
          <w:szCs w:val="20"/>
          <w:color w:val="auto"/>
        </w:rPr>
      </w:pPr>
    </w:p>
    <w:p>
      <w:pPr>
        <w:ind w:left="160" w:right="640"/>
        <w:spacing w:after="0" w:line="279" w:lineRule="auto"/>
        <w:rPr>
          <w:sz w:val="20"/>
          <w:szCs w:val="20"/>
          <w:color w:val="auto"/>
        </w:rPr>
      </w:pPr>
      <w:r>
        <w:rPr>
          <w:rFonts w:ascii="Arial" w:cs="Arial" w:eastAsia="Arial" w:hAnsi="Arial"/>
          <w:sz w:val="16"/>
          <w:szCs w:val="16"/>
          <w:color w:val="auto"/>
        </w:rPr>
        <w:t>The Company regularly considers the various business factors related to smoking, and the Board does not believe that this proposal would be an effective use of Company time and resources.</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4"/>
          <w:szCs w:val="14"/>
          <w:color w:val="351B3D"/>
        </w:rPr>
        <w:t>OUR BOARD OF DIRECTORS RECOMMENDS THAT YOU VOTE AGAINST THIS SHAREHOLDER PROPOSAL.</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81</w:t>
      </w:r>
    </w:p>
    <w:p>
      <w:pPr>
        <w:sectPr>
          <w:pgSz w:w="11900" w:h="16838" w:orient="portrait"/>
          <w:cols w:equalWidth="0" w:num="1">
            <w:col w:w="11080"/>
          </w:cols>
          <w:pgMar w:left="320" w:top="478" w:right="4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45"/>
          <w:szCs w:val="45"/>
          <w:color w:val="140F21"/>
        </w:rPr>
        <w:t>General Information</w:t>
      </w:r>
    </w:p>
    <w:p>
      <w:pPr>
        <w:spacing w:after="0" w:line="344"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OUR 2025 ANNUAL MEETING OF SHAREHOLDERS</w:t>
      </w:r>
    </w:p>
    <w:p>
      <w:pPr>
        <w:spacing w:after="0" w:line="19" w:lineRule="exact"/>
        <w:rPr>
          <w:sz w:val="20"/>
          <w:szCs w:val="20"/>
          <w:color w:val="auto"/>
        </w:rPr>
      </w:pPr>
    </w:p>
    <w:p>
      <w:pPr>
        <w:ind w:left="160" w:right="340"/>
        <w:spacing w:after="0" w:line="249" w:lineRule="auto"/>
        <w:rPr>
          <w:sz w:val="20"/>
          <w:szCs w:val="20"/>
          <w:color w:val="auto"/>
        </w:rPr>
      </w:pPr>
      <w:r>
        <w:rPr>
          <w:rFonts w:ascii="Arial" w:cs="Arial" w:eastAsia="Arial" w:hAnsi="Arial"/>
          <w:sz w:val="16"/>
          <w:szCs w:val="16"/>
          <w:color w:val="auto"/>
        </w:rPr>
        <w:t>This Proxy Statement is furnished to the shareholders of Wynn Resorts in connection with the solicitation by the Board of proxies for the 2025 Annual Meeting of Shareholders (the “Annual Meeting”). Our 2025 Annual Meeting will be held virtually on April 30, 2025, via live webcast accessed at this website: http://www.virtualshareholdermeeting.com/WYNN2025, at 8:00 am (eastern time). Matters to be considered and acted upon at the Annual Meeting are set forth in the Notice of Annual Meeting accompanying this Proxy Statement and are more fully described herein.</w:t>
      </w:r>
    </w:p>
    <w:p>
      <w:pPr>
        <w:spacing w:after="0" w:line="290"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THE BOARD RECOMMENDS A VOTE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163830</wp:posOffset>
            </wp:positionV>
            <wp:extent cx="6929755" cy="12141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29755" cy="1214120"/>
                    </a:xfrm>
                    <a:prstGeom prst="rect">
                      <a:avLst/>
                    </a:prstGeom>
                    <a:noFill/>
                  </pic:spPr>
                </pic:pic>
              </a:graphicData>
            </a:graphic>
          </wp:anchor>
        </w:drawing>
      </w:r>
    </w:p>
    <w:p>
      <w:pPr>
        <w:spacing w:after="0" w:line="238"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1420" w:type="dxa"/>
            <w:vAlign w:val="bottom"/>
            <w:shd w:val="clear" w:color="auto" w:fill="351B3D"/>
          </w:tcPr>
          <w:p>
            <w:pPr>
              <w:ind w:left="80"/>
              <w:spacing w:after="0"/>
              <w:rPr>
                <w:sz w:val="20"/>
                <w:szCs w:val="20"/>
                <w:color w:val="auto"/>
              </w:rPr>
            </w:pPr>
            <w:r>
              <w:rPr>
                <w:rFonts w:ascii="Arial" w:cs="Arial" w:eastAsia="Arial" w:hAnsi="Arial"/>
                <w:sz w:val="16"/>
                <w:szCs w:val="16"/>
                <w:color w:val="FFFFFF"/>
              </w:rPr>
              <w:t>PROPOSAL</w:t>
            </w:r>
          </w:p>
        </w:tc>
        <w:tc>
          <w:tcPr>
            <w:tcW w:w="6960" w:type="dxa"/>
            <w:vAlign w:val="bottom"/>
            <w:vMerge w:val="restart"/>
            <w:shd w:val="clear" w:color="auto" w:fill="351B3D"/>
          </w:tcPr>
          <w:p>
            <w:pPr>
              <w:ind w:left="3100"/>
              <w:spacing w:after="0"/>
              <w:rPr>
                <w:sz w:val="20"/>
                <w:szCs w:val="20"/>
                <w:color w:val="auto"/>
              </w:rPr>
            </w:pPr>
            <w:r>
              <w:rPr>
                <w:rFonts w:ascii="Arial" w:cs="Arial" w:eastAsia="Arial" w:hAnsi="Arial"/>
                <w:sz w:val="16"/>
                <w:szCs w:val="16"/>
                <w:color w:val="FFFFFF"/>
              </w:rPr>
              <w:t>PROPOSAL</w:t>
            </w:r>
          </w:p>
        </w:tc>
        <w:tc>
          <w:tcPr>
            <w:tcW w:w="2540" w:type="dxa"/>
            <w:vAlign w:val="bottom"/>
            <w:shd w:val="clear" w:color="auto" w:fill="351B3D"/>
          </w:tcPr>
          <w:p>
            <w:pPr>
              <w:ind w:left="1100"/>
              <w:spacing w:after="0"/>
              <w:rPr>
                <w:sz w:val="20"/>
                <w:szCs w:val="20"/>
                <w:color w:val="auto"/>
              </w:rPr>
            </w:pPr>
            <w:r>
              <w:rPr>
                <w:rFonts w:ascii="Arial" w:cs="Arial" w:eastAsia="Arial" w:hAnsi="Arial"/>
                <w:sz w:val="16"/>
                <w:szCs w:val="16"/>
                <w:color w:val="FFFFFF"/>
              </w:rPr>
              <w:t>BOARD</w:t>
            </w:r>
          </w:p>
        </w:tc>
        <w:tc>
          <w:tcPr>
            <w:tcW w:w="0" w:type="dxa"/>
            <w:vAlign w:val="bottom"/>
          </w:tcPr>
          <w:p>
            <w:pPr>
              <w:spacing w:after="0"/>
              <w:rPr>
                <w:sz w:val="1"/>
                <w:szCs w:val="1"/>
                <w:color w:val="auto"/>
              </w:rPr>
            </w:pPr>
          </w:p>
        </w:tc>
      </w:tr>
      <w:tr>
        <w:trPr>
          <w:trHeight w:val="131"/>
        </w:trPr>
        <w:tc>
          <w:tcPr>
            <w:tcW w:w="1420" w:type="dxa"/>
            <w:vAlign w:val="bottom"/>
            <w:vMerge w:val="restart"/>
            <w:shd w:val="clear" w:color="auto" w:fill="351B3D"/>
          </w:tcPr>
          <w:p>
            <w:pPr>
              <w:ind w:left="80"/>
              <w:spacing w:after="0"/>
              <w:rPr>
                <w:sz w:val="20"/>
                <w:szCs w:val="20"/>
                <w:color w:val="auto"/>
              </w:rPr>
            </w:pPr>
            <w:r>
              <w:rPr>
                <w:rFonts w:ascii="Arial" w:cs="Arial" w:eastAsia="Arial" w:hAnsi="Arial"/>
                <w:sz w:val="16"/>
                <w:szCs w:val="16"/>
                <w:color w:val="FFFFFF"/>
              </w:rPr>
              <w:t>NUMBER</w:t>
            </w:r>
          </w:p>
        </w:tc>
        <w:tc>
          <w:tcPr>
            <w:tcW w:w="6960" w:type="dxa"/>
            <w:vAlign w:val="bottom"/>
            <w:vMerge w:val="continue"/>
            <w:shd w:val="clear" w:color="auto" w:fill="351B3D"/>
          </w:tcPr>
          <w:p>
            <w:pPr>
              <w:spacing w:after="0"/>
              <w:rPr>
                <w:sz w:val="11"/>
                <w:szCs w:val="11"/>
                <w:color w:val="auto"/>
              </w:rPr>
            </w:pPr>
          </w:p>
        </w:tc>
        <w:tc>
          <w:tcPr>
            <w:tcW w:w="2540" w:type="dxa"/>
            <w:vAlign w:val="bottom"/>
            <w:vMerge w:val="restart"/>
            <w:shd w:val="clear" w:color="auto" w:fill="351B3D"/>
          </w:tcPr>
          <w:p>
            <w:pPr>
              <w:ind w:left="600"/>
              <w:spacing w:after="0"/>
              <w:rPr>
                <w:sz w:val="20"/>
                <w:szCs w:val="20"/>
                <w:color w:val="auto"/>
              </w:rPr>
            </w:pPr>
            <w:r>
              <w:rPr>
                <w:rFonts w:ascii="Arial" w:cs="Arial" w:eastAsia="Arial" w:hAnsi="Arial"/>
                <w:sz w:val="16"/>
                <w:szCs w:val="16"/>
                <w:color w:val="FFFFFF"/>
              </w:rPr>
              <w:t>RECOMMENDATION</w:t>
            </w:r>
          </w:p>
        </w:tc>
        <w:tc>
          <w:tcPr>
            <w:tcW w:w="0" w:type="dxa"/>
            <w:vAlign w:val="bottom"/>
          </w:tcPr>
          <w:p>
            <w:pPr>
              <w:spacing w:after="0"/>
              <w:rPr>
                <w:sz w:val="1"/>
                <w:szCs w:val="1"/>
                <w:color w:val="auto"/>
              </w:rPr>
            </w:pPr>
          </w:p>
        </w:tc>
      </w:tr>
      <w:tr>
        <w:trPr>
          <w:trHeight w:val="97"/>
        </w:trPr>
        <w:tc>
          <w:tcPr>
            <w:tcW w:w="1420" w:type="dxa"/>
            <w:vAlign w:val="bottom"/>
            <w:vMerge w:val="continue"/>
            <w:shd w:val="clear" w:color="auto" w:fill="351B3D"/>
          </w:tcPr>
          <w:p>
            <w:pPr>
              <w:spacing w:after="0"/>
              <w:rPr>
                <w:sz w:val="8"/>
                <w:szCs w:val="8"/>
                <w:color w:val="auto"/>
              </w:rPr>
            </w:pPr>
          </w:p>
        </w:tc>
        <w:tc>
          <w:tcPr>
            <w:tcW w:w="6960" w:type="dxa"/>
            <w:vAlign w:val="bottom"/>
            <w:shd w:val="clear" w:color="auto" w:fill="351B3D"/>
          </w:tcPr>
          <w:p>
            <w:pPr>
              <w:spacing w:after="0"/>
              <w:rPr>
                <w:sz w:val="8"/>
                <w:szCs w:val="8"/>
                <w:color w:val="auto"/>
              </w:rPr>
            </w:pPr>
          </w:p>
        </w:tc>
        <w:tc>
          <w:tcPr>
            <w:tcW w:w="2540" w:type="dxa"/>
            <w:vAlign w:val="bottom"/>
            <w:vMerge w:val="continue"/>
            <w:shd w:val="clear" w:color="auto" w:fill="351B3D"/>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420" w:type="dxa"/>
            <w:vAlign w:val="bottom"/>
            <w:shd w:val="clear" w:color="auto" w:fill="D6D1D8"/>
          </w:tcPr>
          <w:p>
            <w:pPr>
              <w:ind w:left="80"/>
              <w:spacing w:after="0"/>
              <w:rPr>
                <w:sz w:val="20"/>
                <w:szCs w:val="20"/>
                <w:color w:val="auto"/>
              </w:rPr>
            </w:pPr>
            <w:r>
              <w:rPr>
                <w:rFonts w:ascii="Arial" w:cs="Arial" w:eastAsia="Arial" w:hAnsi="Arial"/>
                <w:sz w:val="16"/>
                <w:szCs w:val="16"/>
                <w:color w:val="auto"/>
              </w:rPr>
              <w:t>1</w:t>
            </w:r>
          </w:p>
        </w:tc>
        <w:tc>
          <w:tcPr>
            <w:tcW w:w="6960" w:type="dxa"/>
            <w:vAlign w:val="bottom"/>
            <w:shd w:val="clear" w:color="auto" w:fill="D6D1D8"/>
          </w:tcPr>
          <w:p>
            <w:pPr>
              <w:ind w:left="220"/>
              <w:spacing w:after="0"/>
              <w:rPr>
                <w:sz w:val="20"/>
                <w:szCs w:val="20"/>
                <w:color w:val="auto"/>
              </w:rPr>
            </w:pPr>
            <w:r>
              <w:rPr>
                <w:rFonts w:ascii="Arial" w:cs="Arial" w:eastAsia="Arial" w:hAnsi="Arial"/>
                <w:sz w:val="16"/>
                <w:szCs w:val="16"/>
                <w:color w:val="auto"/>
              </w:rPr>
              <w:t>Election of the three Class II director nominees named in this Proxy Statement to serve until</w:t>
            </w:r>
          </w:p>
        </w:tc>
        <w:tc>
          <w:tcPr>
            <w:tcW w:w="2540" w:type="dxa"/>
            <w:vAlign w:val="bottom"/>
            <w:shd w:val="clear" w:color="auto" w:fill="D6D1D8"/>
          </w:tcPr>
          <w:p>
            <w:pPr>
              <w:ind w:left="220"/>
              <w:spacing w:after="0"/>
              <w:rPr>
                <w:sz w:val="20"/>
                <w:szCs w:val="20"/>
                <w:color w:val="auto"/>
              </w:rPr>
            </w:pPr>
            <w:r>
              <w:rPr>
                <w:rFonts w:ascii="Arial" w:cs="Arial" w:eastAsia="Arial" w:hAnsi="Arial"/>
                <w:sz w:val="16"/>
                <w:szCs w:val="16"/>
                <w:color w:val="auto"/>
              </w:rPr>
              <w:t>“FOR” each nominee</w:t>
            </w:r>
          </w:p>
        </w:tc>
        <w:tc>
          <w:tcPr>
            <w:tcW w:w="0" w:type="dxa"/>
            <w:vAlign w:val="bottom"/>
          </w:tcPr>
          <w:p>
            <w:pPr>
              <w:spacing w:after="0"/>
              <w:rPr>
                <w:sz w:val="1"/>
                <w:szCs w:val="1"/>
                <w:color w:val="auto"/>
              </w:rPr>
            </w:pPr>
          </w:p>
        </w:tc>
      </w:tr>
      <w:tr>
        <w:trPr>
          <w:trHeight w:val="235"/>
        </w:trPr>
        <w:tc>
          <w:tcPr>
            <w:tcW w:w="1420" w:type="dxa"/>
            <w:vAlign w:val="bottom"/>
            <w:tcBorders>
              <w:bottom w:val="single" w:sz="8" w:color="D6D1D8"/>
            </w:tcBorders>
            <w:shd w:val="clear" w:color="auto" w:fill="D6D1D8"/>
          </w:tcPr>
          <w:p>
            <w:pPr>
              <w:spacing w:after="0"/>
              <w:rPr>
                <w:sz w:val="20"/>
                <w:szCs w:val="20"/>
                <w:color w:val="auto"/>
              </w:rPr>
            </w:pPr>
          </w:p>
        </w:tc>
        <w:tc>
          <w:tcPr>
            <w:tcW w:w="6960" w:type="dxa"/>
            <w:vAlign w:val="bottom"/>
            <w:tcBorders>
              <w:bottom w:val="single" w:sz="8" w:color="D6D1D8"/>
            </w:tcBorders>
            <w:shd w:val="clear" w:color="auto" w:fill="D6D1D8"/>
          </w:tcPr>
          <w:p>
            <w:pPr>
              <w:ind w:left="220"/>
              <w:spacing w:after="0"/>
              <w:rPr>
                <w:sz w:val="20"/>
                <w:szCs w:val="20"/>
                <w:color w:val="auto"/>
              </w:rPr>
            </w:pPr>
            <w:r>
              <w:rPr>
                <w:rFonts w:ascii="Arial" w:cs="Arial" w:eastAsia="Arial" w:hAnsi="Arial"/>
                <w:sz w:val="16"/>
                <w:szCs w:val="16"/>
                <w:color w:val="auto"/>
              </w:rPr>
              <w:t>the 2028 Annual Meeting of Shareholders</w:t>
            </w:r>
          </w:p>
        </w:tc>
        <w:tc>
          <w:tcPr>
            <w:tcW w:w="2540" w:type="dxa"/>
            <w:vAlign w:val="bottom"/>
            <w:tcBorders>
              <w:bottom w:val="single" w:sz="8" w:color="D6D1D8"/>
            </w:tcBorders>
            <w:shd w:val="clear" w:color="auto" w:fill="D6D1D8"/>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420" w:type="dxa"/>
            <w:vAlign w:val="bottom"/>
          </w:tcPr>
          <w:p>
            <w:pPr>
              <w:ind w:left="80"/>
              <w:spacing w:after="0"/>
              <w:rPr>
                <w:sz w:val="20"/>
                <w:szCs w:val="20"/>
                <w:color w:val="auto"/>
              </w:rPr>
            </w:pPr>
            <w:r>
              <w:rPr>
                <w:rFonts w:ascii="Arial" w:cs="Arial" w:eastAsia="Arial" w:hAnsi="Arial"/>
                <w:sz w:val="16"/>
                <w:szCs w:val="16"/>
                <w:color w:val="auto"/>
              </w:rPr>
              <w:t>2</w:t>
            </w:r>
          </w:p>
        </w:tc>
        <w:tc>
          <w:tcPr>
            <w:tcW w:w="6960" w:type="dxa"/>
            <w:vAlign w:val="bottom"/>
          </w:tcPr>
          <w:p>
            <w:pPr>
              <w:ind w:left="220"/>
              <w:spacing w:after="0"/>
              <w:rPr>
                <w:sz w:val="20"/>
                <w:szCs w:val="20"/>
                <w:color w:val="auto"/>
              </w:rPr>
            </w:pPr>
            <w:r>
              <w:rPr>
                <w:rFonts w:ascii="Arial" w:cs="Arial" w:eastAsia="Arial" w:hAnsi="Arial"/>
                <w:sz w:val="16"/>
                <w:szCs w:val="16"/>
                <w:color w:val="auto"/>
              </w:rPr>
              <w:t>Ratification of the appointment of Ernst &amp; Young LLP as our independent registered public</w:t>
            </w:r>
          </w:p>
        </w:tc>
        <w:tc>
          <w:tcPr>
            <w:tcW w:w="2540" w:type="dxa"/>
            <w:vAlign w:val="bottom"/>
          </w:tcPr>
          <w:p>
            <w:pPr>
              <w:ind w:left="220"/>
              <w:spacing w:after="0"/>
              <w:rPr>
                <w:sz w:val="20"/>
                <w:szCs w:val="20"/>
                <w:color w:val="auto"/>
              </w:rPr>
            </w:pPr>
            <w:r>
              <w:rPr>
                <w:rFonts w:ascii="Arial" w:cs="Arial" w:eastAsia="Arial" w:hAnsi="Arial"/>
                <w:sz w:val="16"/>
                <w:szCs w:val="16"/>
                <w:color w:val="auto"/>
              </w:rPr>
              <w:t>“FOR”</w:t>
            </w:r>
          </w:p>
        </w:tc>
        <w:tc>
          <w:tcPr>
            <w:tcW w:w="0" w:type="dxa"/>
            <w:vAlign w:val="bottom"/>
          </w:tcPr>
          <w:p>
            <w:pPr>
              <w:spacing w:after="0"/>
              <w:rPr>
                <w:sz w:val="1"/>
                <w:szCs w:val="1"/>
                <w:color w:val="auto"/>
              </w:rPr>
            </w:pPr>
          </w:p>
        </w:tc>
      </w:tr>
      <w:tr>
        <w:trPr>
          <w:trHeight w:val="211"/>
        </w:trPr>
        <w:tc>
          <w:tcPr>
            <w:tcW w:w="1420" w:type="dxa"/>
            <w:vAlign w:val="bottom"/>
          </w:tcPr>
          <w:p>
            <w:pPr>
              <w:spacing w:after="0"/>
              <w:rPr>
                <w:sz w:val="18"/>
                <w:szCs w:val="18"/>
                <w:color w:val="auto"/>
              </w:rPr>
            </w:pPr>
          </w:p>
        </w:tc>
        <w:tc>
          <w:tcPr>
            <w:tcW w:w="6960" w:type="dxa"/>
            <w:vAlign w:val="bottom"/>
          </w:tcPr>
          <w:p>
            <w:pPr>
              <w:ind w:left="220"/>
              <w:spacing w:after="0"/>
              <w:rPr>
                <w:sz w:val="20"/>
                <w:szCs w:val="20"/>
                <w:color w:val="auto"/>
              </w:rPr>
            </w:pPr>
            <w:r>
              <w:rPr>
                <w:rFonts w:ascii="Arial" w:cs="Arial" w:eastAsia="Arial" w:hAnsi="Arial"/>
                <w:sz w:val="16"/>
                <w:szCs w:val="16"/>
                <w:color w:val="auto"/>
              </w:rPr>
              <w:t>accounting firm for the fiscal year ending December 31, 2025</w:t>
            </w: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1420" w:type="dxa"/>
            <w:vAlign w:val="bottom"/>
          </w:tcPr>
          <w:p>
            <w:pPr>
              <w:spacing w:after="0"/>
              <w:rPr>
                <w:sz w:val="3"/>
                <w:szCs w:val="3"/>
                <w:color w:val="auto"/>
              </w:rPr>
            </w:pPr>
          </w:p>
        </w:tc>
        <w:tc>
          <w:tcPr>
            <w:tcW w:w="6960" w:type="dxa"/>
            <w:vAlign w:val="bottom"/>
          </w:tcPr>
          <w:p>
            <w:pPr>
              <w:spacing w:after="0"/>
              <w:rPr>
                <w:sz w:val="3"/>
                <w:szCs w:val="3"/>
                <w:color w:val="auto"/>
              </w:rPr>
            </w:pPr>
          </w:p>
        </w:tc>
        <w:tc>
          <w:tcPr>
            <w:tcW w:w="2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420" w:type="dxa"/>
            <w:vAlign w:val="bottom"/>
            <w:shd w:val="clear" w:color="auto" w:fill="D6D1D8"/>
          </w:tcPr>
          <w:p>
            <w:pPr>
              <w:ind w:left="80"/>
              <w:spacing w:after="0"/>
              <w:rPr>
                <w:sz w:val="20"/>
                <w:szCs w:val="20"/>
                <w:color w:val="auto"/>
              </w:rPr>
            </w:pPr>
            <w:r>
              <w:rPr>
                <w:rFonts w:ascii="Arial" w:cs="Arial" w:eastAsia="Arial" w:hAnsi="Arial"/>
                <w:sz w:val="16"/>
                <w:szCs w:val="16"/>
                <w:color w:val="auto"/>
              </w:rPr>
              <w:t>3</w:t>
            </w:r>
          </w:p>
        </w:tc>
        <w:tc>
          <w:tcPr>
            <w:tcW w:w="6960" w:type="dxa"/>
            <w:vAlign w:val="bottom"/>
            <w:shd w:val="clear" w:color="auto" w:fill="D6D1D8"/>
          </w:tcPr>
          <w:p>
            <w:pPr>
              <w:ind w:left="220"/>
              <w:spacing w:after="0"/>
              <w:rPr>
                <w:sz w:val="20"/>
                <w:szCs w:val="20"/>
                <w:color w:val="auto"/>
              </w:rPr>
            </w:pPr>
            <w:r>
              <w:rPr>
                <w:rFonts w:ascii="Arial" w:cs="Arial" w:eastAsia="Arial" w:hAnsi="Arial"/>
                <w:sz w:val="16"/>
                <w:szCs w:val="16"/>
                <w:color w:val="auto"/>
              </w:rPr>
              <w:t>Approval, on a non-binding advisory basis, of the compensation of our named executive</w:t>
            </w:r>
          </w:p>
        </w:tc>
        <w:tc>
          <w:tcPr>
            <w:tcW w:w="2540" w:type="dxa"/>
            <w:vAlign w:val="bottom"/>
            <w:shd w:val="clear" w:color="auto" w:fill="D6D1D8"/>
          </w:tcPr>
          <w:p>
            <w:pPr>
              <w:ind w:left="220"/>
              <w:spacing w:after="0"/>
              <w:rPr>
                <w:sz w:val="20"/>
                <w:szCs w:val="20"/>
                <w:color w:val="auto"/>
              </w:rPr>
            </w:pPr>
            <w:r>
              <w:rPr>
                <w:rFonts w:ascii="Arial" w:cs="Arial" w:eastAsia="Arial" w:hAnsi="Arial"/>
                <w:sz w:val="16"/>
                <w:szCs w:val="16"/>
                <w:color w:val="auto"/>
              </w:rPr>
              <w:t>“FOR”</w:t>
            </w:r>
          </w:p>
        </w:tc>
        <w:tc>
          <w:tcPr>
            <w:tcW w:w="0" w:type="dxa"/>
            <w:vAlign w:val="bottom"/>
          </w:tcPr>
          <w:p>
            <w:pPr>
              <w:spacing w:after="0"/>
              <w:rPr>
                <w:sz w:val="1"/>
                <w:szCs w:val="1"/>
                <w:color w:val="auto"/>
              </w:rPr>
            </w:pPr>
          </w:p>
        </w:tc>
      </w:tr>
      <w:tr>
        <w:trPr>
          <w:trHeight w:val="235"/>
        </w:trPr>
        <w:tc>
          <w:tcPr>
            <w:tcW w:w="1420" w:type="dxa"/>
            <w:vAlign w:val="bottom"/>
            <w:tcBorders>
              <w:bottom w:val="single" w:sz="8" w:color="D6D1D8"/>
            </w:tcBorders>
            <w:shd w:val="clear" w:color="auto" w:fill="D6D1D8"/>
          </w:tcPr>
          <w:p>
            <w:pPr>
              <w:spacing w:after="0"/>
              <w:rPr>
                <w:sz w:val="20"/>
                <w:szCs w:val="20"/>
                <w:color w:val="auto"/>
              </w:rPr>
            </w:pPr>
          </w:p>
        </w:tc>
        <w:tc>
          <w:tcPr>
            <w:tcW w:w="6960" w:type="dxa"/>
            <w:vAlign w:val="bottom"/>
            <w:tcBorders>
              <w:bottom w:val="single" w:sz="8" w:color="D6D1D8"/>
            </w:tcBorders>
            <w:shd w:val="clear" w:color="auto" w:fill="D6D1D8"/>
          </w:tcPr>
          <w:p>
            <w:pPr>
              <w:ind w:left="220"/>
              <w:spacing w:after="0"/>
              <w:rPr>
                <w:sz w:val="20"/>
                <w:szCs w:val="20"/>
                <w:color w:val="auto"/>
              </w:rPr>
            </w:pPr>
            <w:r>
              <w:rPr>
                <w:rFonts w:ascii="Arial" w:cs="Arial" w:eastAsia="Arial" w:hAnsi="Arial"/>
                <w:sz w:val="16"/>
                <w:szCs w:val="16"/>
                <w:color w:val="auto"/>
              </w:rPr>
              <w:t>officers as described in this Proxy Statement</w:t>
            </w:r>
          </w:p>
        </w:tc>
        <w:tc>
          <w:tcPr>
            <w:tcW w:w="2540" w:type="dxa"/>
            <w:vAlign w:val="bottom"/>
            <w:tcBorders>
              <w:bottom w:val="single" w:sz="8" w:color="D6D1D8"/>
            </w:tcBorders>
            <w:shd w:val="clear" w:color="auto" w:fill="D6D1D8"/>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420" w:type="dxa"/>
            <w:vAlign w:val="bottom"/>
          </w:tcPr>
          <w:p>
            <w:pPr>
              <w:ind w:left="80"/>
              <w:spacing w:after="0"/>
              <w:rPr>
                <w:sz w:val="20"/>
                <w:szCs w:val="20"/>
                <w:color w:val="auto"/>
              </w:rPr>
            </w:pPr>
            <w:r>
              <w:rPr>
                <w:rFonts w:ascii="Arial" w:cs="Arial" w:eastAsia="Arial" w:hAnsi="Arial"/>
                <w:sz w:val="16"/>
                <w:szCs w:val="16"/>
                <w:color w:val="auto"/>
              </w:rPr>
              <w:t>4</w:t>
            </w:r>
          </w:p>
        </w:tc>
        <w:tc>
          <w:tcPr>
            <w:tcW w:w="6960" w:type="dxa"/>
            <w:vAlign w:val="bottom"/>
          </w:tcPr>
          <w:p>
            <w:pPr>
              <w:ind w:left="220"/>
              <w:spacing w:after="0"/>
              <w:rPr>
                <w:sz w:val="20"/>
                <w:szCs w:val="20"/>
                <w:color w:val="auto"/>
              </w:rPr>
            </w:pPr>
            <w:r>
              <w:rPr>
                <w:rFonts w:ascii="Arial" w:cs="Arial" w:eastAsia="Arial" w:hAnsi="Arial"/>
                <w:sz w:val="16"/>
                <w:szCs w:val="16"/>
                <w:color w:val="auto"/>
              </w:rPr>
              <w:t>Shareholder proposal requesting that the Board commission and disclose a report on the</w:t>
            </w:r>
          </w:p>
        </w:tc>
        <w:tc>
          <w:tcPr>
            <w:tcW w:w="2540" w:type="dxa"/>
            <w:vAlign w:val="bottom"/>
          </w:tcPr>
          <w:p>
            <w:pPr>
              <w:ind w:left="220"/>
              <w:spacing w:after="0"/>
              <w:rPr>
                <w:sz w:val="20"/>
                <w:szCs w:val="20"/>
                <w:color w:val="auto"/>
              </w:rPr>
            </w:pPr>
            <w:r>
              <w:rPr>
                <w:rFonts w:ascii="Arial" w:cs="Arial" w:eastAsia="Arial" w:hAnsi="Arial"/>
                <w:sz w:val="16"/>
                <w:szCs w:val="16"/>
                <w:color w:val="auto"/>
              </w:rPr>
              <w:t>“AGAINST”</w:t>
            </w:r>
          </w:p>
        </w:tc>
        <w:tc>
          <w:tcPr>
            <w:tcW w:w="0" w:type="dxa"/>
            <w:vAlign w:val="bottom"/>
          </w:tcPr>
          <w:p>
            <w:pPr>
              <w:spacing w:after="0"/>
              <w:rPr>
                <w:sz w:val="1"/>
                <w:szCs w:val="1"/>
                <w:color w:val="auto"/>
              </w:rPr>
            </w:pPr>
          </w:p>
        </w:tc>
      </w:tr>
      <w:tr>
        <w:trPr>
          <w:trHeight w:val="187"/>
        </w:trPr>
        <w:tc>
          <w:tcPr>
            <w:tcW w:w="1420" w:type="dxa"/>
            <w:vAlign w:val="bottom"/>
          </w:tcPr>
          <w:p>
            <w:pPr>
              <w:spacing w:after="0"/>
              <w:rPr>
                <w:sz w:val="16"/>
                <w:szCs w:val="16"/>
                <w:color w:val="auto"/>
              </w:rPr>
            </w:pPr>
          </w:p>
        </w:tc>
        <w:tc>
          <w:tcPr>
            <w:tcW w:w="6960" w:type="dxa"/>
            <w:vAlign w:val="bottom"/>
          </w:tcPr>
          <w:p>
            <w:pPr>
              <w:ind w:left="220"/>
              <w:spacing w:after="0"/>
              <w:rPr>
                <w:sz w:val="20"/>
                <w:szCs w:val="20"/>
                <w:color w:val="auto"/>
              </w:rPr>
            </w:pPr>
            <w:r>
              <w:rPr>
                <w:rFonts w:ascii="Arial" w:cs="Arial" w:eastAsia="Arial" w:hAnsi="Arial"/>
                <w:sz w:val="16"/>
                <w:szCs w:val="16"/>
                <w:color w:val="auto"/>
              </w:rPr>
              <w:t>potential cost savings through the adoption of a smokefree policy for the Company’s</w:t>
            </w:r>
          </w:p>
        </w:tc>
        <w:tc>
          <w:tcPr>
            <w:tcW w:w="2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420" w:type="dxa"/>
            <w:vAlign w:val="bottom"/>
          </w:tcPr>
          <w:p>
            <w:pPr>
              <w:spacing w:after="0"/>
              <w:rPr>
                <w:sz w:val="18"/>
                <w:szCs w:val="18"/>
                <w:color w:val="auto"/>
              </w:rPr>
            </w:pPr>
          </w:p>
        </w:tc>
        <w:tc>
          <w:tcPr>
            <w:tcW w:w="6960" w:type="dxa"/>
            <w:vAlign w:val="bottom"/>
          </w:tcPr>
          <w:p>
            <w:pPr>
              <w:ind w:left="220"/>
              <w:spacing w:after="0"/>
              <w:rPr>
                <w:sz w:val="20"/>
                <w:szCs w:val="20"/>
                <w:color w:val="auto"/>
              </w:rPr>
            </w:pPr>
            <w:r>
              <w:rPr>
                <w:rFonts w:ascii="Arial" w:cs="Arial" w:eastAsia="Arial" w:hAnsi="Arial"/>
                <w:sz w:val="16"/>
                <w:szCs w:val="16"/>
                <w:color w:val="auto"/>
              </w:rPr>
              <w:t>properties</w:t>
            </w: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VOTING AND SOLICITATION</w:t>
      </w:r>
    </w:p>
    <w:p>
      <w:pPr>
        <w:spacing w:after="0" w:line="19" w:lineRule="exact"/>
        <w:rPr>
          <w:sz w:val="20"/>
          <w:szCs w:val="20"/>
          <w:color w:val="auto"/>
        </w:rPr>
      </w:pPr>
    </w:p>
    <w:p>
      <w:pPr>
        <w:ind w:left="160" w:right="20"/>
        <w:spacing w:after="0" w:line="249" w:lineRule="auto"/>
        <w:rPr>
          <w:sz w:val="20"/>
          <w:szCs w:val="20"/>
          <w:color w:val="auto"/>
        </w:rPr>
      </w:pPr>
      <w:r>
        <w:rPr>
          <w:rFonts w:ascii="Arial" w:cs="Arial" w:eastAsia="Arial" w:hAnsi="Arial"/>
          <w:sz w:val="16"/>
          <w:szCs w:val="16"/>
          <w:color w:val="auto"/>
        </w:rPr>
        <w:t>Only holders of record of shares of the Common Stock, as of the close of business on March 5, 2025, the record date fixed by the Board (the “Record Date”), are entitled to notice of, and to vote at, the Annual Meeting and at any adjournments or postponements thereof. As of the Record Date, there were 112,066,829 shares of Common Stock outstanding. Each shareholder is entitled to one vote for each share of Common Stock held as of the Record Date on all matters presented at the Annual Meeting.</w:t>
      </w:r>
    </w:p>
    <w:p>
      <w:pPr>
        <w:spacing w:after="0" w:line="183" w:lineRule="exact"/>
        <w:rPr>
          <w:sz w:val="20"/>
          <w:szCs w:val="20"/>
          <w:color w:val="auto"/>
        </w:rPr>
      </w:pPr>
    </w:p>
    <w:p>
      <w:pPr>
        <w:jc w:val="both"/>
        <w:ind w:left="160" w:right="80"/>
        <w:spacing w:after="0" w:line="262" w:lineRule="auto"/>
        <w:rPr>
          <w:sz w:val="20"/>
          <w:szCs w:val="20"/>
          <w:color w:val="auto"/>
        </w:rPr>
      </w:pPr>
      <w:r>
        <w:rPr>
          <w:rFonts w:ascii="Arial" w:cs="Arial" w:eastAsia="Arial" w:hAnsi="Arial"/>
          <w:sz w:val="16"/>
          <w:szCs w:val="16"/>
          <w:color w:val="auto"/>
        </w:rPr>
        <w:t>At least a majority of the outstanding shares of Common Stock must be represented at the Annual Meeting, either present virtually at the Annual Meeting or represented by proxy, to constitute a quorum and to transact business at the Annual Meeting. Abstentions and broker non-votes, as discussed further below, are counted for purposes determining whether there is a quorum.</w:t>
      </w:r>
    </w:p>
    <w:p>
      <w:pPr>
        <w:spacing w:after="0" w:line="173" w:lineRule="exact"/>
        <w:rPr>
          <w:sz w:val="20"/>
          <w:szCs w:val="20"/>
          <w:color w:val="auto"/>
        </w:rPr>
      </w:pPr>
    </w:p>
    <w:p>
      <w:pPr>
        <w:ind w:left="160" w:right="60"/>
        <w:spacing w:after="0" w:line="249" w:lineRule="auto"/>
        <w:rPr>
          <w:sz w:val="20"/>
          <w:szCs w:val="20"/>
          <w:color w:val="auto"/>
        </w:rPr>
      </w:pPr>
      <w:r>
        <w:rPr>
          <w:rFonts w:ascii="Arial" w:cs="Arial" w:eastAsia="Arial" w:hAnsi="Arial"/>
          <w:sz w:val="16"/>
          <w:szCs w:val="16"/>
          <w:color w:val="auto"/>
        </w:rPr>
        <w:t>For each item to be acted upon at the Annual Meeting, the item will be approved if the number of votes cast in favor of the item by the shareholders entitled to vote exceeds the number of votes cast in opposition to the item. You may vote “for,” “against” or abstain from voting on these proposals, and in the case of Proposal 1, you may vote “for,” “against” or abstain from voting on each director nominee. Abstentions will not be counted as votes cast on an item and, therefore, will not affect the outcome of these proposals. Broker non-votes will not be counted as votes cast on Proposals 1, 3 and 4 therefore, will not affect the outcome of these proposals. Shares represented by properly executed and unrevoked proxies will be voted at the Annual Meeting in accordance with the directions of shareholders indicated in their proxies. If no specification is made, shares represented by properly executed and unrevoked proxies will be voted in accordance with the specific recommendations of the Board set forth above. If any other matter properly comes before the Annual Meeting, the shares will be voted in the discretion of the persons voting pursuant to the respective proxies.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2"/>
          <w:szCs w:val="12"/>
          <w:color w:val="351B3D"/>
        </w:rPr>
        <w:t>82</w:t>
      </w:r>
    </w:p>
    <w:p>
      <w:pPr>
        <w:sectPr>
          <w:pgSz w:w="11900" w:h="16838" w:orient="portrait"/>
          <w:cols w:equalWidth="0" w:num="1">
            <w:col w:w="11080"/>
          </w:cols>
          <w:pgMar w:left="320" w:top="478" w:right="4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0" w:right="20"/>
        <w:spacing w:after="0" w:line="249" w:lineRule="auto"/>
        <w:rPr>
          <w:sz w:val="20"/>
          <w:szCs w:val="20"/>
          <w:color w:val="auto"/>
        </w:rPr>
      </w:pPr>
      <w:r>
        <w:rPr>
          <w:rFonts w:ascii="Arial" w:cs="Arial" w:eastAsia="Arial" w:hAnsi="Arial"/>
          <w:sz w:val="16"/>
          <w:szCs w:val="16"/>
          <w:color w:val="auto"/>
        </w:rPr>
        <w:t>For a shareholder who holds his or her shares through an intermediary, such as a broker, bank or other nominee (referred to as “beneficial owners”), such intermediary will not be permitted to vote on Proposal 1 (the election of directors), Proposal 3 (approval of the compensation of our named executive officers (known as a “Say-on-Pay” vote), or Proposal 4 (a shareholder proposal requesting that the Board commission and disclose a report on the potential cost savings through the adoption of a smokefree policy for the Company’s properties) (this situation is called a “broker non-vote”).</w:t>
      </w:r>
    </w:p>
    <w:p>
      <w:pPr>
        <w:spacing w:after="0" w:line="1" w:lineRule="exact"/>
        <w:rPr>
          <w:sz w:val="20"/>
          <w:szCs w:val="20"/>
          <w:color w:val="auto"/>
        </w:rPr>
      </w:pPr>
    </w:p>
    <w:p>
      <w:pPr>
        <w:jc w:val="both"/>
        <w:ind w:left="160" w:right="800"/>
        <w:spacing w:after="0" w:line="251" w:lineRule="auto"/>
        <w:rPr>
          <w:sz w:val="20"/>
          <w:szCs w:val="20"/>
          <w:color w:val="auto"/>
        </w:rPr>
      </w:pPr>
      <w:r>
        <w:rPr>
          <w:rFonts w:ascii="Arial" w:cs="Arial" w:eastAsia="Arial" w:hAnsi="Arial"/>
          <w:sz w:val="16"/>
          <w:szCs w:val="16"/>
          <w:color w:val="auto"/>
        </w:rPr>
        <w:t>ACCORDINGLY, WE ENCOURAGE YOU TO VOTE YOUR SHARES ON ALL MATTERS BEING CONSIDERED AT THE ANNUAL MEETING. Notwithstanding the occurrence of a broker non-vote, the intermediary may still vote the shareholder’s shares on Proposal 2 (ratification of the appointment of Ernst &amp; Young LLP as our independent auditor).</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table summarizes the voting requirements to elect directors and to approve each of the proposals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163830</wp:posOffset>
            </wp:positionV>
            <wp:extent cx="6929755" cy="14693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29755" cy="1469390"/>
                    </a:xfrm>
                    <a:prstGeom prst="rect">
                      <a:avLst/>
                    </a:prstGeom>
                    <a:noFill/>
                  </pic:spPr>
                </pic:pic>
              </a:graphicData>
            </a:graphic>
          </wp:anchor>
        </w:drawing>
      </w:r>
    </w:p>
    <w:p>
      <w:pPr>
        <w:spacing w:after="0" w:line="238"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1440" w:type="dxa"/>
            <w:vAlign w:val="bottom"/>
            <w:shd w:val="clear" w:color="auto" w:fill="351B3D"/>
          </w:tcPr>
          <w:p>
            <w:pPr>
              <w:ind w:left="240"/>
              <w:spacing w:after="0"/>
              <w:rPr>
                <w:sz w:val="20"/>
                <w:szCs w:val="20"/>
                <w:color w:val="auto"/>
              </w:rPr>
            </w:pPr>
            <w:r>
              <w:rPr>
                <w:rFonts w:ascii="Arial" w:cs="Arial" w:eastAsia="Arial" w:hAnsi="Arial"/>
                <w:sz w:val="16"/>
                <w:szCs w:val="16"/>
                <w:color w:val="FFFFFF"/>
              </w:rPr>
              <w:t>PROPOSAL</w:t>
            </w:r>
          </w:p>
        </w:tc>
        <w:tc>
          <w:tcPr>
            <w:tcW w:w="3580" w:type="dxa"/>
            <w:vAlign w:val="bottom"/>
            <w:vMerge w:val="restart"/>
            <w:shd w:val="clear" w:color="auto" w:fill="351B3D"/>
          </w:tcPr>
          <w:p>
            <w:pPr>
              <w:ind w:left="1420"/>
              <w:spacing w:after="0"/>
              <w:rPr>
                <w:sz w:val="20"/>
                <w:szCs w:val="20"/>
                <w:color w:val="auto"/>
              </w:rPr>
            </w:pPr>
            <w:r>
              <w:rPr>
                <w:rFonts w:ascii="Arial" w:cs="Arial" w:eastAsia="Arial" w:hAnsi="Arial"/>
                <w:sz w:val="16"/>
                <w:szCs w:val="16"/>
                <w:color w:val="FFFFFF"/>
              </w:rPr>
              <w:t>PROPOSAL</w:t>
            </w:r>
          </w:p>
        </w:tc>
        <w:tc>
          <w:tcPr>
            <w:tcW w:w="3380" w:type="dxa"/>
            <w:vAlign w:val="bottom"/>
            <w:vMerge w:val="restart"/>
            <w:shd w:val="clear" w:color="auto" w:fill="351B3D"/>
          </w:tcPr>
          <w:p>
            <w:pPr>
              <w:ind w:left="1160"/>
              <w:spacing w:after="0"/>
              <w:rPr>
                <w:sz w:val="20"/>
                <w:szCs w:val="20"/>
                <w:color w:val="auto"/>
              </w:rPr>
            </w:pPr>
            <w:r>
              <w:rPr>
                <w:rFonts w:ascii="Arial" w:cs="Arial" w:eastAsia="Arial" w:hAnsi="Arial"/>
                <w:sz w:val="16"/>
                <w:szCs w:val="16"/>
                <w:color w:val="FFFFFF"/>
              </w:rPr>
              <w:t>VOTE REQUIRED</w:t>
            </w:r>
          </w:p>
        </w:tc>
        <w:tc>
          <w:tcPr>
            <w:tcW w:w="2520" w:type="dxa"/>
            <w:vAlign w:val="bottom"/>
            <w:shd w:val="clear" w:color="auto" w:fill="351B3D"/>
          </w:tcPr>
          <w:p>
            <w:pPr>
              <w:jc w:val="center"/>
              <w:ind w:left="280"/>
              <w:spacing w:after="0"/>
              <w:rPr>
                <w:sz w:val="20"/>
                <w:szCs w:val="20"/>
                <w:color w:val="auto"/>
              </w:rPr>
            </w:pPr>
            <w:r>
              <w:rPr>
                <w:rFonts w:ascii="Arial" w:cs="Arial" w:eastAsia="Arial" w:hAnsi="Arial"/>
                <w:sz w:val="16"/>
                <w:szCs w:val="16"/>
                <w:color w:val="FFFFFF"/>
              </w:rPr>
              <w:t>BROKER DISCRETIONARY</w:t>
            </w:r>
          </w:p>
        </w:tc>
        <w:tc>
          <w:tcPr>
            <w:tcW w:w="0" w:type="dxa"/>
            <w:vAlign w:val="bottom"/>
          </w:tcPr>
          <w:p>
            <w:pPr>
              <w:spacing w:after="0"/>
              <w:rPr>
                <w:sz w:val="1"/>
                <w:szCs w:val="1"/>
                <w:color w:val="auto"/>
              </w:rPr>
            </w:pPr>
          </w:p>
        </w:tc>
      </w:tr>
      <w:tr>
        <w:trPr>
          <w:trHeight w:val="158"/>
        </w:trPr>
        <w:tc>
          <w:tcPr>
            <w:tcW w:w="1440" w:type="dxa"/>
            <w:vAlign w:val="bottom"/>
            <w:vMerge w:val="restart"/>
            <w:shd w:val="clear" w:color="auto" w:fill="351B3D"/>
          </w:tcPr>
          <w:p>
            <w:pPr>
              <w:ind w:left="240"/>
              <w:spacing w:after="0"/>
              <w:rPr>
                <w:sz w:val="20"/>
                <w:szCs w:val="20"/>
                <w:color w:val="auto"/>
              </w:rPr>
            </w:pPr>
            <w:r>
              <w:rPr>
                <w:rFonts w:ascii="Arial" w:cs="Arial" w:eastAsia="Arial" w:hAnsi="Arial"/>
                <w:sz w:val="16"/>
                <w:szCs w:val="16"/>
                <w:color w:val="FFFFFF"/>
              </w:rPr>
              <w:t>NUMBER</w:t>
            </w:r>
          </w:p>
        </w:tc>
        <w:tc>
          <w:tcPr>
            <w:tcW w:w="3580" w:type="dxa"/>
            <w:vAlign w:val="bottom"/>
            <w:vMerge w:val="continue"/>
            <w:shd w:val="clear" w:color="auto" w:fill="351B3D"/>
          </w:tcPr>
          <w:p>
            <w:pPr>
              <w:spacing w:after="0"/>
              <w:rPr>
                <w:sz w:val="13"/>
                <w:szCs w:val="13"/>
                <w:color w:val="auto"/>
              </w:rPr>
            </w:pPr>
          </w:p>
        </w:tc>
        <w:tc>
          <w:tcPr>
            <w:tcW w:w="3380" w:type="dxa"/>
            <w:vAlign w:val="bottom"/>
            <w:vMerge w:val="continue"/>
            <w:shd w:val="clear" w:color="auto" w:fill="351B3D"/>
          </w:tcPr>
          <w:p>
            <w:pPr>
              <w:spacing w:after="0"/>
              <w:rPr>
                <w:sz w:val="13"/>
                <w:szCs w:val="13"/>
                <w:color w:val="auto"/>
              </w:rPr>
            </w:pPr>
          </w:p>
        </w:tc>
        <w:tc>
          <w:tcPr>
            <w:tcW w:w="2520" w:type="dxa"/>
            <w:vAlign w:val="bottom"/>
            <w:vMerge w:val="restart"/>
            <w:shd w:val="clear" w:color="auto" w:fill="351B3D"/>
          </w:tcPr>
          <w:p>
            <w:pPr>
              <w:jc w:val="center"/>
              <w:ind w:left="260"/>
              <w:spacing w:after="0"/>
              <w:rPr>
                <w:sz w:val="20"/>
                <w:szCs w:val="20"/>
                <w:color w:val="auto"/>
              </w:rPr>
            </w:pPr>
            <w:r>
              <w:rPr>
                <w:rFonts w:ascii="Arial" w:cs="Arial" w:eastAsia="Arial" w:hAnsi="Arial"/>
                <w:sz w:val="16"/>
                <w:szCs w:val="16"/>
                <w:color w:val="FFFFFF"/>
              </w:rPr>
              <w:t>VOTING ALLOWED</w:t>
            </w:r>
          </w:p>
        </w:tc>
        <w:tc>
          <w:tcPr>
            <w:tcW w:w="0" w:type="dxa"/>
            <w:vAlign w:val="bottom"/>
          </w:tcPr>
          <w:p>
            <w:pPr>
              <w:spacing w:after="0"/>
              <w:rPr>
                <w:sz w:val="1"/>
                <w:szCs w:val="1"/>
                <w:color w:val="auto"/>
              </w:rPr>
            </w:pPr>
          </w:p>
        </w:tc>
      </w:tr>
      <w:tr>
        <w:trPr>
          <w:trHeight w:val="70"/>
        </w:trPr>
        <w:tc>
          <w:tcPr>
            <w:tcW w:w="1440" w:type="dxa"/>
            <w:vAlign w:val="bottom"/>
            <w:vMerge w:val="continue"/>
            <w:shd w:val="clear" w:color="auto" w:fill="351B3D"/>
          </w:tcPr>
          <w:p>
            <w:pPr>
              <w:spacing w:after="0"/>
              <w:rPr>
                <w:sz w:val="6"/>
                <w:szCs w:val="6"/>
                <w:color w:val="auto"/>
              </w:rPr>
            </w:pPr>
          </w:p>
        </w:tc>
        <w:tc>
          <w:tcPr>
            <w:tcW w:w="3580" w:type="dxa"/>
            <w:vAlign w:val="bottom"/>
            <w:shd w:val="clear" w:color="auto" w:fill="351B3D"/>
          </w:tcPr>
          <w:p>
            <w:pPr>
              <w:spacing w:after="0"/>
              <w:rPr>
                <w:sz w:val="6"/>
                <w:szCs w:val="6"/>
                <w:color w:val="auto"/>
              </w:rPr>
            </w:pPr>
          </w:p>
        </w:tc>
        <w:tc>
          <w:tcPr>
            <w:tcW w:w="3380" w:type="dxa"/>
            <w:vAlign w:val="bottom"/>
            <w:shd w:val="clear" w:color="auto" w:fill="351B3D"/>
          </w:tcPr>
          <w:p>
            <w:pPr>
              <w:spacing w:after="0"/>
              <w:rPr>
                <w:sz w:val="6"/>
                <w:szCs w:val="6"/>
                <w:color w:val="auto"/>
              </w:rPr>
            </w:pPr>
          </w:p>
        </w:tc>
        <w:tc>
          <w:tcPr>
            <w:tcW w:w="2520" w:type="dxa"/>
            <w:vAlign w:val="bottom"/>
            <w:vMerge w:val="continue"/>
            <w:shd w:val="clear" w:color="auto" w:fill="351B3D"/>
          </w:tcPr>
          <w:p>
            <w:pPr>
              <w:spacing w:after="0"/>
              <w:rPr>
                <w:sz w:val="6"/>
                <w:szCs w:val="6"/>
                <w:color w:val="auto"/>
              </w:rPr>
            </w:pPr>
          </w:p>
        </w:tc>
        <w:tc>
          <w:tcPr>
            <w:tcW w:w="0" w:type="dxa"/>
            <w:vAlign w:val="bottom"/>
          </w:tcPr>
          <w:p>
            <w:pPr>
              <w:spacing w:after="0"/>
              <w:rPr>
                <w:sz w:val="1"/>
                <w:szCs w:val="1"/>
                <w:color w:val="auto"/>
              </w:rPr>
            </w:pPr>
          </w:p>
        </w:tc>
      </w:tr>
      <w:tr>
        <w:trPr>
          <w:trHeight w:val="280"/>
        </w:trPr>
        <w:tc>
          <w:tcPr>
            <w:tcW w:w="1440" w:type="dxa"/>
            <w:vAlign w:val="bottom"/>
            <w:shd w:val="clear" w:color="auto" w:fill="D6D1D8"/>
          </w:tcPr>
          <w:p>
            <w:pPr>
              <w:ind w:left="240"/>
              <w:spacing w:after="0"/>
              <w:rPr>
                <w:sz w:val="20"/>
                <w:szCs w:val="20"/>
                <w:color w:val="auto"/>
              </w:rPr>
            </w:pPr>
            <w:r>
              <w:rPr>
                <w:rFonts w:ascii="Arial" w:cs="Arial" w:eastAsia="Arial" w:hAnsi="Arial"/>
                <w:sz w:val="16"/>
                <w:szCs w:val="16"/>
                <w:color w:val="auto"/>
              </w:rPr>
              <w:t>1</w:t>
            </w:r>
          </w:p>
        </w:tc>
        <w:tc>
          <w:tcPr>
            <w:tcW w:w="3580" w:type="dxa"/>
            <w:vAlign w:val="bottom"/>
            <w:shd w:val="clear" w:color="auto" w:fill="D6D1D8"/>
          </w:tcPr>
          <w:p>
            <w:pPr>
              <w:ind w:left="220"/>
              <w:spacing w:after="0"/>
              <w:rPr>
                <w:sz w:val="20"/>
                <w:szCs w:val="20"/>
                <w:color w:val="auto"/>
              </w:rPr>
            </w:pPr>
            <w:r>
              <w:rPr>
                <w:rFonts w:ascii="Arial" w:cs="Arial" w:eastAsia="Arial" w:hAnsi="Arial"/>
                <w:sz w:val="16"/>
                <w:szCs w:val="16"/>
                <w:color w:val="auto"/>
              </w:rPr>
              <w:t>Election of Three Class II Directors</w:t>
            </w:r>
          </w:p>
        </w:tc>
        <w:tc>
          <w:tcPr>
            <w:tcW w:w="3380" w:type="dxa"/>
            <w:vAlign w:val="bottom"/>
            <w:shd w:val="clear" w:color="auto" w:fill="D6D1D8"/>
          </w:tcPr>
          <w:p>
            <w:pPr>
              <w:ind w:left="240"/>
              <w:spacing w:after="0"/>
              <w:rPr>
                <w:sz w:val="20"/>
                <w:szCs w:val="20"/>
                <w:color w:val="auto"/>
              </w:rPr>
            </w:pPr>
            <w:r>
              <w:rPr>
                <w:rFonts w:ascii="Arial" w:cs="Arial" w:eastAsia="Arial" w:hAnsi="Arial"/>
                <w:sz w:val="16"/>
                <w:szCs w:val="16"/>
                <w:color w:val="auto"/>
              </w:rPr>
              <w:t>Number of votes cast in favor exceeds</w:t>
            </w:r>
          </w:p>
        </w:tc>
        <w:tc>
          <w:tcPr>
            <w:tcW w:w="2520" w:type="dxa"/>
            <w:vAlign w:val="bottom"/>
            <w:shd w:val="clear" w:color="auto" w:fill="D6D1D8"/>
          </w:tcPr>
          <w:p>
            <w:pPr>
              <w:jc w:val="center"/>
              <w:ind w:left="260"/>
              <w:spacing w:after="0"/>
              <w:rPr>
                <w:sz w:val="20"/>
                <w:szCs w:val="20"/>
                <w:color w:val="auto"/>
              </w:rPr>
            </w:pPr>
            <w:r>
              <w:rPr>
                <w:rFonts w:ascii="Arial" w:cs="Arial" w:eastAsia="Arial" w:hAnsi="Arial"/>
                <w:sz w:val="16"/>
                <w:szCs w:val="16"/>
                <w:color w:val="auto"/>
              </w:rPr>
              <w:t>No</w:t>
            </w:r>
          </w:p>
        </w:tc>
        <w:tc>
          <w:tcPr>
            <w:tcW w:w="0" w:type="dxa"/>
            <w:vAlign w:val="bottom"/>
          </w:tcPr>
          <w:p>
            <w:pPr>
              <w:spacing w:after="0"/>
              <w:rPr>
                <w:sz w:val="1"/>
                <w:szCs w:val="1"/>
                <w:color w:val="auto"/>
              </w:rPr>
            </w:pPr>
          </w:p>
        </w:tc>
      </w:tr>
      <w:tr>
        <w:trPr>
          <w:trHeight w:val="211"/>
        </w:trPr>
        <w:tc>
          <w:tcPr>
            <w:tcW w:w="1440" w:type="dxa"/>
            <w:vAlign w:val="bottom"/>
            <w:shd w:val="clear" w:color="auto" w:fill="D6D1D8"/>
          </w:tcPr>
          <w:p>
            <w:pPr>
              <w:spacing w:after="0"/>
              <w:rPr>
                <w:sz w:val="18"/>
                <w:szCs w:val="18"/>
                <w:color w:val="auto"/>
              </w:rPr>
            </w:pPr>
          </w:p>
        </w:tc>
        <w:tc>
          <w:tcPr>
            <w:tcW w:w="3580" w:type="dxa"/>
            <w:vAlign w:val="bottom"/>
            <w:shd w:val="clear" w:color="auto" w:fill="D6D1D8"/>
          </w:tcPr>
          <w:p>
            <w:pPr>
              <w:spacing w:after="0"/>
              <w:rPr>
                <w:sz w:val="18"/>
                <w:szCs w:val="18"/>
                <w:color w:val="auto"/>
              </w:rPr>
            </w:pPr>
          </w:p>
        </w:tc>
        <w:tc>
          <w:tcPr>
            <w:tcW w:w="3380" w:type="dxa"/>
            <w:vAlign w:val="bottom"/>
            <w:shd w:val="clear" w:color="auto" w:fill="D6D1D8"/>
          </w:tcPr>
          <w:p>
            <w:pPr>
              <w:ind w:left="240"/>
              <w:spacing w:after="0"/>
              <w:rPr>
                <w:sz w:val="20"/>
                <w:szCs w:val="20"/>
                <w:color w:val="auto"/>
              </w:rPr>
            </w:pPr>
            <w:r>
              <w:rPr>
                <w:rFonts w:ascii="Arial" w:cs="Arial" w:eastAsia="Arial" w:hAnsi="Arial"/>
                <w:sz w:val="16"/>
                <w:szCs w:val="16"/>
                <w:color w:val="auto"/>
              </w:rPr>
              <w:t>number of votes cast in opposition</w:t>
            </w:r>
          </w:p>
        </w:tc>
        <w:tc>
          <w:tcPr>
            <w:tcW w:w="2520" w:type="dxa"/>
            <w:vAlign w:val="bottom"/>
            <w:shd w:val="clear" w:color="auto" w:fill="D6D1D8"/>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1440" w:type="dxa"/>
            <w:vAlign w:val="bottom"/>
            <w:shd w:val="clear" w:color="auto" w:fill="D6D1D8"/>
          </w:tcPr>
          <w:p>
            <w:pPr>
              <w:spacing w:after="0"/>
              <w:rPr>
                <w:sz w:val="10"/>
                <w:szCs w:val="10"/>
                <w:color w:val="auto"/>
              </w:rPr>
            </w:pPr>
          </w:p>
        </w:tc>
        <w:tc>
          <w:tcPr>
            <w:tcW w:w="3580" w:type="dxa"/>
            <w:vAlign w:val="bottom"/>
            <w:shd w:val="clear" w:color="auto" w:fill="D6D1D8"/>
          </w:tcPr>
          <w:p>
            <w:pPr>
              <w:spacing w:after="0"/>
              <w:rPr>
                <w:sz w:val="10"/>
                <w:szCs w:val="10"/>
                <w:color w:val="auto"/>
              </w:rPr>
            </w:pPr>
          </w:p>
        </w:tc>
        <w:tc>
          <w:tcPr>
            <w:tcW w:w="3380" w:type="dxa"/>
            <w:vAlign w:val="bottom"/>
            <w:shd w:val="clear" w:color="auto" w:fill="D6D1D8"/>
          </w:tcPr>
          <w:p>
            <w:pPr>
              <w:spacing w:after="0"/>
              <w:rPr>
                <w:sz w:val="10"/>
                <w:szCs w:val="10"/>
                <w:color w:val="auto"/>
              </w:rPr>
            </w:pPr>
          </w:p>
        </w:tc>
        <w:tc>
          <w:tcPr>
            <w:tcW w:w="2520" w:type="dxa"/>
            <w:vAlign w:val="bottom"/>
            <w:shd w:val="clear" w:color="auto" w:fill="D6D1D8"/>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40" w:type="dxa"/>
            <w:vAlign w:val="bottom"/>
          </w:tcPr>
          <w:p>
            <w:pPr>
              <w:ind w:left="240"/>
              <w:spacing w:after="0"/>
              <w:rPr>
                <w:sz w:val="20"/>
                <w:szCs w:val="20"/>
                <w:color w:val="auto"/>
              </w:rPr>
            </w:pPr>
            <w:r>
              <w:rPr>
                <w:rFonts w:ascii="Arial" w:cs="Arial" w:eastAsia="Arial" w:hAnsi="Arial"/>
                <w:sz w:val="16"/>
                <w:szCs w:val="16"/>
                <w:color w:val="auto"/>
              </w:rPr>
              <w:t>2</w:t>
            </w:r>
          </w:p>
        </w:tc>
        <w:tc>
          <w:tcPr>
            <w:tcW w:w="3580" w:type="dxa"/>
            <w:vAlign w:val="bottom"/>
          </w:tcPr>
          <w:p>
            <w:pPr>
              <w:ind w:left="220"/>
              <w:spacing w:after="0"/>
              <w:rPr>
                <w:sz w:val="20"/>
                <w:szCs w:val="20"/>
                <w:color w:val="auto"/>
              </w:rPr>
            </w:pPr>
            <w:r>
              <w:rPr>
                <w:rFonts w:ascii="Arial" w:cs="Arial" w:eastAsia="Arial" w:hAnsi="Arial"/>
                <w:sz w:val="16"/>
                <w:szCs w:val="16"/>
                <w:color w:val="auto"/>
              </w:rPr>
              <w:t>Ratification of the Appointment of Ernst &amp;</w:t>
            </w:r>
          </w:p>
        </w:tc>
        <w:tc>
          <w:tcPr>
            <w:tcW w:w="3380" w:type="dxa"/>
            <w:vAlign w:val="bottom"/>
          </w:tcPr>
          <w:p>
            <w:pPr>
              <w:ind w:left="240"/>
              <w:spacing w:after="0"/>
              <w:rPr>
                <w:sz w:val="20"/>
                <w:szCs w:val="20"/>
                <w:color w:val="auto"/>
              </w:rPr>
            </w:pPr>
            <w:r>
              <w:rPr>
                <w:rFonts w:ascii="Arial" w:cs="Arial" w:eastAsia="Arial" w:hAnsi="Arial"/>
                <w:sz w:val="16"/>
                <w:szCs w:val="16"/>
                <w:color w:val="auto"/>
              </w:rPr>
              <w:t>Number of votes cast in favor exceeds</w:t>
            </w:r>
          </w:p>
        </w:tc>
        <w:tc>
          <w:tcPr>
            <w:tcW w:w="2520" w:type="dxa"/>
            <w:vAlign w:val="bottom"/>
          </w:tcPr>
          <w:p>
            <w:pPr>
              <w:jc w:val="center"/>
              <w:ind w:left="260"/>
              <w:spacing w:after="0"/>
              <w:rPr>
                <w:sz w:val="20"/>
                <w:szCs w:val="20"/>
                <w:color w:val="auto"/>
              </w:rPr>
            </w:pPr>
            <w:r>
              <w:rPr>
                <w:rFonts w:ascii="Arial" w:cs="Arial" w:eastAsia="Arial" w:hAnsi="Arial"/>
                <w:sz w:val="16"/>
                <w:szCs w:val="16"/>
                <w:color w:val="auto"/>
                <w:w w:val="94"/>
              </w:rPr>
              <w:t>Yes</w:t>
            </w:r>
          </w:p>
        </w:tc>
        <w:tc>
          <w:tcPr>
            <w:tcW w:w="0" w:type="dxa"/>
            <w:vAlign w:val="bottom"/>
          </w:tcPr>
          <w:p>
            <w:pPr>
              <w:spacing w:after="0"/>
              <w:rPr>
                <w:sz w:val="1"/>
                <w:szCs w:val="1"/>
                <w:color w:val="auto"/>
              </w:rPr>
            </w:pPr>
          </w:p>
        </w:tc>
      </w:tr>
      <w:tr>
        <w:trPr>
          <w:trHeight w:val="211"/>
        </w:trPr>
        <w:tc>
          <w:tcPr>
            <w:tcW w:w="1440" w:type="dxa"/>
            <w:vAlign w:val="bottom"/>
          </w:tcPr>
          <w:p>
            <w:pPr>
              <w:spacing w:after="0"/>
              <w:rPr>
                <w:sz w:val="18"/>
                <w:szCs w:val="18"/>
                <w:color w:val="auto"/>
              </w:rPr>
            </w:pPr>
          </w:p>
        </w:tc>
        <w:tc>
          <w:tcPr>
            <w:tcW w:w="3580" w:type="dxa"/>
            <w:vAlign w:val="bottom"/>
          </w:tcPr>
          <w:p>
            <w:pPr>
              <w:ind w:left="220"/>
              <w:spacing w:after="0"/>
              <w:rPr>
                <w:sz w:val="20"/>
                <w:szCs w:val="20"/>
                <w:color w:val="auto"/>
              </w:rPr>
            </w:pPr>
            <w:r>
              <w:rPr>
                <w:rFonts w:ascii="Arial" w:cs="Arial" w:eastAsia="Arial" w:hAnsi="Arial"/>
                <w:sz w:val="16"/>
                <w:szCs w:val="16"/>
                <w:color w:val="auto"/>
              </w:rPr>
              <w:t>Young LLP</w:t>
            </w:r>
          </w:p>
        </w:tc>
        <w:tc>
          <w:tcPr>
            <w:tcW w:w="3380" w:type="dxa"/>
            <w:vAlign w:val="bottom"/>
          </w:tcPr>
          <w:p>
            <w:pPr>
              <w:ind w:left="240"/>
              <w:spacing w:after="0"/>
              <w:rPr>
                <w:sz w:val="20"/>
                <w:szCs w:val="20"/>
                <w:color w:val="auto"/>
              </w:rPr>
            </w:pPr>
            <w:r>
              <w:rPr>
                <w:rFonts w:ascii="Arial" w:cs="Arial" w:eastAsia="Arial" w:hAnsi="Arial"/>
                <w:sz w:val="16"/>
                <w:szCs w:val="16"/>
                <w:color w:val="auto"/>
              </w:rPr>
              <w:t>number of votes cast in opposition</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144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40" w:type="dxa"/>
            <w:vAlign w:val="bottom"/>
            <w:shd w:val="clear" w:color="auto" w:fill="D6D1D8"/>
          </w:tcPr>
          <w:p>
            <w:pPr>
              <w:ind w:left="240"/>
              <w:spacing w:after="0"/>
              <w:rPr>
                <w:sz w:val="20"/>
                <w:szCs w:val="20"/>
                <w:color w:val="auto"/>
              </w:rPr>
            </w:pPr>
            <w:r>
              <w:rPr>
                <w:rFonts w:ascii="Arial" w:cs="Arial" w:eastAsia="Arial" w:hAnsi="Arial"/>
                <w:sz w:val="16"/>
                <w:szCs w:val="16"/>
                <w:color w:val="auto"/>
              </w:rPr>
              <w:t>3</w:t>
            </w:r>
          </w:p>
        </w:tc>
        <w:tc>
          <w:tcPr>
            <w:tcW w:w="3580" w:type="dxa"/>
            <w:vAlign w:val="bottom"/>
            <w:shd w:val="clear" w:color="auto" w:fill="D6D1D8"/>
          </w:tcPr>
          <w:p>
            <w:pPr>
              <w:ind w:left="220"/>
              <w:spacing w:after="0"/>
              <w:rPr>
                <w:sz w:val="20"/>
                <w:szCs w:val="20"/>
                <w:color w:val="auto"/>
              </w:rPr>
            </w:pPr>
            <w:r>
              <w:rPr>
                <w:rFonts w:ascii="Arial" w:cs="Arial" w:eastAsia="Arial" w:hAnsi="Arial"/>
                <w:sz w:val="16"/>
                <w:szCs w:val="16"/>
                <w:color w:val="auto"/>
              </w:rPr>
              <w:t>Advisory Vote to Approve the</w:t>
            </w:r>
          </w:p>
        </w:tc>
        <w:tc>
          <w:tcPr>
            <w:tcW w:w="3380" w:type="dxa"/>
            <w:vAlign w:val="bottom"/>
            <w:shd w:val="clear" w:color="auto" w:fill="D6D1D8"/>
          </w:tcPr>
          <w:p>
            <w:pPr>
              <w:ind w:left="240"/>
              <w:spacing w:after="0"/>
              <w:rPr>
                <w:sz w:val="20"/>
                <w:szCs w:val="20"/>
                <w:color w:val="auto"/>
              </w:rPr>
            </w:pPr>
            <w:r>
              <w:rPr>
                <w:rFonts w:ascii="Arial" w:cs="Arial" w:eastAsia="Arial" w:hAnsi="Arial"/>
                <w:sz w:val="16"/>
                <w:szCs w:val="16"/>
                <w:color w:val="auto"/>
              </w:rPr>
              <w:t>Number of votes cast in favor exceeds</w:t>
            </w:r>
          </w:p>
        </w:tc>
        <w:tc>
          <w:tcPr>
            <w:tcW w:w="2520" w:type="dxa"/>
            <w:vAlign w:val="bottom"/>
            <w:shd w:val="clear" w:color="auto" w:fill="D6D1D8"/>
          </w:tcPr>
          <w:p>
            <w:pPr>
              <w:jc w:val="center"/>
              <w:ind w:left="260"/>
              <w:spacing w:after="0"/>
              <w:rPr>
                <w:sz w:val="20"/>
                <w:szCs w:val="20"/>
                <w:color w:val="auto"/>
              </w:rPr>
            </w:pPr>
            <w:r>
              <w:rPr>
                <w:rFonts w:ascii="Arial" w:cs="Arial" w:eastAsia="Arial" w:hAnsi="Arial"/>
                <w:sz w:val="16"/>
                <w:szCs w:val="16"/>
                <w:color w:val="auto"/>
              </w:rPr>
              <w:t>No</w:t>
            </w:r>
          </w:p>
        </w:tc>
        <w:tc>
          <w:tcPr>
            <w:tcW w:w="0" w:type="dxa"/>
            <w:vAlign w:val="bottom"/>
          </w:tcPr>
          <w:p>
            <w:pPr>
              <w:spacing w:after="0"/>
              <w:rPr>
                <w:sz w:val="1"/>
                <w:szCs w:val="1"/>
                <w:color w:val="auto"/>
              </w:rPr>
            </w:pPr>
          </w:p>
        </w:tc>
      </w:tr>
      <w:tr>
        <w:trPr>
          <w:trHeight w:val="211"/>
        </w:trPr>
        <w:tc>
          <w:tcPr>
            <w:tcW w:w="1440" w:type="dxa"/>
            <w:vAlign w:val="bottom"/>
            <w:shd w:val="clear" w:color="auto" w:fill="D6D1D8"/>
          </w:tcPr>
          <w:p>
            <w:pPr>
              <w:spacing w:after="0"/>
              <w:rPr>
                <w:sz w:val="18"/>
                <w:szCs w:val="18"/>
                <w:color w:val="auto"/>
              </w:rPr>
            </w:pPr>
          </w:p>
        </w:tc>
        <w:tc>
          <w:tcPr>
            <w:tcW w:w="3580" w:type="dxa"/>
            <w:vAlign w:val="bottom"/>
            <w:shd w:val="clear" w:color="auto" w:fill="D6D1D8"/>
          </w:tcPr>
          <w:p>
            <w:pPr>
              <w:ind w:left="220"/>
              <w:spacing w:after="0"/>
              <w:rPr>
                <w:sz w:val="20"/>
                <w:szCs w:val="20"/>
                <w:color w:val="auto"/>
              </w:rPr>
            </w:pPr>
            <w:r>
              <w:rPr>
                <w:rFonts w:ascii="Arial" w:cs="Arial" w:eastAsia="Arial" w:hAnsi="Arial"/>
                <w:sz w:val="16"/>
                <w:szCs w:val="16"/>
                <w:color w:val="auto"/>
              </w:rPr>
              <w:t>Compensation of Named Executive Officers</w:t>
            </w:r>
          </w:p>
        </w:tc>
        <w:tc>
          <w:tcPr>
            <w:tcW w:w="3380" w:type="dxa"/>
            <w:vAlign w:val="bottom"/>
            <w:shd w:val="clear" w:color="auto" w:fill="D6D1D8"/>
          </w:tcPr>
          <w:p>
            <w:pPr>
              <w:ind w:left="240"/>
              <w:spacing w:after="0"/>
              <w:rPr>
                <w:sz w:val="20"/>
                <w:szCs w:val="20"/>
                <w:color w:val="auto"/>
              </w:rPr>
            </w:pPr>
            <w:r>
              <w:rPr>
                <w:rFonts w:ascii="Arial" w:cs="Arial" w:eastAsia="Arial" w:hAnsi="Arial"/>
                <w:sz w:val="16"/>
                <w:szCs w:val="16"/>
                <w:color w:val="auto"/>
              </w:rPr>
              <w:t>number of votes cast in opposition</w:t>
            </w:r>
          </w:p>
        </w:tc>
        <w:tc>
          <w:tcPr>
            <w:tcW w:w="2520" w:type="dxa"/>
            <w:vAlign w:val="bottom"/>
            <w:shd w:val="clear" w:color="auto" w:fill="D6D1D8"/>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1440" w:type="dxa"/>
            <w:vAlign w:val="bottom"/>
            <w:shd w:val="clear" w:color="auto" w:fill="D6D1D8"/>
          </w:tcPr>
          <w:p>
            <w:pPr>
              <w:spacing w:after="0"/>
              <w:rPr>
                <w:sz w:val="10"/>
                <w:szCs w:val="10"/>
                <w:color w:val="auto"/>
              </w:rPr>
            </w:pPr>
          </w:p>
        </w:tc>
        <w:tc>
          <w:tcPr>
            <w:tcW w:w="3580" w:type="dxa"/>
            <w:vAlign w:val="bottom"/>
            <w:shd w:val="clear" w:color="auto" w:fill="D6D1D8"/>
          </w:tcPr>
          <w:p>
            <w:pPr>
              <w:spacing w:after="0"/>
              <w:rPr>
                <w:sz w:val="10"/>
                <w:szCs w:val="10"/>
                <w:color w:val="auto"/>
              </w:rPr>
            </w:pPr>
          </w:p>
        </w:tc>
        <w:tc>
          <w:tcPr>
            <w:tcW w:w="3380" w:type="dxa"/>
            <w:vAlign w:val="bottom"/>
            <w:shd w:val="clear" w:color="auto" w:fill="D6D1D8"/>
          </w:tcPr>
          <w:p>
            <w:pPr>
              <w:spacing w:after="0"/>
              <w:rPr>
                <w:sz w:val="10"/>
                <w:szCs w:val="10"/>
                <w:color w:val="auto"/>
              </w:rPr>
            </w:pPr>
          </w:p>
        </w:tc>
        <w:tc>
          <w:tcPr>
            <w:tcW w:w="2520" w:type="dxa"/>
            <w:vAlign w:val="bottom"/>
            <w:shd w:val="clear" w:color="auto" w:fill="D6D1D8"/>
          </w:tcPr>
          <w:p>
            <w:pPr>
              <w:spacing w:after="0"/>
              <w:rPr>
                <w:sz w:val="10"/>
                <w:szCs w:val="1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ectPr>
          <w:pgSz w:w="11900" w:h="16838" w:orient="portrait"/>
          <w:cols w:equalWidth="0" w:num="1">
            <w:col w:w="11080"/>
          </w:cols>
          <w:pgMar w:left="320" w:top="478" w:right="499" w:bottom="1440" w:gutter="0" w:footer="0" w:header="0"/>
        </w:sectPr>
      </w:pPr>
    </w:p>
    <w:tbl>
      <w:tblPr>
        <w:tblLayout w:type="fixed"/>
        <w:tblInd w:w="400" w:type="dxa"/>
        <w:tblCellMar>
          <w:top w:w="0" w:type="dxa"/>
          <w:left w:w="0" w:type="dxa"/>
          <w:bottom w:w="0" w:type="dxa"/>
          <w:right w:w="0" w:type="dxa"/>
        </w:tblCellMar>
      </w:tblPr>
      <w:tr>
        <w:trPr>
          <w:trHeight w:val="187"/>
        </w:trPr>
        <w:tc>
          <w:tcPr>
            <w:tcW w:w="760" w:type="dxa"/>
            <w:vAlign w:val="bottom"/>
          </w:tcPr>
          <w:p>
            <w:pPr>
              <w:jc w:val="right"/>
              <w:ind w:right="605"/>
              <w:spacing w:after="0"/>
              <w:rPr>
                <w:sz w:val="20"/>
                <w:szCs w:val="20"/>
                <w:color w:val="auto"/>
              </w:rPr>
            </w:pPr>
            <w:r>
              <w:rPr>
                <w:rFonts w:ascii="Arial" w:cs="Arial" w:eastAsia="Arial" w:hAnsi="Arial"/>
                <w:sz w:val="15"/>
                <w:szCs w:val="15"/>
                <w:color w:val="auto"/>
                <w:w w:val="71"/>
              </w:rPr>
              <w:t>4</w:t>
            </w:r>
          </w:p>
        </w:tc>
        <w:tc>
          <w:tcPr>
            <w:tcW w:w="3740" w:type="dxa"/>
            <w:vAlign w:val="bottom"/>
          </w:tcPr>
          <w:p>
            <w:pPr>
              <w:ind w:left="660"/>
              <w:spacing w:after="0"/>
              <w:rPr>
                <w:sz w:val="20"/>
                <w:szCs w:val="20"/>
                <w:color w:val="auto"/>
              </w:rPr>
            </w:pPr>
            <w:r>
              <w:rPr>
                <w:rFonts w:ascii="Arial" w:cs="Arial" w:eastAsia="Arial" w:hAnsi="Arial"/>
                <w:sz w:val="16"/>
                <w:szCs w:val="16"/>
                <w:color w:val="auto"/>
              </w:rPr>
              <w:t>Shareholder proposal requesting that the</w:t>
            </w:r>
          </w:p>
        </w:tc>
      </w:tr>
      <w:tr>
        <w:trPr>
          <w:trHeight w:val="187"/>
        </w:trPr>
        <w:tc>
          <w:tcPr>
            <w:tcW w:w="760" w:type="dxa"/>
            <w:vAlign w:val="bottom"/>
          </w:tcPr>
          <w:p>
            <w:pPr>
              <w:spacing w:after="0"/>
              <w:rPr>
                <w:sz w:val="16"/>
                <w:szCs w:val="16"/>
                <w:color w:val="auto"/>
              </w:rPr>
            </w:pPr>
          </w:p>
        </w:tc>
        <w:tc>
          <w:tcPr>
            <w:tcW w:w="3740" w:type="dxa"/>
            <w:vAlign w:val="bottom"/>
          </w:tcPr>
          <w:p>
            <w:pPr>
              <w:ind w:left="660"/>
              <w:spacing w:after="0"/>
              <w:rPr>
                <w:sz w:val="20"/>
                <w:szCs w:val="20"/>
                <w:color w:val="auto"/>
              </w:rPr>
            </w:pPr>
            <w:r>
              <w:rPr>
                <w:rFonts w:ascii="Arial" w:cs="Arial" w:eastAsia="Arial" w:hAnsi="Arial"/>
                <w:sz w:val="16"/>
                <w:szCs w:val="16"/>
                <w:color w:val="auto"/>
                <w:w w:val="99"/>
              </w:rPr>
              <w:t>Board commission and disclose a report on</w:t>
            </w:r>
          </w:p>
        </w:tc>
      </w:tr>
      <w:tr>
        <w:trPr>
          <w:trHeight w:val="187"/>
        </w:trPr>
        <w:tc>
          <w:tcPr>
            <w:tcW w:w="760" w:type="dxa"/>
            <w:vAlign w:val="bottom"/>
          </w:tcPr>
          <w:p>
            <w:pPr>
              <w:spacing w:after="0"/>
              <w:rPr>
                <w:sz w:val="16"/>
                <w:szCs w:val="16"/>
                <w:color w:val="auto"/>
              </w:rPr>
            </w:pPr>
          </w:p>
        </w:tc>
        <w:tc>
          <w:tcPr>
            <w:tcW w:w="3740" w:type="dxa"/>
            <w:vAlign w:val="bottom"/>
          </w:tcPr>
          <w:p>
            <w:pPr>
              <w:ind w:left="660"/>
              <w:spacing w:after="0"/>
              <w:rPr>
                <w:sz w:val="20"/>
                <w:szCs w:val="20"/>
                <w:color w:val="auto"/>
              </w:rPr>
            </w:pPr>
            <w:r>
              <w:rPr>
                <w:rFonts w:ascii="Arial" w:cs="Arial" w:eastAsia="Arial" w:hAnsi="Arial"/>
                <w:sz w:val="16"/>
                <w:szCs w:val="16"/>
                <w:color w:val="auto"/>
              </w:rPr>
              <w:t>the potential cost savings through the</w:t>
            </w:r>
          </w:p>
        </w:tc>
      </w:tr>
      <w:tr>
        <w:trPr>
          <w:trHeight w:val="187"/>
        </w:trPr>
        <w:tc>
          <w:tcPr>
            <w:tcW w:w="760" w:type="dxa"/>
            <w:vAlign w:val="bottom"/>
          </w:tcPr>
          <w:p>
            <w:pPr>
              <w:spacing w:after="0"/>
              <w:rPr>
                <w:sz w:val="16"/>
                <w:szCs w:val="16"/>
                <w:color w:val="auto"/>
              </w:rPr>
            </w:pPr>
          </w:p>
        </w:tc>
        <w:tc>
          <w:tcPr>
            <w:tcW w:w="3740" w:type="dxa"/>
            <w:vAlign w:val="bottom"/>
          </w:tcPr>
          <w:p>
            <w:pPr>
              <w:ind w:left="660"/>
              <w:spacing w:after="0"/>
              <w:rPr>
                <w:sz w:val="20"/>
                <w:szCs w:val="20"/>
                <w:color w:val="auto"/>
              </w:rPr>
            </w:pPr>
            <w:r>
              <w:rPr>
                <w:rFonts w:ascii="Arial" w:cs="Arial" w:eastAsia="Arial" w:hAnsi="Arial"/>
                <w:sz w:val="16"/>
                <w:szCs w:val="16"/>
                <w:color w:val="auto"/>
              </w:rPr>
              <w:t>adoption of a smokefree policy for the</w:t>
            </w:r>
          </w:p>
        </w:tc>
      </w:tr>
      <w:tr>
        <w:trPr>
          <w:trHeight w:val="211"/>
        </w:trPr>
        <w:tc>
          <w:tcPr>
            <w:tcW w:w="760" w:type="dxa"/>
            <w:vAlign w:val="bottom"/>
          </w:tcPr>
          <w:p>
            <w:pPr>
              <w:spacing w:after="0"/>
              <w:rPr>
                <w:sz w:val="18"/>
                <w:szCs w:val="18"/>
                <w:color w:val="auto"/>
              </w:rPr>
            </w:pPr>
          </w:p>
        </w:tc>
        <w:tc>
          <w:tcPr>
            <w:tcW w:w="3740" w:type="dxa"/>
            <w:vAlign w:val="bottom"/>
          </w:tcPr>
          <w:p>
            <w:pPr>
              <w:ind w:left="660"/>
              <w:spacing w:after="0"/>
              <w:rPr>
                <w:sz w:val="20"/>
                <w:szCs w:val="20"/>
                <w:color w:val="auto"/>
              </w:rPr>
            </w:pPr>
            <w:r>
              <w:rPr>
                <w:rFonts w:ascii="Arial" w:cs="Arial" w:eastAsia="Arial" w:hAnsi="Arial"/>
                <w:sz w:val="16"/>
                <w:szCs w:val="16"/>
                <w:color w:val="auto"/>
              </w:rPr>
              <w:t>Company’s properties</w:t>
            </w:r>
          </w:p>
        </w:tc>
      </w:tr>
    </w:tbl>
    <w:p>
      <w:pPr>
        <w:spacing w:after="0" w:line="20" w:lineRule="exact"/>
        <w:rPr>
          <w:sz w:val="20"/>
          <w:szCs w:val="20"/>
          <w:color w:val="auto"/>
        </w:rPr>
      </w:pPr>
      <w:r>
        <w:rPr>
          <w:sz w:val="20"/>
          <w:szCs w:val="20"/>
          <w:color w:val="auto"/>
        </w:rPr>
        <w:br w:type="column"/>
      </w:r>
    </w:p>
    <w:p>
      <w:pPr>
        <w:spacing w:after="0"/>
        <w:tabs>
          <w:tab w:leader="none" w:pos="4440" w:val="left"/>
        </w:tabs>
        <w:rPr>
          <w:sz w:val="20"/>
          <w:szCs w:val="20"/>
          <w:color w:val="auto"/>
        </w:rPr>
      </w:pPr>
      <w:r>
        <w:rPr>
          <w:rFonts w:ascii="Arial" w:cs="Arial" w:eastAsia="Arial" w:hAnsi="Arial"/>
          <w:sz w:val="16"/>
          <w:szCs w:val="16"/>
          <w:color w:val="auto"/>
        </w:rPr>
        <w:t>Number of votes cast in favor exceeds</w:t>
      </w:r>
      <w:r>
        <w:rPr>
          <w:sz w:val="20"/>
          <w:szCs w:val="20"/>
          <w:color w:val="auto"/>
        </w:rPr>
        <w:tab/>
      </w:r>
      <w:r>
        <w:rPr>
          <w:rFonts w:ascii="Arial" w:cs="Arial" w:eastAsia="Arial" w:hAnsi="Arial"/>
          <w:sz w:val="16"/>
          <w:szCs w:val="16"/>
          <w:color w:val="auto"/>
        </w:rPr>
        <w:t>No</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number of votes cast in opposition</w:t>
      </w:r>
    </w:p>
    <w:p>
      <w:pPr>
        <w:spacing w:after="0" w:line="772" w:lineRule="exact"/>
        <w:rPr>
          <w:sz w:val="20"/>
          <w:szCs w:val="20"/>
          <w:color w:val="auto"/>
        </w:rPr>
      </w:pPr>
    </w:p>
    <w:p>
      <w:pPr>
        <w:sectPr>
          <w:pgSz w:w="11900" w:h="16838" w:orient="portrait"/>
          <w:cols w:equalWidth="0" w:num="2">
            <w:col w:w="4900" w:space="520"/>
            <w:col w:w="5660"/>
          </w:cols>
          <w:pgMar w:left="320" w:top="478" w:right="499" w:bottom="1440" w:gutter="0" w:footer="0" w:header="0"/>
          <w:type w:val="continuous"/>
        </w:sectPr>
      </w:pPr>
    </w:p>
    <w:p>
      <w:pPr>
        <w:spacing w:after="0" w:line="244"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HOW YOU CAN VOTE</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351B3D"/>
        </w:rPr>
        <w:t>SHAREHOLDERS OF RECORD. For shareholders of record, there are four different ways you can vote:</w:t>
      </w:r>
    </w:p>
    <w:p>
      <w:pPr>
        <w:spacing w:after="0" w:line="27" w:lineRule="exact"/>
        <w:rPr>
          <w:sz w:val="20"/>
          <w:szCs w:val="20"/>
          <w:color w:val="auto"/>
        </w:rPr>
      </w:pPr>
    </w:p>
    <w:p>
      <w:pPr>
        <w:ind w:left="800" w:hanging="205"/>
        <w:spacing w:after="0"/>
        <w:tabs>
          <w:tab w:leader="none" w:pos="800" w:val="left"/>
        </w:tabs>
        <w:numPr>
          <w:ilvl w:val="0"/>
          <w:numId w:val="61"/>
        </w:numPr>
        <w:rPr>
          <w:rFonts w:ascii="Arial" w:cs="Arial" w:eastAsia="Arial" w:hAnsi="Arial"/>
          <w:sz w:val="16"/>
          <w:szCs w:val="16"/>
          <w:color w:val="auto"/>
        </w:rPr>
      </w:pPr>
      <w:r>
        <w:rPr>
          <w:rFonts w:ascii="Arial" w:cs="Arial" w:eastAsia="Arial" w:hAnsi="Arial"/>
          <w:sz w:val="16"/>
          <w:szCs w:val="16"/>
          <w:color w:val="351B3D"/>
        </w:rPr>
        <w:t xml:space="preserve">By Internet. </w:t>
      </w:r>
      <w:r>
        <w:rPr>
          <w:rFonts w:ascii="Arial" w:cs="Arial" w:eastAsia="Arial" w:hAnsi="Arial"/>
          <w:sz w:val="16"/>
          <w:szCs w:val="16"/>
          <w:color w:val="000000"/>
        </w:rPr>
        <w:t>To vote via the Internet, use the website on the enclosed proxy card.</w:t>
      </w:r>
    </w:p>
    <w:p>
      <w:pPr>
        <w:spacing w:after="0" w:line="43" w:lineRule="exact"/>
        <w:rPr>
          <w:rFonts w:ascii="Arial" w:cs="Arial" w:eastAsia="Arial" w:hAnsi="Arial"/>
          <w:sz w:val="16"/>
          <w:szCs w:val="16"/>
          <w:color w:val="auto"/>
        </w:rPr>
      </w:pPr>
    </w:p>
    <w:p>
      <w:pPr>
        <w:ind w:left="800" w:hanging="205"/>
        <w:spacing w:after="0"/>
        <w:tabs>
          <w:tab w:leader="none" w:pos="800" w:val="left"/>
        </w:tabs>
        <w:numPr>
          <w:ilvl w:val="0"/>
          <w:numId w:val="61"/>
        </w:numPr>
        <w:rPr>
          <w:rFonts w:ascii="Arial" w:cs="Arial" w:eastAsia="Arial" w:hAnsi="Arial"/>
          <w:sz w:val="16"/>
          <w:szCs w:val="16"/>
          <w:color w:val="auto"/>
        </w:rPr>
      </w:pPr>
      <w:r>
        <w:rPr>
          <w:rFonts w:ascii="Arial" w:cs="Arial" w:eastAsia="Arial" w:hAnsi="Arial"/>
          <w:sz w:val="16"/>
          <w:szCs w:val="16"/>
          <w:color w:val="351B3D"/>
        </w:rPr>
        <w:t xml:space="preserve">By Telephone. </w:t>
      </w:r>
      <w:r>
        <w:rPr>
          <w:rFonts w:ascii="Arial" w:cs="Arial" w:eastAsia="Arial" w:hAnsi="Arial"/>
          <w:sz w:val="16"/>
          <w:szCs w:val="16"/>
          <w:color w:val="000000"/>
        </w:rPr>
        <w:t>To vote by telephone, call the toll-free number on the enclosed proxy card.</w:t>
      </w:r>
    </w:p>
    <w:p>
      <w:pPr>
        <w:spacing w:after="0" w:line="43" w:lineRule="exact"/>
        <w:rPr>
          <w:rFonts w:ascii="Arial" w:cs="Arial" w:eastAsia="Arial" w:hAnsi="Arial"/>
          <w:sz w:val="16"/>
          <w:szCs w:val="16"/>
          <w:color w:val="auto"/>
        </w:rPr>
      </w:pPr>
    </w:p>
    <w:p>
      <w:pPr>
        <w:ind w:left="800" w:hanging="205"/>
        <w:spacing w:after="0"/>
        <w:tabs>
          <w:tab w:leader="none" w:pos="800" w:val="left"/>
        </w:tabs>
        <w:numPr>
          <w:ilvl w:val="0"/>
          <w:numId w:val="61"/>
        </w:numPr>
        <w:rPr>
          <w:rFonts w:ascii="Arial" w:cs="Arial" w:eastAsia="Arial" w:hAnsi="Arial"/>
          <w:sz w:val="16"/>
          <w:szCs w:val="16"/>
          <w:color w:val="auto"/>
        </w:rPr>
      </w:pPr>
      <w:r>
        <w:rPr>
          <w:rFonts w:ascii="Arial" w:cs="Arial" w:eastAsia="Arial" w:hAnsi="Arial"/>
          <w:sz w:val="16"/>
          <w:szCs w:val="16"/>
          <w:color w:val="351B3D"/>
        </w:rPr>
        <w:t xml:space="preserve">By Mail. </w:t>
      </w:r>
      <w:r>
        <w:rPr>
          <w:rFonts w:ascii="Arial" w:cs="Arial" w:eastAsia="Arial" w:hAnsi="Arial"/>
          <w:sz w:val="16"/>
          <w:szCs w:val="16"/>
          <w:color w:val="000000"/>
        </w:rPr>
        <w:t>To vote by mail, follow the instructions on the enclosed proxy card.</w:t>
      </w:r>
    </w:p>
    <w:p>
      <w:pPr>
        <w:spacing w:after="0" w:line="43" w:lineRule="exact"/>
        <w:rPr>
          <w:rFonts w:ascii="Arial" w:cs="Arial" w:eastAsia="Arial" w:hAnsi="Arial"/>
          <w:sz w:val="16"/>
          <w:szCs w:val="16"/>
          <w:color w:val="auto"/>
        </w:rPr>
      </w:pPr>
    </w:p>
    <w:p>
      <w:pPr>
        <w:ind w:left="800" w:right="180" w:hanging="205"/>
        <w:spacing w:after="0" w:line="262" w:lineRule="auto"/>
        <w:tabs>
          <w:tab w:leader="none" w:pos="800" w:val="left"/>
        </w:tabs>
        <w:numPr>
          <w:ilvl w:val="0"/>
          <w:numId w:val="61"/>
        </w:numPr>
        <w:rPr>
          <w:rFonts w:ascii="Arial" w:cs="Arial" w:eastAsia="Arial" w:hAnsi="Arial"/>
          <w:sz w:val="16"/>
          <w:szCs w:val="16"/>
          <w:color w:val="auto"/>
        </w:rPr>
      </w:pPr>
      <w:r>
        <w:rPr>
          <w:rFonts w:ascii="Arial" w:cs="Arial" w:eastAsia="Arial" w:hAnsi="Arial"/>
          <w:sz w:val="16"/>
          <w:szCs w:val="16"/>
          <w:color w:val="351B3D"/>
        </w:rPr>
        <w:t xml:space="preserve">By Participating in the Virtual Annual Meeting. </w:t>
      </w:r>
      <w:r>
        <w:rPr>
          <w:rFonts w:ascii="Arial" w:cs="Arial" w:eastAsia="Arial" w:hAnsi="Arial"/>
          <w:sz w:val="16"/>
          <w:szCs w:val="16"/>
          <w:color w:val="000000"/>
        </w:rPr>
        <w:t>To vote electronically during the virtual Annual Meeting, visit</w:t>
      </w:r>
      <w:r>
        <w:rPr>
          <w:rFonts w:ascii="Arial" w:cs="Arial" w:eastAsia="Arial" w:hAnsi="Arial"/>
          <w:sz w:val="16"/>
          <w:szCs w:val="16"/>
          <w:color w:val="351B3D"/>
        </w:rPr>
        <w:t xml:space="preserve"> </w:t>
      </w:r>
      <w:r>
        <w:rPr>
          <w:rFonts w:ascii="Arial" w:cs="Arial" w:eastAsia="Arial" w:hAnsi="Arial"/>
          <w:sz w:val="16"/>
          <w:szCs w:val="16"/>
          <w:color w:val="000000"/>
        </w:rPr>
        <w:t>http://www.virtualshareholdermeeting.com/WYNN2025, log in using the 16-digit control number printed in the box marked by the arrow on your Notice of Internet Availability or proxy card, click on the vote button on the screen and follow the instructions provided.</w:t>
      </w:r>
    </w:p>
    <w:p>
      <w:pPr>
        <w:spacing w:after="0" w:line="173" w:lineRule="exact"/>
        <w:rPr>
          <w:sz w:val="20"/>
          <w:szCs w:val="20"/>
          <w:color w:val="auto"/>
        </w:rPr>
      </w:pPr>
    </w:p>
    <w:p>
      <w:pPr>
        <w:ind w:left="160" w:right="140"/>
        <w:spacing w:after="0" w:line="256" w:lineRule="auto"/>
        <w:rPr>
          <w:sz w:val="20"/>
          <w:szCs w:val="20"/>
          <w:color w:val="auto"/>
        </w:rPr>
      </w:pPr>
      <w:r>
        <w:rPr>
          <w:rFonts w:ascii="Arial" w:cs="Arial" w:eastAsia="Arial" w:hAnsi="Arial"/>
          <w:sz w:val="16"/>
          <w:szCs w:val="16"/>
          <w:color w:val="auto"/>
        </w:rPr>
        <w:t>The Internet and telephone voting procedures are designed to authenticate your identity, to allow you to vote your shares and to confirm that your voting instructions have been properly recorded. Specific instructions are set forth on the enclosed proxy card. In order to be timely processed, an Internet or telephone vote must be received by 11:59 P.M. EASTERN TIME ON APRIL 29, 2025. Regardless of the method you choose, your vote is important. Please vote by following the specific instructions on your proxy card.</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83</w:t>
      </w:r>
    </w:p>
    <w:p>
      <w:pPr>
        <w:sectPr>
          <w:pgSz w:w="11900" w:h="16838" w:orient="portrait"/>
          <w:cols w:equalWidth="0" w:num="1">
            <w:col w:w="11080"/>
          </w:cols>
          <w:pgMar w:left="320" w:top="478" w:right="49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0"/>
        <w:spacing w:after="0" w:line="262" w:lineRule="auto"/>
        <w:rPr>
          <w:sz w:val="20"/>
          <w:szCs w:val="20"/>
          <w:color w:val="auto"/>
        </w:rPr>
      </w:pPr>
      <w:r>
        <w:rPr>
          <w:rFonts w:ascii="Arial" w:cs="Arial" w:eastAsia="Arial" w:hAnsi="Arial"/>
          <w:sz w:val="16"/>
          <w:szCs w:val="16"/>
          <w:color w:val="351B3D"/>
        </w:rPr>
        <w:t>BENEFICIAL SHAREHOLDERS. For shareholders who own shares of the Common Stock through an intermediary, such as a broker, bank or other nominee, the ultimate intermediary is the shareholder of record but will vote your shares in accordance with your instructions. In order to have your shares voted, you will need to follow the instructions for voting provided by your broker, bank or other nominee.</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REVOCABILITY OF PROXIES</w:t>
      </w:r>
    </w:p>
    <w:p>
      <w:pPr>
        <w:spacing w:after="0" w:line="19" w:lineRule="exact"/>
        <w:rPr>
          <w:sz w:val="20"/>
          <w:szCs w:val="20"/>
          <w:color w:val="auto"/>
        </w:rPr>
      </w:pPr>
    </w:p>
    <w:p>
      <w:pPr>
        <w:ind w:left="160" w:right="20"/>
        <w:spacing w:after="0" w:line="244" w:lineRule="auto"/>
        <w:rPr>
          <w:sz w:val="20"/>
          <w:szCs w:val="20"/>
          <w:color w:val="auto"/>
        </w:rPr>
      </w:pPr>
      <w:r>
        <w:rPr>
          <w:rFonts w:ascii="Arial" w:cs="Arial" w:eastAsia="Arial" w:hAnsi="Arial"/>
          <w:sz w:val="16"/>
          <w:szCs w:val="16"/>
          <w:color w:val="351B3D"/>
        </w:rPr>
        <w:t>SHAREHOLDERS OF RECORD. If you are a shareholder of record and you deliver a proxy pursuant to this solicitation, you may revoke that proxy at any time before it is voted by (a) giving written notice to our Secretary at the address set forth below, (b) delivering to our Secretary a later dated proxy,</w:t>
      </w:r>
    </w:p>
    <w:p>
      <w:pPr>
        <w:ind w:left="160" w:right="960" w:firstLine="7"/>
        <w:spacing w:after="0" w:line="258" w:lineRule="auto"/>
        <w:tabs>
          <w:tab w:leader="none" w:pos="392" w:val="left"/>
        </w:tabs>
        <w:numPr>
          <w:ilvl w:val="0"/>
          <w:numId w:val="62"/>
        </w:numPr>
        <w:rPr>
          <w:rFonts w:ascii="Arial" w:cs="Arial" w:eastAsia="Arial" w:hAnsi="Arial"/>
          <w:sz w:val="16"/>
          <w:szCs w:val="16"/>
          <w:color w:val="351B3D"/>
        </w:rPr>
      </w:pPr>
      <w:r>
        <w:rPr>
          <w:rFonts w:ascii="Arial" w:cs="Arial" w:eastAsia="Arial" w:hAnsi="Arial"/>
          <w:sz w:val="16"/>
          <w:szCs w:val="16"/>
          <w:color w:val="351B3D"/>
        </w:rPr>
        <w:t>submitting another proxy by telephone or over the Internet (your latest telephone or Internet voting instructions are followed), or (d) voting electronically during the Annual Meeting. Written notice of revocation or subsequent proxy should be sent to:</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Wynn Resorts, Limited</w:t>
      </w:r>
    </w:p>
    <w:p>
      <w:pPr>
        <w:spacing w:after="0" w:line="1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c/o Secretary</w:t>
      </w:r>
    </w:p>
    <w:p>
      <w:pPr>
        <w:spacing w:after="0" w:line="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3131 Las Vegas Boulevard South</w:t>
      </w:r>
    </w:p>
    <w:p>
      <w:pPr>
        <w:spacing w:after="0" w:line="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Las Vegas, Nevada 89109</w:t>
      </w:r>
    </w:p>
    <w:p>
      <w:pPr>
        <w:spacing w:after="0" w:line="201" w:lineRule="exact"/>
        <w:rPr>
          <w:sz w:val="20"/>
          <w:szCs w:val="20"/>
          <w:color w:val="auto"/>
        </w:rPr>
      </w:pPr>
    </w:p>
    <w:p>
      <w:pPr>
        <w:ind w:left="160" w:right="60"/>
        <w:spacing w:after="0" w:line="279" w:lineRule="auto"/>
        <w:rPr>
          <w:sz w:val="20"/>
          <w:szCs w:val="20"/>
          <w:color w:val="auto"/>
        </w:rPr>
      </w:pPr>
      <w:r>
        <w:rPr>
          <w:rFonts w:ascii="Arial" w:cs="Arial" w:eastAsia="Arial" w:hAnsi="Arial"/>
          <w:sz w:val="16"/>
          <w:szCs w:val="16"/>
          <w:color w:val="351B3D"/>
        </w:rPr>
        <w:t>BENEFICIAL SHAREHOLDERS. If your shares are held through an intermediary, such as a bank, broker or other nominee, you must contact that person if you wish to revoke previously given voting instructions. In this case, attendance at the Annual Meeting, in and of itself, does not revoke a prior proxy.</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PARTICIPATING IN THE ANNUAL MEETING</w:t>
      </w:r>
    </w:p>
    <w:p>
      <w:pPr>
        <w:spacing w:after="0" w:line="19" w:lineRule="exact"/>
        <w:rPr>
          <w:sz w:val="20"/>
          <w:szCs w:val="20"/>
          <w:color w:val="auto"/>
        </w:rPr>
      </w:pPr>
    </w:p>
    <w:p>
      <w:pPr>
        <w:ind w:left="160" w:right="40"/>
        <w:spacing w:after="0" w:line="258" w:lineRule="auto"/>
        <w:rPr>
          <w:sz w:val="20"/>
          <w:szCs w:val="20"/>
          <w:color w:val="auto"/>
        </w:rPr>
      </w:pPr>
      <w:r>
        <w:rPr>
          <w:rFonts w:ascii="Arial" w:cs="Arial" w:eastAsia="Arial" w:hAnsi="Arial"/>
          <w:sz w:val="16"/>
          <w:szCs w:val="16"/>
          <w:color w:val="351B3D"/>
        </w:rPr>
        <w:t xml:space="preserve">CONTROL NUMBER. </w:t>
      </w:r>
      <w:r>
        <w:rPr>
          <w:rFonts w:ascii="Arial" w:cs="Arial" w:eastAsia="Arial" w:hAnsi="Arial"/>
          <w:sz w:val="16"/>
          <w:szCs w:val="16"/>
          <w:color w:val="000000"/>
        </w:rPr>
        <w:t>You will need the 16-digit control number that is printed in the box marked by the arrow on your Notice of Internet Availability, proxy</w:t>
      </w:r>
      <w:r>
        <w:rPr>
          <w:rFonts w:ascii="Arial" w:cs="Arial" w:eastAsia="Arial" w:hAnsi="Arial"/>
          <w:sz w:val="16"/>
          <w:szCs w:val="16"/>
          <w:color w:val="351B3D"/>
        </w:rPr>
        <w:t xml:space="preserve"> </w:t>
      </w:r>
      <w:r>
        <w:rPr>
          <w:rFonts w:ascii="Arial" w:cs="Arial" w:eastAsia="Arial" w:hAnsi="Arial"/>
          <w:sz w:val="16"/>
          <w:szCs w:val="16"/>
          <w:color w:val="000000"/>
        </w:rPr>
        <w:t>card or voter instruction form to attend the virtual Annual Meeting and vote.</w:t>
      </w:r>
    </w:p>
    <w:p>
      <w:pPr>
        <w:spacing w:after="0" w:line="177" w:lineRule="exact"/>
        <w:rPr>
          <w:sz w:val="20"/>
          <w:szCs w:val="20"/>
          <w:color w:val="auto"/>
        </w:rPr>
      </w:pPr>
    </w:p>
    <w:p>
      <w:pPr>
        <w:ind w:left="160" w:right="100"/>
        <w:spacing w:after="0" w:line="253" w:lineRule="auto"/>
        <w:rPr>
          <w:sz w:val="20"/>
          <w:szCs w:val="20"/>
          <w:color w:val="auto"/>
        </w:rPr>
      </w:pPr>
      <w:r>
        <w:rPr>
          <w:rFonts w:ascii="Arial" w:cs="Arial" w:eastAsia="Arial" w:hAnsi="Arial"/>
          <w:sz w:val="16"/>
          <w:szCs w:val="16"/>
          <w:color w:val="351B3D"/>
        </w:rPr>
        <w:t xml:space="preserve">NOTICE OF INTERNET AVAILABILITY OF PROXY MATERIALS. </w:t>
      </w:r>
      <w:r>
        <w:rPr>
          <w:rFonts w:ascii="Arial" w:cs="Arial" w:eastAsia="Arial" w:hAnsi="Arial"/>
          <w:sz w:val="16"/>
          <w:szCs w:val="16"/>
          <w:color w:val="000000"/>
        </w:rPr>
        <w:t>Under rules adopted by the SEC, we are furnishing proxy materials to some</w:t>
      </w:r>
      <w:r>
        <w:rPr>
          <w:rFonts w:ascii="Arial" w:cs="Arial" w:eastAsia="Arial" w:hAnsi="Arial"/>
          <w:sz w:val="16"/>
          <w:szCs w:val="16"/>
          <w:color w:val="351B3D"/>
        </w:rPr>
        <w:t xml:space="preserve"> </w:t>
      </w:r>
      <w:r>
        <w:rPr>
          <w:rFonts w:ascii="Arial" w:cs="Arial" w:eastAsia="Arial" w:hAnsi="Arial"/>
          <w:sz w:val="16"/>
          <w:szCs w:val="16"/>
          <w:color w:val="000000"/>
        </w:rPr>
        <w:t>shareholders via the Internet, instead of mailing printed copies of those materials to each shareholder. Beginning on or about March 19, 2025, we sent to shareholders either a printed copy of our proxy materials or a Notice of Internet Availability containing instructions on how to access our proxy materials electronically. The proxy materials include this Proxy Statement and our Annual Report for the fiscal year ending December 31, 2024. The Notice of Internet Availability also explains how to vote through the Internet, by telephone or electronically at the Annual Meeting.</w:t>
      </w:r>
    </w:p>
    <w:p>
      <w:pPr>
        <w:spacing w:after="0" w:line="180" w:lineRule="exact"/>
        <w:rPr>
          <w:sz w:val="20"/>
          <w:szCs w:val="20"/>
          <w:color w:val="auto"/>
        </w:rPr>
      </w:pPr>
    </w:p>
    <w:p>
      <w:pPr>
        <w:ind w:left="160" w:right="280"/>
        <w:spacing w:after="0" w:line="256" w:lineRule="auto"/>
        <w:rPr>
          <w:sz w:val="20"/>
          <w:szCs w:val="20"/>
          <w:color w:val="auto"/>
        </w:rPr>
      </w:pPr>
      <w:r>
        <w:rPr>
          <w:rFonts w:ascii="Arial" w:cs="Arial" w:eastAsia="Arial" w:hAnsi="Arial"/>
          <w:sz w:val="16"/>
          <w:szCs w:val="16"/>
          <w:color w:val="auto"/>
        </w:rPr>
        <w:t>This electronic access process expedites shareholders’ receipt of our proxy materials, lowers the cost of our Annual Meeting and conserves natural resources. However, if you would prefer to receive a printed copy of our proxy materials, a proxy card or voting instruction form, please follow the instructions included in the Notice of Internet Availability. If you have previously elected to receive our proxy materials electronically or by mail, you will continue to receive the proxy materials in that format unless you elect otherwise.</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PROXY PROCEDURE AND EXPENSES OF SOLICITATION</w:t>
      </w:r>
    </w:p>
    <w:p>
      <w:pPr>
        <w:spacing w:after="0" w:line="19" w:lineRule="exact"/>
        <w:rPr>
          <w:sz w:val="20"/>
          <w:szCs w:val="20"/>
          <w:color w:val="auto"/>
        </w:rPr>
      </w:pPr>
    </w:p>
    <w:p>
      <w:pPr>
        <w:ind w:left="160" w:right="40"/>
        <w:spacing w:after="0" w:line="247" w:lineRule="auto"/>
        <w:rPr>
          <w:sz w:val="20"/>
          <w:szCs w:val="20"/>
          <w:color w:val="auto"/>
        </w:rPr>
      </w:pPr>
      <w:r>
        <w:rPr>
          <w:rFonts w:ascii="Arial" w:cs="Arial" w:eastAsia="Arial" w:hAnsi="Arial"/>
          <w:sz w:val="16"/>
          <w:szCs w:val="16"/>
          <w:color w:val="auto"/>
        </w:rPr>
        <w:t>We have retained Broadridge Financial Solutions, an independent tabulator, to receive and tabulate the proxies, to serve as an inspector of elections, and to certify the results. In addition, we have engaged Innisfree M&amp;A Incorporated (“Innisfree”), a professional proxy solicitation firm, to assist in the solicitation of proxies for the Annual Meeting. The Company has agreed to pay Innisfree a fee of $17,500, plus reimbursement for out-of-pocket expenses. The address of Innisfree is 501 Madison Avenue, 20th Floor, New York, New York 10022. If you need assistance in completing your proxy card or have questions regarding the Annual Meeting, please contact Innisfree toll-free at (888) 750-5834.</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2"/>
          <w:szCs w:val="12"/>
          <w:color w:val="351B3D"/>
        </w:rPr>
        <w:t>84</w:t>
      </w:r>
    </w:p>
    <w:p>
      <w:pPr>
        <w:sectPr>
          <w:pgSz w:w="11900" w:h="16838" w:orient="portrait"/>
          <w:cols w:equalWidth="0" w:num="1">
            <w:col w:w="11080"/>
          </w:cols>
          <w:pgMar w:left="320" w:top="478" w:right="4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0" w:right="40"/>
        <w:spacing w:after="0" w:line="279" w:lineRule="auto"/>
        <w:rPr>
          <w:sz w:val="20"/>
          <w:szCs w:val="20"/>
          <w:color w:val="auto"/>
        </w:rPr>
      </w:pPr>
      <w:r>
        <w:rPr>
          <w:rFonts w:ascii="Arial" w:cs="Arial" w:eastAsia="Arial" w:hAnsi="Arial"/>
          <w:sz w:val="16"/>
          <w:szCs w:val="16"/>
          <w:color w:val="auto"/>
        </w:rPr>
        <w:t>All expenses incurred in connection with the solicitation of proxies will be borne by us. We will also reimburse banks, brokers and other nominees for their expenses in forwarding proxy materials to beneficial owners of Common Stock held in their names.</w:t>
      </w:r>
    </w:p>
    <w:p>
      <w:pPr>
        <w:spacing w:after="0" w:line="161" w:lineRule="exact"/>
        <w:rPr>
          <w:sz w:val="20"/>
          <w:szCs w:val="20"/>
          <w:color w:val="auto"/>
        </w:rPr>
      </w:pPr>
    </w:p>
    <w:p>
      <w:pPr>
        <w:ind w:left="160" w:right="580"/>
        <w:spacing w:after="0" w:line="279" w:lineRule="auto"/>
        <w:rPr>
          <w:sz w:val="20"/>
          <w:szCs w:val="20"/>
          <w:color w:val="auto"/>
        </w:rPr>
      </w:pPr>
      <w:r>
        <w:rPr>
          <w:rFonts w:ascii="Arial" w:cs="Arial" w:eastAsia="Arial" w:hAnsi="Arial"/>
          <w:sz w:val="16"/>
          <w:szCs w:val="16"/>
          <w:color w:val="auto"/>
        </w:rPr>
        <w:t>Solicitation may be undertaken by mail, telephone, personal contact or other similar means by directors, officers and employees without additional compensation.</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SHAREHOLDER NOMINATIONS AND PROPOSALS</w:t>
      </w:r>
    </w:p>
    <w:p>
      <w:pPr>
        <w:spacing w:after="0" w:line="19" w:lineRule="exact"/>
        <w:rPr>
          <w:sz w:val="20"/>
          <w:szCs w:val="20"/>
          <w:color w:val="auto"/>
        </w:rPr>
      </w:pPr>
    </w:p>
    <w:p>
      <w:pPr>
        <w:ind w:left="160" w:right="100"/>
        <w:spacing w:after="0" w:line="249" w:lineRule="auto"/>
        <w:rPr>
          <w:sz w:val="20"/>
          <w:szCs w:val="20"/>
          <w:color w:val="auto"/>
        </w:rPr>
      </w:pPr>
      <w:r>
        <w:rPr>
          <w:rFonts w:ascii="Arial" w:cs="Arial" w:eastAsia="Arial" w:hAnsi="Arial"/>
          <w:sz w:val="16"/>
          <w:szCs w:val="16"/>
          <w:color w:val="auto"/>
        </w:rPr>
        <w:t>Shareholders intending to present a proposal at the 2026 Annual Meeting of Shareholders for inclusion in our proxy statement and form of proxy for that meeting pursuant to Rule 14a-8 of the Exchange Act must submit the proposal in writing to Wynn Resorts, Limited, Attention: Secretary, 3131 Las Vegas Boulevard South, Las Vegas, Nevada 89109. Such proposals must comply with the requirements of Rule 14a-8 of the Exchange Act and must be received by the Company no later than the close of business on November 20, 2025.</w:t>
      </w:r>
    </w:p>
    <w:p>
      <w:pPr>
        <w:spacing w:after="0" w:line="183" w:lineRule="exact"/>
        <w:rPr>
          <w:sz w:val="20"/>
          <w:szCs w:val="20"/>
          <w:color w:val="auto"/>
        </w:rPr>
      </w:pPr>
    </w:p>
    <w:p>
      <w:pPr>
        <w:ind w:left="160" w:right="20"/>
        <w:spacing w:after="0" w:line="250" w:lineRule="auto"/>
        <w:rPr>
          <w:sz w:val="20"/>
          <w:szCs w:val="20"/>
          <w:color w:val="auto"/>
        </w:rPr>
      </w:pPr>
      <w:r>
        <w:rPr>
          <w:rFonts w:ascii="Arial" w:cs="Arial" w:eastAsia="Arial" w:hAnsi="Arial"/>
          <w:sz w:val="16"/>
          <w:szCs w:val="16"/>
          <w:color w:val="auto"/>
        </w:rPr>
        <w:t>In addition, our Bylaws provide notice procedures for shareholders to nominate a person as a director and to propose business to be considered by shareholders at a meeting (but not for inclusion in the Company’s proxy materials). To be timely, written notice of such a nomination or proposal submitted pursuant to our Bylaws must be delivered to our Secretary at our principal executive offices not later than the close of business on the 90th day, nor earlier than the close of business on the 120th day, prior to the first anniversary of the preceding year’s annual meeting. However, if the date of the annual meeting is more than 30 days before or more than 70 days after such anniversary date, notice must be delivered to us not earlier than the close of business on the 120th day prior to such annual meeting date and not later than the close of business on the later of the 90th day prior to such annual meeting or the 10th day following the day on which public announcement of the date of such meeting is first made.</w:t>
      </w:r>
    </w:p>
    <w:p>
      <w:pPr>
        <w:spacing w:after="0" w:line="183" w:lineRule="exact"/>
        <w:rPr>
          <w:sz w:val="20"/>
          <w:szCs w:val="20"/>
          <w:color w:val="auto"/>
        </w:rPr>
      </w:pPr>
    </w:p>
    <w:p>
      <w:pPr>
        <w:ind w:left="160" w:right="20"/>
        <w:spacing w:after="0" w:line="250" w:lineRule="auto"/>
        <w:rPr>
          <w:sz w:val="20"/>
          <w:szCs w:val="20"/>
          <w:color w:val="auto"/>
        </w:rPr>
      </w:pPr>
      <w:r>
        <w:rPr>
          <w:rFonts w:ascii="Arial" w:cs="Arial" w:eastAsia="Arial" w:hAnsi="Arial"/>
          <w:sz w:val="16"/>
          <w:szCs w:val="16"/>
          <w:color w:val="auto"/>
        </w:rPr>
        <w:t>Accordingly, for our 2026 Annual Meeting, notice of a nomination or proposal must be delivered to us no later than January 30, and no earlier than December 31, 2025. Nominations and proposals also must satisfy other requirements set forth in the Bylaws and be submitted in writing and sent to the Company’s principal executive offices at Wynn Resorts, Limited, c/o Secretary, 3131 Las Vegas Boulevard South, Las Vegas, Nevada 89109. If a shareholder complies with the forgoing notice provisions and with certain additional procedural requirements in the Bylaws and SEC rules, as applicable, the Company will have authority to vote shares under proxies we solicit when and if the nomination or proposal is raised at the Annual Meeting. The Chair of the Board may refuse to acknowledge the introduction of any shareholder nomination or proposal not made in compliance with the foregoing procedures.</w:t>
      </w:r>
    </w:p>
    <w:p>
      <w:pPr>
        <w:spacing w:after="0" w:line="183" w:lineRule="exact"/>
        <w:rPr>
          <w:sz w:val="20"/>
          <w:szCs w:val="20"/>
          <w:color w:val="auto"/>
        </w:rPr>
      </w:pPr>
    </w:p>
    <w:p>
      <w:pPr>
        <w:ind w:left="160" w:right="120"/>
        <w:spacing w:after="0" w:line="217" w:lineRule="auto"/>
        <w:rPr>
          <w:sz w:val="20"/>
          <w:szCs w:val="20"/>
          <w:color w:val="auto"/>
        </w:rPr>
      </w:pPr>
      <w:r>
        <w:rPr>
          <w:rFonts w:ascii="Arial" w:cs="Arial" w:eastAsia="Arial" w:hAnsi="Arial"/>
          <w:sz w:val="16"/>
          <w:szCs w:val="16"/>
          <w:color w:val="auto"/>
        </w:rPr>
        <w:t>In addition to satisfying the requirements under the Company’s Bylaws, including the notice deadlines set forth above and therein, to comply with the universal proxy rules, shareholders who intend to solicit proxies in support of director nominees, other than the Company’s nominees, must also comply with the additional requirements of Rule 14a-19 under the Exchange Act, which written notice must be postmarked or transmitted electronically to the Secretary at our principal executive offices at 3131 Las Vegas Boulevard South, Las Vegas, Nevada 89109, no later than March 1, 2026. However, if the date of the 2026 Annual Meeting is changed by more than 30 days from April 30, 2026, then written notice must be provided by the later of the 60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day prior to the date of the 2026 Annual Meeting and the 10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day following the day on which public announcement of the date of the 2026 Annual Meeting is first made by us.</w:t>
      </w:r>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ANNUAL REPORT</w:t>
      </w:r>
    </w:p>
    <w:p>
      <w:pPr>
        <w:spacing w:after="0" w:line="19" w:lineRule="exact"/>
        <w:rPr>
          <w:sz w:val="20"/>
          <w:szCs w:val="20"/>
          <w:color w:val="auto"/>
        </w:rPr>
      </w:pPr>
    </w:p>
    <w:p>
      <w:pPr>
        <w:ind w:left="160" w:right="200"/>
        <w:spacing w:after="0" w:line="251" w:lineRule="auto"/>
        <w:rPr>
          <w:sz w:val="20"/>
          <w:szCs w:val="20"/>
          <w:color w:val="auto"/>
        </w:rPr>
      </w:pPr>
      <w:r>
        <w:rPr>
          <w:rFonts w:ascii="Arial" w:cs="Arial" w:eastAsia="Arial" w:hAnsi="Arial"/>
          <w:sz w:val="16"/>
          <w:szCs w:val="16"/>
          <w:color w:val="auto"/>
        </w:rPr>
        <w:t>Our consolidated financial statements for the year ended December 31, 2024, are included in our 2024 Annual Report to Shareholders, which we are providing to our shareholders at the same time as this Proxy Statement. Our Annual Report and this Proxy Statement are also posted on the Internet at http://www.wynnresorts.com on the Company Information page under the “Annual Meeting” heading. If you would</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85</w:t>
      </w:r>
    </w:p>
    <w:p>
      <w:pPr>
        <w:sectPr>
          <w:pgSz w:w="11900" w:h="16838" w:orient="portrait"/>
          <w:cols w:equalWidth="0" w:num="1">
            <w:col w:w="11080"/>
          </w:cols>
          <w:pgMar w:left="320" w:top="478" w:right="4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10782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0" w:right="20"/>
        <w:spacing w:after="0" w:line="262" w:lineRule="auto"/>
        <w:rPr>
          <w:sz w:val="20"/>
          <w:szCs w:val="20"/>
          <w:color w:val="auto"/>
        </w:rPr>
      </w:pPr>
      <w:r>
        <w:rPr>
          <w:rFonts w:ascii="Arial" w:cs="Arial" w:eastAsia="Arial" w:hAnsi="Arial"/>
          <w:sz w:val="16"/>
          <w:szCs w:val="16"/>
          <w:color w:val="auto"/>
        </w:rPr>
        <w:t>like to receive a printed copy of these materials, please call our Investor Relations department at (702) 770-7555 or send a written request to the Company at Wynn Resorts, Limited, c/o Investor Relations, 3131 Las Vegas Boulevard South, Las Vegas, Nevada 89109, and we will send a copy to you without charge.</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HOUSEHOLDING</w:t>
      </w:r>
    </w:p>
    <w:p>
      <w:pPr>
        <w:spacing w:after="0" w:line="19"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color w:val="auto"/>
        </w:rPr>
        <w:t>Shareholders who are beneficial owners, but not the record holders, of the Company’s securities and share a single address may receive only one copy of the Company’s proxy materials, unless the broker, bank or other nominee delivering the materials has received contrary instructions from one or more of the shareholders. The Company will deliver promptly, upon written or oral request, a separate copy of the proxy materials to a shareholder at a shared address to which a single copy of the document was delivered. A shareholder who wishes to receive a separate copy of the proxy materials, now or in the future, should submit his or her request to the Company by telephone at (702) 770-7555 or by submitting a written request to Wynn Resorts, Limited, c/o Investor Relations, 3131 Las Vegas Boulevard South, Las Vegas, Nevada 89109. Beneficial owners sharing an address who are receiving multiple copies of the proxy materials and wish to receive a single copy of such materials in the future will need to contact their broker, bank or other nominee to request that only a single copy be mailed to all shareholders at the shared address in the future.</w:t>
      </w:r>
    </w:p>
    <w:p>
      <w:pPr>
        <w:spacing w:after="0" w:line="294" w:lineRule="exact"/>
        <w:rPr>
          <w:sz w:val="20"/>
          <w:szCs w:val="20"/>
          <w:color w:val="auto"/>
        </w:rPr>
      </w:pPr>
    </w:p>
    <w:p>
      <w:pPr>
        <w:ind w:left="160"/>
        <w:spacing w:after="0"/>
        <w:rPr>
          <w:sz w:val="20"/>
          <w:szCs w:val="20"/>
          <w:color w:val="auto"/>
        </w:rPr>
      </w:pPr>
      <w:r>
        <w:rPr>
          <w:rFonts w:ascii="Arial" w:cs="Arial" w:eastAsia="Arial" w:hAnsi="Arial"/>
          <w:sz w:val="16"/>
          <w:szCs w:val="16"/>
          <w:color w:val="140F21"/>
        </w:rPr>
        <w:t>OTHER BUSINESS</w:t>
      </w:r>
    </w:p>
    <w:p>
      <w:pPr>
        <w:spacing w:after="0" w:line="19" w:lineRule="exact"/>
        <w:rPr>
          <w:sz w:val="20"/>
          <w:szCs w:val="20"/>
          <w:color w:val="auto"/>
        </w:rPr>
      </w:pPr>
    </w:p>
    <w:p>
      <w:pPr>
        <w:jc w:val="both"/>
        <w:ind w:left="160" w:right="380"/>
        <w:spacing w:after="0" w:line="251" w:lineRule="auto"/>
        <w:rPr>
          <w:sz w:val="20"/>
          <w:szCs w:val="20"/>
          <w:color w:val="auto"/>
        </w:rPr>
      </w:pPr>
      <w:r>
        <w:rPr>
          <w:rFonts w:ascii="Arial" w:cs="Arial" w:eastAsia="Arial" w:hAnsi="Arial"/>
          <w:sz w:val="16"/>
          <w:szCs w:val="16"/>
          <w:color w:val="auto"/>
        </w:rPr>
        <w:t>The Company is not aware of any other matters to be presented at the Annual Meeting. If any other matters should properly come before the Annual Meeting, the persons named in the proxy will vote the shares represented by the executed proxies on such matters as they determine appropriate in their discretion.</w:t>
      </w:r>
    </w:p>
    <w:p>
      <w:pPr>
        <w:spacing w:after="0" w:line="112" w:lineRule="exact"/>
        <w:rPr>
          <w:sz w:val="20"/>
          <w:szCs w:val="20"/>
          <w:color w:val="auto"/>
        </w:rPr>
      </w:pPr>
    </w:p>
    <w:p>
      <w:pPr>
        <w:ind w:left="160"/>
        <w:spacing w:after="0"/>
        <w:rPr>
          <w:sz w:val="20"/>
          <w:szCs w:val="20"/>
          <w:color w:val="auto"/>
        </w:rPr>
      </w:pPr>
      <w:r>
        <w:rPr>
          <w:rFonts w:ascii="Arial" w:cs="Arial" w:eastAsia="Arial" w:hAnsi="Arial"/>
          <w:sz w:val="12"/>
          <w:szCs w:val="12"/>
          <w:color w:val="351B3D"/>
        </w:rPr>
        <w:t>86</w:t>
      </w:r>
    </w:p>
    <w:p>
      <w:pPr>
        <w:sectPr>
          <w:pgSz w:w="11900" w:h="16838" w:orient="portrait"/>
          <w:cols w:equalWidth="0" w:num="1">
            <w:col w:w="11060"/>
          </w:cols>
          <w:pgMar w:left="320" w:top="478" w:right="5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7094855" cy="9171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78"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6964045" cy="90106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64045" cy="9010650"/>
                    </a:xfrm>
                    <a:prstGeom prst="rect">
                      <a:avLst/>
                    </a:prstGeom>
                    <a:noFill/>
                  </pic:spPr>
                </pic:pic>
              </a:graphicData>
            </a:graphic>
          </wp:anchor>
        </w:drawing>
      </w:r>
    </w:p>
    <w:p>
      <w:pPr>
        <w:sectPr>
          <w:pgSz w:w="11900" w:h="16838" w:orient="portrait"/>
          <w:cols w:equalWidth="0" w:num="1">
            <w:col w:w="10139"/>
          </w:cols>
          <w:pgMar w:left="320" w:top="478"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6964045" cy="90106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64045" cy="9010650"/>
                    </a:xfrm>
                    <a:prstGeom prst="rect">
                      <a:avLst/>
                    </a:prstGeom>
                    <a:noFill/>
                  </pic:spPr>
                </pic:pic>
              </a:graphicData>
            </a:graphic>
          </wp:anchor>
        </w:drawing>
      </w:r>
    </w:p>
    <w:sectPr>
      <w:pgSz w:w="11900" w:h="16838" w:orient="portrait"/>
      <w:cols w:equalWidth="0" w:num="1">
        <w:col w:w="10139"/>
      </w:cols>
      <w:pgMar w:left="320" w:top="4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emdash "/>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1"/>
      <w:numFmt w:val="decimal"/>
      <w:start w:val="27"/>
    </w:lvl>
  </w:abstractNum>
  <w:abstractNum w:abstractNumId="11">
    <w:nsid w:val="77465F01"/>
    <w:multiLevelType w:val="hybridMultilevel"/>
    <w:lvl w:ilvl="0">
      <w:lvlJc w:val="left"/>
      <w:lvlText w:val="(%1)"/>
      <w:numFmt w:val="decimal"/>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1)"/>
      <w:numFmt w:val="decimal"/>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1)"/>
      <w:numFmt w:val="decimal"/>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1)"/>
      <w:numFmt w:val="decimal"/>
      <w:start w:val="1"/>
    </w:lvl>
  </w:abstractNum>
  <w:abstractNum w:abstractNumId="23">
    <w:nsid w:val="2A487CB0"/>
    <w:multiLevelType w:val="hybridMultilevel"/>
    <w:lvl w:ilvl="0">
      <w:lvlJc w:val="left"/>
      <w:lvlText w:val="(%1)"/>
      <w:numFmt w:val="decimal"/>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1)"/>
      <w:numFmt w:val="decimal"/>
      <w:start w:val="1"/>
    </w:lvl>
  </w:abstractNum>
  <w:abstractNum w:abstractNumId="27">
    <w:nsid w:val="57E4CCAF"/>
    <w:multiLevelType w:val="hybridMultilevel"/>
    <w:lvl w:ilvl="0">
      <w:lvlJc w:val="left"/>
      <w:lvlText w:val="(%1)"/>
      <w:numFmt w:val="decimal"/>
      <w:start w:val="1"/>
    </w:lvl>
  </w:abstractNum>
  <w:abstractNum w:abstractNumId="28">
    <w:nsid w:val="7A6D8D3C"/>
    <w:multiLevelType w:val="hybridMultilevel"/>
    <w:lvl w:ilvl="0">
      <w:lvlJc w:val="left"/>
      <w:lvlText w:val="(%1)"/>
      <w:numFmt w:val="decimal"/>
      <w:start w:val="1"/>
    </w:lvl>
  </w:abstractNum>
  <w:abstractNum w:abstractNumId="29">
    <w:nsid w:val="4B588F54"/>
    <w:multiLevelType w:val="hybridMultilevel"/>
    <w:lvl w:ilvl="0">
      <w:lvlJc w:val="left"/>
      <w:lvlText w:val="(%1)"/>
      <w:numFmt w:val="decimal"/>
      <w:start w:val="1"/>
    </w:lvl>
  </w:abstractNum>
  <w:abstractNum w:abstractNumId="30">
    <w:nsid w:val="542289EC"/>
    <w:multiLevelType w:val="hybridMultilevel"/>
    <w:lvl w:ilvl="0">
      <w:lvlJc w:val="left"/>
      <w:lvlText w:val="%1."/>
      <w:numFmt w:val="decimal"/>
      <w:start w:val="1"/>
    </w:lvl>
  </w:abstractNum>
  <w:abstractNum w:abstractNumId="31">
    <w:nsid w:val="6DE91B18"/>
    <w:multiLevelType w:val="hybridMultilevel"/>
    <w:lvl w:ilvl="0">
      <w:lvlJc w:val="left"/>
      <w:lvlText w:val="%1."/>
      <w:numFmt w:val="decimal"/>
      <w:start w:val="4"/>
    </w:lvl>
  </w:abstractNum>
  <w:abstractNum w:abstractNumId="32">
    <w:nsid w:val="38437FDB"/>
    <w:multiLevelType w:val="hybridMultilevel"/>
    <w:lvl w:ilvl="0">
      <w:lvlJc w:val="left"/>
      <w:lvlText w:val="(%1)"/>
      <w:numFmt w:val="decimal"/>
      <w:start w:val="1"/>
    </w:lvl>
  </w:abstractNum>
  <w:abstractNum w:abstractNumId="33">
    <w:nsid w:val="7644A45C"/>
    <w:multiLevelType w:val="hybridMultilevel"/>
    <w:lvl w:ilvl="0">
      <w:lvlJc w:val="left"/>
      <w:lvlText w:val="%1."/>
      <w:numFmt w:val="decimal"/>
      <w:start w:val="1"/>
    </w:lvl>
  </w:abstractNum>
  <w:abstractNum w:abstractNumId="34">
    <w:nsid w:val="32FFF902"/>
    <w:multiLevelType w:val="hybridMultilevel"/>
    <w:lvl w:ilvl="0">
      <w:lvlJc w:val="left"/>
      <w:lvlText w:val="(%1)"/>
      <w:numFmt w:val="decimal"/>
      <w:start w:val="1"/>
    </w:lvl>
  </w:abstractNum>
  <w:abstractNum w:abstractNumId="35">
    <w:nsid w:val="684A481A"/>
    <w:multiLevelType w:val="hybridMultilevel"/>
    <w:lvl w:ilvl="0">
      <w:lvlJc w:val="left"/>
      <w:lvlText w:val="(%1)"/>
      <w:numFmt w:val="decimal"/>
      <w:start w:val="3"/>
    </w:lvl>
  </w:abstractNum>
  <w:abstractNum w:abstractNumId="36">
    <w:nsid w:val="579478FE"/>
    <w:multiLevelType w:val="hybridMultilevel"/>
    <w:lvl w:ilvl="0">
      <w:lvlJc w:val="left"/>
      <w:lvlText w:val="(%1)"/>
      <w:numFmt w:val="decimal"/>
      <w:start w:val="1"/>
    </w:lvl>
  </w:abstractNum>
  <w:abstractNum w:abstractNumId="37">
    <w:nsid w:val="749ABB43"/>
    <w:multiLevelType w:val="hybridMultilevel"/>
    <w:lvl w:ilvl="0">
      <w:lvlJc w:val="left"/>
      <w:lvlText w:val="(%1)"/>
      <w:numFmt w:val="decimal"/>
      <w:start w:val="2"/>
    </w:lvl>
  </w:abstractNum>
  <w:abstractNum w:abstractNumId="38">
    <w:nsid w:val="3DC240FB"/>
    <w:multiLevelType w:val="hybridMultilevel"/>
    <w:lvl w:ilvl="0">
      <w:lvlJc w:val="left"/>
      <w:lvlText w:val=" "/>
      <w:numFmt w:val="bullet"/>
      <w:start w:val="1"/>
    </w:lvl>
  </w:abstractNum>
  <w:abstractNum w:abstractNumId="39">
    <w:nsid w:val="1BA026FA"/>
    <w:multiLevelType w:val="hybridMultilevel"/>
    <w:lvl w:ilvl="0">
      <w:lvlJc w:val="left"/>
      <w:lvlText w:val="(%1)"/>
      <w:numFmt w:val="decimal"/>
      <w:start w:val="5"/>
    </w:lvl>
  </w:abstractNum>
  <w:abstractNum w:abstractNumId="40">
    <w:nsid w:val="79A1DEAA"/>
    <w:multiLevelType w:val="hybridMultilevel"/>
    <w:lvl w:ilvl="0">
      <w:lvlJc w:val="left"/>
      <w:lvlText w:val="(%1)"/>
      <w:numFmt w:val="decimal"/>
      <w:start w:val="1"/>
    </w:lvl>
  </w:abstractNum>
  <w:abstractNum w:abstractNumId="41">
    <w:nsid w:val="75C6C33A"/>
    <w:multiLevelType w:val="hybridMultilevel"/>
    <w:lvl w:ilvl="0">
      <w:lvlJc w:val="left"/>
      <w:lvlText w:val="(%1)"/>
      <w:numFmt w:val="decimal"/>
      <w:start w:val="5"/>
    </w:lvl>
  </w:abstractNum>
  <w:abstractNum w:abstractNumId="42">
    <w:nsid w:val="12E685FB"/>
    <w:multiLevelType w:val="hybridMultilevel"/>
    <w:lvl w:ilvl="0">
      <w:lvlJc w:val="left"/>
      <w:lvlText w:val="(%1)"/>
      <w:numFmt w:val="decimal"/>
      <w:start w:val="1"/>
    </w:lvl>
  </w:abstractNum>
  <w:abstractNum w:abstractNumId="43">
    <w:nsid w:val="70C6A529"/>
    <w:multiLevelType w:val="hybridMultilevel"/>
    <w:lvl w:ilvl="0">
      <w:lvlJc w:val="left"/>
      <w:lvlText w:val="(%1)"/>
      <w:numFmt w:val="decimal"/>
      <w:start w:val="14"/>
    </w:lvl>
  </w:abstractNum>
  <w:abstractNum w:abstractNumId="44">
    <w:nsid w:val="520EEDD1"/>
    <w:multiLevelType w:val="hybridMultilevel"/>
    <w:lvl w:ilvl="0">
      <w:lvlJc w:val="left"/>
      <w:lvlText w:val="(%1)"/>
      <w:numFmt w:val="decimal"/>
      <w:start w:val="1"/>
    </w:lvl>
  </w:abstractNum>
  <w:abstractNum w:abstractNumId="45">
    <w:nsid w:val="374A3FE6"/>
    <w:multiLevelType w:val="hybridMultilevel"/>
    <w:lvl w:ilvl="0">
      <w:lvlJc w:val="left"/>
      <w:lvlText w:val="(%1)"/>
      <w:numFmt w:val="lowerRoman"/>
      <w:start w:val="2"/>
    </w:lvl>
  </w:abstractNum>
  <w:abstractNum w:abstractNumId="46">
    <w:nsid w:val="4F4EF005"/>
    <w:multiLevelType w:val="hybridMultilevel"/>
    <w:lvl w:ilvl="0">
      <w:lvlJc w:val="left"/>
      <w:lvlText w:val="(%1)"/>
      <w:numFmt w:val="lowerRoman"/>
      <w:start w:val="1"/>
    </w:lvl>
  </w:abstractNum>
  <w:abstractNum w:abstractNumId="47">
    <w:nsid w:val="23F9C13C"/>
    <w:multiLevelType w:val="hybridMultilevel"/>
    <w:lvl w:ilvl="0">
      <w:lvlJc w:val="left"/>
      <w:lvlText w:val="(%1)"/>
      <w:numFmt w:val="lowerRoman"/>
      <w:start w:val="4"/>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1)"/>
      <w:numFmt w:val="decimal"/>
      <w:start w:val="1"/>
    </w:lvl>
  </w:abstractNum>
  <w:abstractNum w:abstractNumId="50">
    <w:nsid w:val="39386575"/>
    <w:multiLevelType w:val="hybridMultilevel"/>
    <w:lvl w:ilvl="0">
      <w:lvlJc w:val="left"/>
      <w:lvlText w:val="(%1)"/>
      <w:numFmt w:val="decimal"/>
      <w:start w:val="1"/>
    </w:lvl>
  </w:abstractNum>
  <w:abstractNum w:abstractNumId="51">
    <w:nsid w:val="1CF10FD8"/>
    <w:multiLevelType w:val="hybridMultilevel"/>
    <w:lvl w:ilvl="0">
      <w:lvlJc w:val="left"/>
      <w:lvlText w:val="(%1)"/>
      <w:numFmt w:val="decimal"/>
      <w:start w:val="1"/>
    </w:lvl>
  </w:abstractNum>
  <w:abstractNum w:abstractNumId="52">
    <w:nsid w:val="180115BE"/>
    <w:multiLevelType w:val="hybridMultilevel"/>
    <w:lvl w:ilvl="0">
      <w:lvlJc w:val="left"/>
      <w:lvlText w:val="(%1)"/>
      <w:numFmt w:val="lowerLetter"/>
      <w:start w:val="3"/>
    </w:lvl>
  </w:abstractNum>
  <w:abstractNum w:abstractNumId="53">
    <w:nsid w:val="235BA861"/>
    <w:multiLevelType w:val="hybridMultilevel"/>
    <w:lvl w:ilvl="0">
      <w:lvlJc w:val="left"/>
      <w:lvlText w:val="(%1)"/>
      <w:numFmt w:val="decimal"/>
      <w:start w:val="1"/>
    </w:lvl>
  </w:abstractNum>
  <w:abstractNum w:abstractNumId="54">
    <w:nsid w:val="47398C89"/>
    <w:multiLevelType w:val="hybridMultilevel"/>
    <w:lvl w:ilvl="0">
      <w:lvlJc w:val="left"/>
      <w:lvlText w:val="(%1)"/>
      <w:numFmt w:val="decimal"/>
      <w:start w:val="9"/>
    </w:lvl>
  </w:abstractNum>
  <w:abstractNum w:abstractNumId="55">
    <w:nsid w:val="354FE9F9"/>
    <w:multiLevelType w:val="hybridMultilevel"/>
    <w:lvl w:ilvl="0">
      <w:lvlJc w:val="left"/>
      <w:lvlText w:val="(%1)"/>
      <w:numFmt w:val="decimal"/>
      <w:start w:val="1"/>
    </w:lvl>
  </w:abstractNum>
  <w:abstractNum w:abstractNumId="56">
    <w:nsid w:val="15B5AF5C"/>
    <w:multiLevelType w:val="hybridMultilevel"/>
    <w:lvl w:ilvl="0">
      <w:lvlJc w:val="left"/>
      <w:lvlText w:val="(%1)"/>
      <w:numFmt w:val="decimal"/>
      <w:start w:val="1"/>
    </w:lvl>
  </w:abstractNum>
  <w:abstractNum w:abstractNumId="57">
    <w:nsid w:val="741226BB"/>
    <w:multiLevelType w:val="hybridMultilevel"/>
    <w:lvl w:ilvl="0">
      <w:lvlJc w:val="left"/>
      <w:lvlText w:val="(%1)"/>
      <w:numFmt w:val="decimal"/>
      <w:start w:val="16"/>
    </w:lvl>
  </w:abstractNum>
  <w:abstractNum w:abstractNumId="58">
    <w:nsid w:val="D34B6A8"/>
    <w:multiLevelType w:val="hybridMultilevel"/>
    <w:lvl w:ilvl="0">
      <w:lvlJc w:val="left"/>
      <w:lvlText w:val="-"/>
      <w:numFmt w:val="bullet"/>
      <w:start w:val="1"/>
    </w:lvl>
  </w:abstractNum>
  <w:abstractNum w:abstractNumId="59">
    <w:nsid w:val="10233C99"/>
    <w:multiLevelType w:val="hybridMultilevel"/>
    <w:lvl w:ilvl="0">
      <w:lvlJc w:val="left"/>
      <w:lvlText w:val="•"/>
      <w:numFmt w:val="bullet"/>
      <w:start w:val="1"/>
    </w:lvl>
  </w:abstractNum>
  <w:abstractNum w:abstractNumId="60">
    <w:nsid w:val="3F6AB60F"/>
    <w:multiLevelType w:val="hybridMultilevel"/>
    <w:lvl w:ilvl="0">
      <w:lvlJc w:val="left"/>
      <w:lvlText w:val="•"/>
      <w:numFmt w:val="bullet"/>
      <w:start w:val="1"/>
    </w:lvl>
  </w:abstractNum>
  <w:abstractNum w:abstractNumId="61">
    <w:nsid w:val="61574095"/>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2025-03-19T15:19:47Z</dcterms:created>
  <dcterms:modified xsi:type="dcterms:W3CDTF">2025-03-19T15:19:47Z</dcterms:modified>
</cp:coreProperties>
</file>