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41"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2840" w:space="580"/>
            <w:col w:w="80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0"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5" w:lineRule="exact"/>
        <w:rPr>
          <w:sz w:val="24"/>
          <w:szCs w:val="24"/>
          <w:color w:val="auto"/>
        </w:rPr>
      </w:pPr>
    </w:p>
    <w:p>
      <w:pPr>
        <w:sectPr>
          <w:pgSz w:w="11900" w:h="16838" w:orient="portrait"/>
          <w:cols w:equalWidth="0" w:num="2">
            <w:col w:w="7600" w:space="720"/>
            <w:col w:w="3100"/>
          </w:cols>
          <w:pgMar w:left="240" w:top="230" w:right="239" w:bottom="1440" w:gutter="0" w:footer="0" w:header="0"/>
          <w:type w:val="continuous"/>
        </w:sect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3131 Las Vegas Boulevard South - Las Vegas, Nevada 89109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6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1860"/>
        <w:spacing w:after="0" w:line="207" w:lineRule="exact"/>
        <w:tabs>
          <w:tab w:leader="none" w:pos="35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r>
        <w:rPr>
          <w:rFonts w:ascii="MS PGothic" w:cs="MS PGothic" w:eastAsia="MS PGothic" w:hAnsi="MS PGothic"/>
          <w:sz w:val="16"/>
          <w:szCs w:val="16"/>
          <w:color w:val="auto"/>
        </w:rPr>
        <w:t xml:space="preserve"> ☐  </w:t>
      </w:r>
      <w:r>
        <w:rPr>
          <w:rFonts w:ascii="Arial" w:cs="Arial" w:eastAsia="Arial" w:hAnsi="Arial"/>
          <w:sz w:val="16"/>
          <w:szCs w:val="16"/>
          <w:color w:val="auto"/>
        </w:rPr>
        <w:t>Non-accelerated filer</w:t>
      </w:r>
      <w:r>
        <w:rPr>
          <w:rFonts w:ascii="MS PGothic" w:cs="MS PGothic" w:eastAsia="MS PGothic" w:hAnsi="MS PGothic"/>
          <w:sz w:val="16"/>
          <w:szCs w:val="16"/>
          <w:color w:val="auto"/>
        </w:rPr>
        <w:t xml:space="preserve"> ☐  </w:t>
      </w:r>
      <w:r>
        <w:rPr>
          <w:rFonts w:ascii="Arial" w:cs="Arial" w:eastAsia="Arial" w:hAnsi="Arial"/>
          <w:sz w:val="16"/>
          <w:szCs w:val="16"/>
          <w:color w:val="auto"/>
        </w:rPr>
        <w:t>Smaller reporting company</w:t>
      </w:r>
      <w:r>
        <w:rPr>
          <w:rFonts w:ascii="MS PGothic" w:cs="MS PGothic" w:eastAsia="MS PGothic" w:hAnsi="MS PGothic"/>
          <w:sz w:val="16"/>
          <w:szCs w:val="16"/>
          <w:color w:val="auto"/>
        </w:rPr>
        <w:t xml:space="preserve"> ☐</w:t>
      </w:r>
    </w:p>
    <w:p>
      <w:pPr>
        <w:spacing w:after="0" w:line="178"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476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 at October 31, 2008</w:t>
            </w:r>
          </w:p>
        </w:tc>
        <w:tc>
          <w:tcPr>
            <w:tcW w:w="1680" w:type="dxa"/>
            <w:vAlign w:val="bottom"/>
          </w:tcPr>
          <w:p>
            <w:pPr>
              <w:spacing w:after="0"/>
              <w:rPr>
                <w:sz w:val="14"/>
                <w:szCs w:val="14"/>
                <w:color w:val="auto"/>
              </w:rPr>
            </w:pPr>
          </w:p>
        </w:tc>
      </w:tr>
      <w:tr>
        <w:trPr>
          <w:trHeight w:val="216"/>
        </w:trPr>
        <w:tc>
          <w:tcPr>
            <w:tcW w:w="2980" w:type="dxa"/>
            <w:vAlign w:val="bottom"/>
            <w:gridSpan w:val="2"/>
          </w:tcPr>
          <w:p>
            <w:pPr>
              <w:ind w:left="1680"/>
              <w:spacing w:after="0"/>
              <w:rPr>
                <w:sz w:val="20"/>
                <w:szCs w:val="20"/>
                <w:color w:val="auto"/>
              </w:rPr>
            </w:pPr>
            <w:r>
              <w:rPr>
                <w:rFonts w:ascii="Arial" w:cs="Arial" w:eastAsia="Arial" w:hAnsi="Arial"/>
                <w:sz w:val="18"/>
                <w:szCs w:val="18"/>
                <w:color w:val="auto"/>
                <w:w w:val="91"/>
              </w:rPr>
              <w:t>Common stock, $</w:t>
            </w:r>
          </w:p>
        </w:tc>
        <w:tc>
          <w:tcPr>
            <w:tcW w:w="4760" w:type="dxa"/>
            <w:vAlign w:val="bottom"/>
          </w:tcPr>
          <w:p>
            <w:pPr>
              <w:spacing w:after="0"/>
              <w:rPr>
                <w:sz w:val="20"/>
                <w:szCs w:val="20"/>
                <w:color w:val="auto"/>
              </w:rPr>
            </w:pPr>
            <w:r>
              <w:rPr>
                <w:rFonts w:ascii="Arial" w:cs="Arial" w:eastAsia="Arial" w:hAnsi="Arial"/>
                <w:sz w:val="18"/>
                <w:szCs w:val="18"/>
                <w:color w:val="auto"/>
              </w:rPr>
              <w:t>0.01 par value</w:t>
            </w:r>
          </w:p>
        </w:tc>
        <w:tc>
          <w:tcPr>
            <w:tcW w:w="2000" w:type="dxa"/>
            <w:vAlign w:val="bottom"/>
          </w:tcPr>
          <w:p>
            <w:pPr>
              <w:jc w:val="right"/>
              <w:ind w:right="482"/>
              <w:spacing w:after="0"/>
              <w:rPr>
                <w:sz w:val="20"/>
                <w:szCs w:val="20"/>
                <w:color w:val="auto"/>
              </w:rPr>
            </w:pPr>
            <w:r>
              <w:rPr>
                <w:rFonts w:ascii="Arial" w:cs="Arial" w:eastAsia="Arial" w:hAnsi="Arial"/>
                <w:sz w:val="18"/>
                <w:szCs w:val="18"/>
                <w:color w:val="auto"/>
              </w:rPr>
              <w:t>104,012,540</w:t>
            </w:r>
          </w:p>
        </w:tc>
        <w:tc>
          <w:tcPr>
            <w:tcW w:w="1680" w:type="dxa"/>
            <w:vAlign w:val="bottom"/>
          </w:tcPr>
          <w:p>
            <w:pPr>
              <w:spacing w:after="0"/>
              <w:rPr>
                <w:sz w:val="18"/>
                <w:szCs w:val="18"/>
                <w:color w:val="auto"/>
              </w:rPr>
            </w:pPr>
          </w:p>
        </w:tc>
      </w:tr>
      <w:tr>
        <w:trPr>
          <w:trHeight w:val="129"/>
        </w:trPr>
        <w:tc>
          <w:tcPr>
            <w:tcW w:w="26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7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620" w:type="dxa"/>
            <w:vAlign w:val="bottom"/>
            <w:gridSpan w:val="9"/>
          </w:tcPr>
          <w:p>
            <w:pPr>
              <w:spacing w:after="0"/>
              <w:rPr>
                <w:sz w:val="20"/>
                <w:szCs w:val="20"/>
                <w:color w:val="auto"/>
              </w:rPr>
            </w:pPr>
            <w:r>
              <w:rPr>
                <w:rFonts w:ascii="Arial" w:cs="Arial" w:eastAsia="Arial" w:hAnsi="Arial"/>
                <w:sz w:val="18"/>
                <w:szCs w:val="18"/>
                <w:b w:val="1"/>
                <w:bCs w:val="1"/>
                <w:color w:val="auto"/>
              </w:rPr>
              <w:t>Financial Information</w:t>
            </w:r>
          </w:p>
        </w:tc>
        <w:tc>
          <w:tcPr>
            <w:tcW w:w="780" w:type="dxa"/>
            <w:vAlign w:val="bottom"/>
          </w:tcPr>
          <w:p>
            <w:pPr>
              <w:spacing w:after="0"/>
              <w:rPr>
                <w:sz w:val="19"/>
                <w:szCs w:val="19"/>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62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780" w:type="dxa"/>
            <w:vAlign w:val="bottom"/>
          </w:tcPr>
          <w:p>
            <w:pPr>
              <w:spacing w:after="0"/>
              <w:rPr>
                <w:sz w:val="24"/>
                <w:szCs w:val="24"/>
                <w:color w:val="auto"/>
              </w:rPr>
            </w:pPr>
          </w:p>
        </w:tc>
      </w:tr>
      <w:tr>
        <w:trPr>
          <w:trHeight w:val="286"/>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2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Sheets—September 30, 2008 (unaudited) and December 31, 2007</w:t>
              </w:r>
            </w:hyperlink>
          </w:p>
        </w:tc>
        <w:tc>
          <w:tcPr>
            <w:tcW w:w="216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80" w:type="dxa"/>
            <w:vAlign w:val="bottom"/>
            <w:gridSpan w:val="8"/>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Income (unaudited)—Three and nine months ended September 30, 2008 and 2007</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(unaudited)—Nine months ended September 30, 2008 and 2007</w:t>
              </w:r>
            </w:hyperlink>
          </w:p>
        </w:tc>
        <w:tc>
          <w:tcPr>
            <w:tcW w:w="40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8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620" w:type="dxa"/>
            <w:vAlign w:val="bottom"/>
            <w:gridSpan w:val="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32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620" w:type="dxa"/>
            <w:vAlign w:val="bottom"/>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Other Information</w:t>
            </w:r>
          </w:p>
        </w:tc>
        <w:tc>
          <w:tcPr>
            <w:tcW w:w="5960" w:type="dxa"/>
            <w:vAlign w:val="bottom"/>
          </w:tcPr>
          <w:p>
            <w:pPr>
              <w:spacing w:after="0"/>
              <w:rPr>
                <w:sz w:val="19"/>
                <w:szCs w:val="19"/>
                <w:color w:val="auto"/>
              </w:rPr>
            </w:pPr>
          </w:p>
        </w:tc>
      </w:tr>
      <w:tr>
        <w:trPr>
          <w:trHeight w:val="286"/>
        </w:trPr>
        <w:tc>
          <w:tcPr>
            <w:tcW w:w="1020" w:type="dxa"/>
            <w:vAlign w:val="bottom"/>
            <w:gridSpan w:val="2"/>
          </w:tcPr>
          <w:p>
            <w:pPr>
              <w:spacing w:after="0"/>
              <w:rPr>
                <w:sz w:val="20"/>
                <w:szCs w:val="20"/>
                <w:color w:val="auto"/>
              </w:rPr>
            </w:pPr>
            <w:r>
              <w:rPr>
                <w:rFonts w:ascii="Arial" w:cs="Arial" w:eastAsia="Arial" w:hAnsi="Arial"/>
                <w:sz w:val="18"/>
                <w:szCs w:val="18"/>
                <w:color w:val="auto"/>
              </w:rPr>
              <w:t>Item IA.</w:t>
            </w:r>
          </w:p>
        </w:tc>
        <w:tc>
          <w:tcPr>
            <w:tcW w:w="444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40" w:type="dxa"/>
            <w:vAlign w:val="bottom"/>
            <w:gridSpan w:val="4"/>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Unregistered Sales of Equity Securities and Use of Proceeds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020" w:type="dxa"/>
            <w:vAlign w:val="bottom"/>
            <w:gridSpan w:val="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83"/>
        </w:trPr>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(unaudited)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ind w:left="3900"/>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1,713,669</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1,275,120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138,858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179,059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29,775</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1,979,930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1,581,991</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4,702,986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3,939,979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74,219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83,087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309,917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133,953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97,531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7,287,502</w:t>
            </w:r>
          </w:p>
        </w:tc>
        <w:tc>
          <w:tcPr>
            <w:tcW w:w="340" w:type="dxa"/>
            <w:vAlign w:val="bottom"/>
          </w:tcPr>
          <w:p>
            <w:pPr>
              <w:spacing w:after="0"/>
              <w:rPr>
                <w:sz w:val="19"/>
                <w:szCs w:val="19"/>
                <w:color w:val="auto"/>
              </w:rPr>
            </w:pPr>
          </w:p>
        </w:tc>
        <w:tc>
          <w:tcPr>
            <w:tcW w:w="380" w:type="dxa"/>
            <w:vAlign w:val="bottom"/>
            <w:gridSpan w:val="2"/>
          </w:tcPr>
          <w:p>
            <w:pPr>
              <w:ind w:left="30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6,299,282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60" w:type="dxa"/>
            <w:vAlign w:val="bottom"/>
            <w:shd w:val="clear" w:color="auto" w:fill="CCEEFF"/>
          </w:tcPr>
          <w:p>
            <w:pPr>
              <w:ind w:left="23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179,162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182,718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80,743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93,097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83,651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15,022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18,367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related liabilities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169,252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278,370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retention</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71,232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16,755</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928,777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585,183</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4,914,691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3,533,339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38,324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Long-term land concession obligation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152,953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Construction retention</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34,284</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5,886,340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4,351,123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3"/>
        </w:trPr>
        <w:tc>
          <w:tcPr>
            <w:tcW w:w="90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Common stock, par value $0.01; 400,000,000 shares authorized;</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116,812,994 and 116,259,411 shares issued;</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104,008,040 and 114,370,090 shares outstanding</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1,162</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12,804,954 and 1,889,321 shares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(1,119,407)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(179,277)</w:t>
            </w: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2,290,331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2,273,078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(2,905)</w:t>
            </w: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Accumulated earnings (deficit)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226,969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(143,899)</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1,401,162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1,948,159</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7,287,502</w:t>
            </w:r>
          </w:p>
        </w:tc>
        <w:tc>
          <w:tcPr>
            <w:tcW w:w="340" w:type="dxa"/>
            <w:vAlign w:val="bottom"/>
          </w:tcPr>
          <w:p>
            <w:pPr>
              <w:spacing w:after="0"/>
              <w:rPr>
                <w:sz w:val="19"/>
                <w:szCs w:val="19"/>
                <w:color w:val="auto"/>
              </w:rPr>
            </w:pPr>
          </w:p>
        </w:tc>
        <w:tc>
          <w:tcPr>
            <w:tcW w:w="380" w:type="dxa"/>
            <w:vAlign w:val="bottom"/>
            <w:gridSpan w:val="2"/>
          </w:tcPr>
          <w:p>
            <w:pPr>
              <w:ind w:left="30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6,299,282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Casino</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590,576</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476,785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1,805,984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1,425,802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81,631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87,607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82,451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275,627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262,560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61,237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827,092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702,104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2,543,705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2,119,184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(57,906)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(48,718)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(170,656)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(142,940)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769,186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653,386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2,373,049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1,976,244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7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Casino</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377,322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286,434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1,165,647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840,827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52,607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51,463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159,403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160,671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85,371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77,904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249,606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230,364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13,911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25,096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691,427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567,518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2,060,336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1,657,011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86,296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(40,263)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(34,743)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(126,513)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(107,876)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(43,925)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(32,173)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(103,973)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(81,096)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54,123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Benefit (provision) for income taxes</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(9,383)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159,699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(46,837)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369,840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per common share:</w:t>
            </w: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60"/>
              <w:spacing w:after="0"/>
              <w:rPr>
                <w:sz w:val="20"/>
                <w:szCs w:val="20"/>
                <w:color w:val="auto"/>
              </w:rPr>
            </w:pPr>
            <w:r>
              <w:rPr>
                <w:rFonts w:ascii="Arial" w:cs="Arial" w:eastAsia="Arial" w:hAnsi="Arial"/>
                <w:sz w:val="18"/>
                <w:szCs w:val="18"/>
                <w:color w:val="auto"/>
              </w:rPr>
              <w:t>Basic</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103,266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107,632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104,270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110,881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110,106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111,783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369,840</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$ 192,695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192,055</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159,427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5"/>
              </w:rPr>
              <w:t>(160,012)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13,990</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49,012</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31,188</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8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(5,119)</w:t>
            </w:r>
          </w:p>
        </w:tc>
        <w:tc>
          <w:tcPr>
            <w:tcW w:w="740" w:type="dxa"/>
            <w:vAlign w:val="bottom"/>
          </w:tcPr>
          <w:p>
            <w:pPr>
              <w:jc w:val="right"/>
              <w:spacing w:after="0"/>
              <w:rPr>
                <w:sz w:val="20"/>
                <w:szCs w:val="20"/>
                <w:color w:val="auto"/>
              </w:rPr>
            </w:pPr>
            <w:r>
              <w:rPr>
                <w:rFonts w:ascii="Arial" w:cs="Arial" w:eastAsia="Arial" w:hAnsi="Arial"/>
                <w:sz w:val="18"/>
                <w:szCs w:val="18"/>
                <w:color w:val="auto"/>
              </w:rPr>
              <w:t>2,348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cash from changes in:</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(8,654)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(24,801)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15,098</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488,775</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5"/>
              </w:rPr>
              <w:t>(943,407)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(574)</w:t>
            </w:r>
          </w:p>
        </w:tc>
        <w:tc>
          <w:tcPr>
            <w:tcW w:w="740" w:type="dxa"/>
            <w:vAlign w:val="bottom"/>
          </w:tcPr>
          <w:p>
            <w:pPr>
              <w:jc w:val="right"/>
              <w:spacing w:after="0"/>
              <w:rPr>
                <w:sz w:val="20"/>
                <w:szCs w:val="20"/>
                <w:color w:val="auto"/>
              </w:rPr>
            </w:pPr>
            <w:r>
              <w:rPr>
                <w:rFonts w:ascii="Arial" w:cs="Arial" w:eastAsia="Arial" w:hAnsi="Arial"/>
                <w:sz w:val="18"/>
                <w:szCs w:val="18"/>
                <w:color w:val="auto"/>
              </w:rPr>
              <w:t>190,575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purchase of other assets</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(44,071)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4,273</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5"/>
              </w:rPr>
              <w:t>(983,779)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(550,721)</w:t>
            </w: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1,379,808</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Cash and investments restricted for stock repurchases</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500,068</w:t>
            </w:r>
          </w:p>
        </w:tc>
        <w:tc>
          <w:tcPr>
            <w:tcW w:w="5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5"/>
              </w:rPr>
              <w:t>(940,130)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8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(5,744)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to settle swap</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(2,193)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Payment of deferred financing costs and other</w:t>
            </w:r>
          </w:p>
        </w:tc>
        <w:tc>
          <w:tcPr>
            <w:tcW w:w="8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(3,979)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(14,877)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927,694</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on cash</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5,859</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438,549</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1,275,120</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vMerge w:val="restart"/>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vMerge w:val="continue"/>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1,713,669</w:t>
            </w:r>
          </w:p>
        </w:tc>
        <w:tc>
          <w:tcPr>
            <w:tcW w:w="5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$ 829,060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 currently owns and operates two casino hotel resort properties, Wynn Las Vegas, which opened on April 28, 2005 and Wynn Macau, which opened on September 6, 2006. In addition, the Company is constructing Encore at Wynn Las Vegas and Encore at Wynn Macau (previously known as Wynn Diamond). Encore at Wynn Las Vegas is expected to open in December 2008. Encore at Wynn Macau is expected to open in the first quarter of 2010.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2008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2007.</w:t>
      </w:r>
    </w:p>
    <w:p>
      <w:pPr>
        <w:spacing w:after="0" w:line="193" w:lineRule="exact"/>
        <w:rPr>
          <w:sz w:val="20"/>
          <w:szCs w:val="20"/>
          <w:color w:val="auto"/>
        </w:rPr>
      </w:pPr>
    </w:p>
    <w:p>
      <w:pPr>
        <w:ind w:left="240" w:right="7920" w:hanging="232"/>
        <w:spacing w:after="0" w:line="417" w:lineRule="auto"/>
        <w:tabs>
          <w:tab w:leader="none" w:pos="18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September 30, 2008 and December 31, 2007, approximately 67% and 65%,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certain commissions and points earned in customer loyalty programs, such as the players’ club loyalty program.</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89"/>
              </w:rPr>
              <w:t>Three Months Ended</w:t>
            </w:r>
          </w:p>
        </w:tc>
        <w:tc>
          <w:tcPr>
            <w:tcW w:w="340" w:type="dxa"/>
            <w:vAlign w:val="bottom"/>
          </w:tcPr>
          <w:p>
            <w:pPr>
              <w:spacing w:after="0"/>
              <w:rPr>
                <w:sz w:val="14"/>
                <w:szCs w:val="14"/>
                <w:color w:val="auto"/>
              </w:rPr>
            </w:pPr>
          </w:p>
        </w:tc>
        <w:tc>
          <w:tcPr>
            <w:tcW w:w="15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9"/>
              </w:rPr>
              <w:t>Nine Months Ended</w:t>
            </w:r>
          </w:p>
        </w:tc>
      </w:tr>
      <w:tr>
        <w:trPr>
          <w:trHeight w:val="161"/>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5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8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2008</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2007</w:t>
            </w:r>
          </w:p>
        </w:tc>
        <w:tc>
          <w:tcPr>
            <w:tcW w:w="3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$22,655</w:t>
            </w:r>
          </w:p>
        </w:tc>
        <w:tc>
          <w:tcPr>
            <w:tcW w:w="20" w:type="dxa"/>
            <w:vAlign w:val="bottom"/>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19,450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16,778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59,163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50,132</w:t>
            </w:r>
          </w:p>
        </w:tc>
        <w:tc>
          <w:tcPr>
            <w:tcW w:w="2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20" w:type="dxa"/>
            <w:vAlign w:val="bottom"/>
          </w:tcPr>
          <w:p>
            <w:pPr>
              <w:spacing w:after="0"/>
              <w:rPr>
                <w:sz w:val="18"/>
                <w:szCs w:val="18"/>
                <w:color w:val="auto"/>
              </w:rPr>
            </w:pPr>
          </w:p>
        </w:tc>
      </w:tr>
      <w:tr>
        <w:trPr>
          <w:trHeight w:val="222"/>
        </w:trPr>
        <w:tc>
          <w:tcPr>
            <w:tcW w:w="808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31,900</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27,257</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93,521</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79,456</w:t>
            </w:r>
          </w:p>
        </w:tc>
      </w:tr>
      <w:tr>
        <w:trPr>
          <w:trHeight w:val="20"/>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expenses advertising costs the first time the advertising takes place. Advertising costs incurred during development periods are included in pre-opening costs. Once a project is complete, advertising costs are included in general and administrative expenses. For the three months ended September 30, 2008 and 2007, advertising costs totaled approximately $4.5 million and $4.1 million, respectively. For the nine months ended September 30, 2008 and 2007, advertising costs totaled approximately $18.2 million and $17.7 million,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2007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income.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September 2006, the Financial Accounting Standards Board (the “FASB”) issued Statement of Financial Accounting Standards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 recognized or disclosed at fair value in the entity’s financial statements on a recurring basis to fiscal years beginning after November 15, 2008 and interim periods within those fiscal years. The Company partially adopted the provisions of SFAS 157 effective January 1, 2008 and expects to adopt the remaining provisions of SFAS 157 on January 1, 2009. The partial adoption of this statement did not have a material impact the Company’s consolidated financial statements.</w:t>
      </w:r>
    </w:p>
    <w:p>
      <w:pPr>
        <w:spacing w:after="0" w:line="118"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this statement on January 1, 2008, did not have a material impact on the Company’s consolidated financial statements.</w:t>
      </w:r>
    </w:p>
    <w:p>
      <w:pPr>
        <w:spacing w:after="0" w:line="9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interests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the Company’s financial position, results of operations or cash flows.</w:t>
      </w:r>
    </w:p>
    <w:p>
      <w:pPr>
        <w:spacing w:after="0" w:line="9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May 2008, the FASB issued FASB Staff Position APB 14-1, Accounting for Convertible Debt Instruments That May Be Settled in Cash upon Conversion (Including Partial Cash Settlement) (the “FSP”). The FSP requires the issuer of certain convertible debt instruments that may be settled in cash on conversion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separately account for the liability (debt) and equity (conversion option) components of the instruments in a manner that reflects the issuer’s nonconvertible debt borrowing rate. The FSP is effective for financial statements issued for fiscal years beginning after December 15, 2008 and interim periods within those fiscal years and does not permit earlier application. However, the transition guidance requires retrospective application to all periods presented and does not grandfather existing instruments. The Company is currently evaluating the impact that the adoption of the FSP will have on its consolidated financial statements.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June 2008, the FASB issued FSP EITF 03-6-1, Determining Whether Instruments Granted in Share-Based Payment Transactions are Participating Securities. This FSP addresses whether instruments granted in share-based payment transactions are participating securities prior to vesting and, therefore, need to be included in the earnings allocation in computing earnings per share (“EPS”) under the two-class method described in paragraphs 60 and 61 of FASB Statement No. 128, Earnings per Share. The FSP will be effective for financial statements issued for fiscal years and interim periods beginning after December 15, 2008. All prior period EPS data presented shall be adjusted retrospectively to conform to the provisions of this FSP. The Company is currently evaluating the impact of this FSP, but does not expect it to have a material impact on its consolidated results of operations or financial position.</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October 2008, the FASB issued FASB Staff Position No. FAS 157-3, Determining the Fair Value of a Financial Asset When the Market for That Asset is Not Active (FSP 157-3 or the FSP). FSP 157-3 clarifies the application of SFAS No. 157, Fair Value Measurements (Statement 157), in a market that is not active. The FSP amends Statement 157 to include an example that illustrates key considerations when applying the principles in Statement 157 to financial assets when the market for these instruments is not active.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which provides for the reporting of “basic,” or undiluted, earnings per share (“EPS”) and “diluted” EPS. Basic EPS is computed by dividing net income by the weighted average number of shares outstanding during the period. Diluted EPS reflects the addition of potentially dilutive securities, which for the Company include: stock options, nonvested stock, and the 6% Convertible Subordinated Debentures due 2015 (the “Debentures”) which were all converted in July 2007.</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72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72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7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103,266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103,439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7"/>
              </w:rPr>
              <w:t>Potential dilution from the assumed exercise of stock options, non- vested stock, and the Debentures</w:t>
            </w:r>
          </w:p>
        </w:tc>
        <w:tc>
          <w:tcPr>
            <w:tcW w:w="800" w:type="dxa"/>
            <w:vAlign w:val="bottom"/>
          </w:tcPr>
          <w:p>
            <w:pPr>
              <w:jc w:val="right"/>
              <w:spacing w:after="0"/>
              <w:rPr>
                <w:sz w:val="20"/>
                <w:szCs w:val="20"/>
                <w:color w:val="auto"/>
              </w:rPr>
            </w:pPr>
            <w:r>
              <w:rPr>
                <w:rFonts w:ascii="Arial" w:cs="Arial" w:eastAsia="Arial" w:hAnsi="Arial"/>
                <w:sz w:val="18"/>
                <w:szCs w:val="18"/>
                <w:color w:val="auto"/>
              </w:rPr>
              <w:t>1,004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3,249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1,191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8,344</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and common equivalent shares outstanding (used in calculation of diluted</w:t>
            </w: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111,783</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calculation of diluted EPS for the three and nine months ended September 30, 2007 also includes an addition to net income of $448,000 and $5.1 million, respectively, to reflect the interest expense, net of related tax effects, that would not have been incurred on the Debentures had they been converted as of January 1, 2007. For the three and nine months ended September 30, 2008, 870,000 stock options were excluded from the calculation of diluted EPS because they were anti-dilutive.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7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2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7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$ 51,130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$ 44,740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369,840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192,695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7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5,412</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5,006</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$ 56,542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$ 50,721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374,846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194,772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2008 and December 31, 2007, accumulated other comprehensive income (loss) consisted solely of currency translation adjustments.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Interest paid for the nine months ended September 30, 2008 and 2007 totaled approximately $145 million and $107.8 million, respectively. Interest capitalized for the nine months ended September 30, 2008 and 2007 totaled approximately $61.4 million and $29.1 million, respectively.</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nine months ended September 30, 2008 and 2007, capital expenditures excludes an increase of approximately $15 million and $52.7 million, respectively, in construction payables and retention.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Casino</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217,066</w:t>
            </w: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216,166</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Hotel</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25,424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249,921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245,205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(111,063)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(66,146)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138,858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179,059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jc w:val="right"/>
              <w:ind w:right="6052"/>
              <w:spacing w:after="0"/>
              <w:rPr>
                <w:sz w:val="20"/>
                <w:szCs w:val="20"/>
                <w:color w:val="auto"/>
              </w:rPr>
            </w:pPr>
            <w:r>
              <w:rPr>
                <w:rFonts w:ascii="Arial" w:cs="Arial" w:eastAsia="Arial" w:hAnsi="Arial"/>
                <w:sz w:val="18"/>
                <w:szCs w:val="18"/>
                <w:b w:val="1"/>
                <w:bCs w:val="1"/>
                <w:color w:val="auto"/>
                <w:w w:val="88"/>
              </w:rPr>
              <w:t>7. Property and Equipment, net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5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4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87"/>
              </w:rPr>
              <w:t>September 30,</w:t>
            </w:r>
          </w:p>
        </w:tc>
        <w:tc>
          <w:tcPr>
            <w:tcW w:w="960" w:type="dxa"/>
            <w:vAlign w:val="bottom"/>
            <w:gridSpan w:val="4"/>
          </w:tcPr>
          <w:p>
            <w:pPr>
              <w:ind w:left="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615,894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615,894</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2"/>
              </w:rPr>
              <w:t>1,798,255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1,799,321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Airplanes</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77,326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77,326</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945,435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896,060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67,259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2"/>
              </w:rPr>
              <w:t>1,812,752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921,747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2"/>
              </w:rPr>
              <w:t>5,316,921</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4,377,331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(613,935)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(437,352)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0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2"/>
              </w:rPr>
              <w:t>4,702,986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$ 3,939,979</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jc w:val="right"/>
              <w:ind w:right="2632"/>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5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As of September 30, 2008 and December 31, 2007, construction in progress includes costs capitalized in conjunction with the development and construction of Encore at Wynn Las Vegas and Encore at Wynn Macau.</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9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106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r>
      <w:tr>
        <w:trPr>
          <w:trHeight w:val="201"/>
        </w:trPr>
        <w:tc>
          <w:tcPr>
            <w:tcW w:w="9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 xml:space="preserve">6 </w:t>
            </w:r>
            <w:r>
              <w:rPr>
                <w:rFonts w:ascii="Arial" w:cs="Arial" w:eastAsia="Arial" w:hAnsi="Arial"/>
                <w:sz w:val="22"/>
                <w:szCs w:val="22"/>
                <w:color w:val="auto"/>
                <w:w w:val="92"/>
                <w:vertAlign w:val="superscript"/>
              </w:rPr>
              <w:t>5</w:t>
            </w:r>
            <w:r>
              <w:rPr>
                <w:rFonts w:ascii="Arial" w:cs="Arial" w:eastAsia="Arial" w:hAnsi="Arial"/>
                <w:sz w:val="18"/>
                <w:szCs w:val="18"/>
                <w:color w:val="auto"/>
                <w:w w:val="92"/>
              </w:rPr>
              <w:t>/</w:t>
            </w:r>
            <w:r>
              <w:rPr>
                <w:rFonts w:ascii="Arial" w:cs="Arial" w:eastAsia="Arial" w:hAnsi="Arial"/>
                <w:sz w:val="13"/>
                <w:szCs w:val="13"/>
                <w:color w:val="auto"/>
                <w:w w:val="92"/>
              </w:rPr>
              <w:t>8</w:t>
            </w:r>
            <w:r>
              <w:rPr>
                <w:rFonts w:ascii="Arial" w:cs="Arial" w:eastAsia="Arial" w:hAnsi="Arial"/>
                <w:sz w:val="18"/>
                <w:szCs w:val="18"/>
                <w:color w:val="auto"/>
                <w:w w:val="92"/>
              </w:rPr>
              <w:t>% Wynn Las Vegas First Mortgage Notes, due December 1, 2014, net of original issue discount of $9,883 and $10,816,</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4"/>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1,690,117</w:t>
            </w: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$ 1,689,184</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$1 billion Wynn Resorts Term Loan Facility, due June 21, 2010; interest at LIBOR plus 2.25%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1,000,000</w:t>
            </w:r>
          </w:p>
        </w:tc>
        <w:tc>
          <w:tcPr>
            <w:tcW w:w="3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1,000,000</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$900 million Wynn Las Vegas Revolving Credit Facility; due August 15, 2011; interest at LIBOR plus 1.625%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9120" w:type="dxa"/>
            <w:vAlign w:val="bottom"/>
          </w:tcPr>
          <w:p>
            <w:pPr>
              <w:spacing w:after="0"/>
              <w:rPr>
                <w:sz w:val="20"/>
                <w:szCs w:val="20"/>
                <w:color w:val="auto"/>
              </w:rPr>
            </w:pPr>
            <w:r>
              <w:rPr>
                <w:rFonts w:ascii="Arial" w:cs="Arial" w:eastAsia="Arial" w:hAnsi="Arial"/>
                <w:sz w:val="18"/>
                <w:szCs w:val="18"/>
                <w:color w:val="auto"/>
                <w:w w:val="95"/>
              </w:rPr>
              <w:t>$225 million Wynn Las Vegas Term Loan Facility; $112.5 million due September 30, 2012 with remaining $112.5 million</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9120" w:type="dxa"/>
            <w:vAlign w:val="bottom"/>
          </w:tcPr>
          <w:p>
            <w:pPr>
              <w:ind w:left="220"/>
              <w:spacing w:after="0"/>
              <w:rPr>
                <w:sz w:val="20"/>
                <w:szCs w:val="20"/>
                <w:color w:val="auto"/>
              </w:rPr>
            </w:pPr>
            <w:r>
              <w:rPr>
                <w:rFonts w:ascii="Arial" w:cs="Arial" w:eastAsia="Arial" w:hAnsi="Arial"/>
                <w:sz w:val="18"/>
                <w:szCs w:val="18"/>
                <w:color w:val="auto"/>
              </w:rPr>
              <w:t>due August 15, 2013; interest at LIBOR plus 1.875%</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225,000</w:t>
            </w:r>
          </w:p>
        </w:tc>
        <w:tc>
          <w:tcPr>
            <w:tcW w:w="30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225,000</w:t>
            </w: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w w:val="99"/>
              </w:rPr>
              <w:t>$550 million Wynn Macau Senior Term Loan Facilities; due June 27, 2014; interest at LIBOR or HIBOR plus 1.75%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551,883</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549,995</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$1 billion Wynn Macau Senior Revolving Credit Facility; due June 2012; interest at LIBOR or HIBOR plus 1.75%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501,732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40,950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29,250</w:t>
            </w:r>
          </w:p>
        </w:tc>
        <w:tc>
          <w:tcPr>
            <w:tcW w:w="3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31,417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r>
      <w:tr>
        <w:trPr>
          <w:trHeight w:val="221"/>
        </w:trPr>
        <w:tc>
          <w:tcPr>
            <w:tcW w:w="9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4,917,741</w:t>
            </w:r>
          </w:p>
        </w:tc>
        <w:tc>
          <w:tcPr>
            <w:tcW w:w="30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3,536,612</w:t>
            </w: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(3,050)</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(3,273)</w:t>
            </w:r>
          </w:p>
        </w:tc>
      </w:tr>
      <w:tr>
        <w:trPr>
          <w:trHeight w:val="222"/>
        </w:trPr>
        <w:tc>
          <w:tcPr>
            <w:tcW w:w="9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4,914,691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$ 3,533,339</w:t>
            </w:r>
          </w:p>
        </w:tc>
        <w:tc>
          <w:tcPr>
            <w:tcW w:w="8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 Billion Wynn Resorts Term Loan Modification</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August 1, 2008, the Company amended the $1 billion Wynn Resorts Term Loan. This amendment allowed Stephen A. Wynn, the Company’s Chairman and Chief Executive Officer, to purchase an interest in the debt. On August 1, 2008, Mr. Wynn advised the Company that he purchased $198,250,000 of the face amount of the outstanding debt under the $1 billion Wynn Resorts Term Loan from a third party.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Agreement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September 17, 2008, Wynn Las Vegas entered into a third amendment to its Amended and Restated Credit Agreement dated as of August 15, 2006, as amended April 9, 2007 and as further amended October 31, 2007. This amendment, among other things, provides Wynn Las Vegas with additional flexibility with respect to its financial covenants and related financial calculations and permits Wynn Las Vegas to incur incremental secured debt of up to $150 million in connection with the development of Encore at Wynn Las Vegas.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2008, management believes the Company was in compliance with all debt covenants.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9160" w:hanging="232"/>
        <w:spacing w:after="0" w:line="417"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of the Company, including household employees, construction work and other personal services. Mr. Wynn and other officers have deposits with the Company to prepay any such items, which deposits are replenished on an ongoing basis as needed. As of September 30, 2008 and December 31, 2007, Mr. Wynn and the other officers had a credit balance with the Company of $382,389 and $357,145,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 year period commencing July 1, 2005 and ended June 30, 2008 to be $580,000. Certain services for, and maintenance of, the suite are included in the rental. For the two year period commencing July 1, 2008 and ending June 30, 2010, based on a third-party appraisal and a reduction in housekeeping services to be provided, the Audit Committee determined the rent for each year will be $520,000.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Through May 6, 2004, the Company operated an art gallery at the former Desert Inn displaying The Wynn Collection, a collection of fine art owned by Mr. and Mrs. Wynn. The art gallery in the Desert Inn was closed on May 6, 2004, and a new art gallery featuring The Wynn Collection was displayed from the opening of Wynn Las Vegas through February 2006.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Property charges and other for the three months ended September 30, 2008 and 2007 were $1.6 million and $25.1 million, respectively. Property charges and other for the nine months ended September 30, 2008 and 2007 were $31.2 million and $51.4 million, respectively. Property charges generally include costs related to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retirement of assets for remodels and asset abandonments. Property charges and other for the three months ended September 30, 2008 include charges related to miscellaneous renovation and abandonment projects at both Wynn Las Vegas and Wynn Macau. Property charges and other for the three months ended September 30, 2007 include a $22.1 million charge at Wynn Macau related to significant casino and retail reconfigurations in the expansion that opened in December 2007.</w:t>
      </w:r>
    </w:p>
    <w:p>
      <w:pPr>
        <w:spacing w:after="0" w:line="143"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Property charges and other for the nine months ended September 30, 2008 include $17.8 million of costs associated with Spamalot at Wynn Las Vegas which closed in July 2008. In March 2008, the Company, together with the producers, elected to end the show’s run at Wynn Las Vegas, pursuant to their contract. The Spamalot costs include the production rights that were included in intangible assets, show production costs that were included in other assets and certain other property and equipment. Also, the Company incurred a $3.6 million charge at Wynn Macau related to the abandonment of certain existing floor space to begin construction of a new restaurant. The remaining property charges were related to miscellaneous renovations and abandonments at both Wynn Las Vegas and Wynn Macau. Property charges and other for the nine months ended September 30, 2007 include the following charges at Wynn Macau: (a) a $10.2 million charge for the abandonment of costs related to portions of the main kitchen, warehouse and restaurants that enabled the main casino to be connected with the expansion that opened in December 2007, (b) a $10 million charge related to the abandonment of a parking garage to make room for Encore at Wynn Macau, and</w:t>
      </w:r>
    </w:p>
    <w:p>
      <w:pPr>
        <w:spacing w:after="0" w:line="4" w:lineRule="exact"/>
        <w:rPr>
          <w:sz w:val="20"/>
          <w:szCs w:val="20"/>
          <w:color w:val="auto"/>
        </w:rPr>
      </w:pPr>
    </w:p>
    <w:p>
      <w:pPr>
        <w:ind w:right="120" w:firstLine="8"/>
        <w:spacing w:after="0" w:line="255" w:lineRule="auto"/>
        <w:tabs>
          <w:tab w:leader="none" w:pos="239" w:val="left"/>
        </w:tabs>
        <w:numPr>
          <w:ilvl w:val="0"/>
          <w:numId w:val="5"/>
        </w:numPr>
        <w:rPr>
          <w:rFonts w:ascii="Arial" w:cs="Arial" w:eastAsia="Arial" w:hAnsi="Arial"/>
          <w:sz w:val="18"/>
          <w:szCs w:val="18"/>
          <w:color w:val="auto"/>
        </w:rPr>
      </w:pPr>
      <w:r>
        <w:rPr>
          <w:rFonts w:ascii="Arial" w:cs="Arial" w:eastAsia="Arial" w:hAnsi="Arial"/>
          <w:sz w:val="18"/>
          <w:szCs w:val="18"/>
          <w:color w:val="auto"/>
        </w:rPr>
        <w:t>a $22.1 million charge related to significant casino and retail reconfigurations in the expansion that opened in December 2007. The remaining property charges for the nine months ended September 30, 2007 were related to the renovations to portions of the Le Rêve Theater and abandonment of a marquee sign at Wynn Las Vegas, and the remodeling of certain areas in the food court at Wynn Macau.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Interest Rate Swaps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 Company accounts for its interest rate swaps in accordance with SFAS No. 133, “Accounting for Derivative Instruments and Hedging Activities”, as amended. These interest rate swaps essentially fix the interest rate at the percentages noted below, however, changes in the fair value of the interest rate swaps for each reporting period have been recorded in the increase/decrease in swap fair value in the accompanying Condensed Consolidated Statements of Income, as the interest rate swaps do not qualify for hedge accounting.</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SFAS No. 157. SFAS No. 157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swap contracts as Level 2.</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table represents the historical asset (liability) fair values recorded in our Condensed Consolidated Balance Sheets as of September 30, 2008 and December 31, 2007. The fair value approximates the amount the Company would receive/(pay)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Asset/(Liability) fair value at:</w:t>
            </w:r>
          </w:p>
        </w:tc>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Net Total</w:t>
            </w:r>
          </w:p>
        </w:tc>
        <w:tc>
          <w:tcPr>
            <w:tcW w:w="0" w:type="dxa"/>
            <w:vAlign w:val="bottom"/>
          </w:tcPr>
          <w:p>
            <w:pPr>
              <w:spacing w:after="0"/>
              <w:rPr>
                <w:sz w:val="1"/>
                <w:szCs w:val="1"/>
                <w:color w:val="auto"/>
              </w:rPr>
            </w:pPr>
          </w:p>
        </w:tc>
      </w:tr>
      <w:tr>
        <w:trPr>
          <w:trHeight w:val="135"/>
        </w:trPr>
        <w:tc>
          <w:tcPr>
            <w:tcW w:w="1800" w:type="dxa"/>
            <w:vAlign w:val="bottom"/>
            <w:gridSpan w:val="2"/>
            <w:vMerge w:val="continue"/>
          </w:tcPr>
          <w:p>
            <w:pPr>
              <w:spacing w:after="0"/>
              <w:rPr>
                <w:sz w:val="11"/>
                <w:szCs w:val="11"/>
                <w:color w:val="auto"/>
              </w:rPr>
            </w:pPr>
          </w:p>
        </w:tc>
        <w:tc>
          <w:tcPr>
            <w:tcW w:w="5860" w:type="dxa"/>
            <w:vAlign w:val="bottom"/>
          </w:tcPr>
          <w:p>
            <w:pPr>
              <w:spacing w:after="0"/>
              <w:rPr>
                <w:sz w:val="11"/>
                <w:szCs w:val="11"/>
                <w:color w:val="auto"/>
              </w:rPr>
            </w:pPr>
          </w:p>
        </w:tc>
        <w:tc>
          <w:tcPr>
            <w:tcW w:w="5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Wynn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9"/>
              </w:rPr>
              <w:t>Wynn</w:t>
            </w:r>
          </w:p>
        </w:tc>
        <w:tc>
          <w:tcPr>
            <w:tcW w:w="220" w:type="dxa"/>
            <w:vAlign w:val="bottom"/>
          </w:tcPr>
          <w:p>
            <w:pPr>
              <w:spacing w:after="0"/>
              <w:rPr>
                <w:sz w:val="11"/>
                <w:szCs w:val="11"/>
                <w:color w:val="auto"/>
              </w:rPr>
            </w:pPr>
          </w:p>
        </w:tc>
        <w:tc>
          <w:tcPr>
            <w:tcW w:w="104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rPr>
              <w:t>Wynn</w:t>
            </w:r>
          </w:p>
        </w:tc>
        <w:tc>
          <w:tcPr>
            <w:tcW w:w="10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61"/>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(amounts in thousands)</w:t>
            </w:r>
          </w:p>
        </w:tc>
        <w:tc>
          <w:tcPr>
            <w:tcW w:w="586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Resorts</w:t>
            </w:r>
          </w:p>
        </w:tc>
        <w:tc>
          <w:tcPr>
            <w:tcW w:w="4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Las Vegas</w:t>
            </w:r>
          </w:p>
        </w:tc>
        <w:tc>
          <w:tcPr>
            <w:tcW w:w="22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Macau</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1"/>
              </w:rPr>
              <w:t>Rate Swaps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5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2008</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6,651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December 31, 2007</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Pr>
          <w:p>
            <w:pPr>
              <w:spacing w:after="0"/>
              <w:rPr>
                <w:sz w:val="19"/>
                <w:szCs w:val="19"/>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860" w:type="dxa"/>
            <w:vAlign w:val="bottom"/>
          </w:tcPr>
          <w:p>
            <w:pPr>
              <w:jc w:val="right"/>
              <w:ind w:right="1772"/>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Swap</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February 1, 2008, the Company entered into an interest rate swap to hedge the underlying interest rate risk on all of the borrowings under the $1 billion Wynn Resorts Term Loan Facility. Pursuant to the terms of this interest rate swap, the Company pays a fixed rate of 2.836% on the $1 billion notional amount and receives payments based on LIBOR. This swap fixes the interest rate at approximately 5.09%. This swap terminates in June 2010.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currently has one $200 million notional amount interest rate swap to essentially fix the interest rate on $200 million of the $225 million Wynn Las Vegas Term Loan borrowings. Pursuant to the terms of this interest rate swap, the Company pays a fixed rate of 3.793% on the $200 million notional amount and receives payments based on LIBOR. This swap fixes the interest rate at approximately 5.7% on $200 million of the outstanding $225 million term loan. This swap terminates in December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November 2005, the Company entered into interest rate swap agreements to hedge a portion of the underlying interest rate risk on current and future borrowings under the Wynn Macau credit facility. In August 2008, the Company terminated these interest rate swaps and entered into new interest rate swaps which will terminate in August 2011. Under the first terminated swap agreement, the Company paid a fixed interest rate of 4.84% on borrowings incurred under the Wynn Macau credit facility up to a maximum of approximately $198.2 million, in exchange for receipts on the same amounts at a variable interest rate based on the applicable LIBOR at the time of payment. Under the second terminated swap agreement, the Company paid a fixed interest rate of 4.77% on borrowings incurred under the Wynn Macau credit facility up to a maximum of approximately HK $1.1 billion (approximately U.S. $140 million), in exchange for receipts on the same amounts at a variable interest rate based on the applicable Hong Kong Interbank Offered Rate (“HIBOR”) at the time of payment. The terminated interest rate swaps fixed the interest rates on the U.S. dollar and the Hong Kong dollar borrowings under the Wynn Macau credit facility at approximately 6.59% and 6.52%, respectively. In connection with this transaction, the Company recorded a gain of approximately $0.9 million to reflect the increase in the value of such swaps from June 30, 2008 to the termination date and paid to the counterparties of the terminated swaps a cash settlement payment of approximately $2.2 million.</w:t>
      </w:r>
    </w:p>
    <w:p>
      <w:pPr>
        <w:spacing w:after="0" w:line="12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Effective August 2008, under the first new swap agreement, the Company pays a fixed interest rate of 3.632% on U.S. dollar borrowings of approximately $153.8 million incurred under the $550 million Wynn Macau Senior Term Loan Facilities in exchange for receipts on the same amount at a variable interest rate based on the applicable LIBOR at the time of payment. Under the second new swap agreement, the Company pays a fixed interest rate of 3.39% on Hong Kong dollar borrowings of approximately HK$991.6 million (approximately U.S. $127 million) incurred under the $550 million Wynn Macau Senior Term Loan Facilities in exchange for receipt on the same amount at a variable interest rate based on the applicable HIBOR at the time of payment. These interest rate swaps fix the interest rates on the U.S. dollar and the Hong Kong dollar borrowings under the Wynn Macau credit facility at approximately 5.382% and 5.14%, respectively.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adopted SFAS No. 123R, “Share Based Payment” effective January 1, 2006. The total compensation cost relating both to stock options and nonvested stock is allocated as follows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7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2008</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2,996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3,475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5,436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5,192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13,990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14,533</w:t>
            </w:r>
          </w:p>
        </w:tc>
        <w:tc>
          <w:tcPr>
            <w:tcW w:w="0" w:type="dxa"/>
            <w:vAlign w:val="bottom"/>
          </w:tcPr>
          <w:p>
            <w:pPr>
              <w:spacing w:after="0"/>
              <w:rPr>
                <w:sz w:val="1"/>
                <w:szCs w:val="1"/>
                <w:color w:val="auto"/>
              </w:rPr>
            </w:pPr>
          </w:p>
        </w:tc>
      </w:tr>
      <w:tr>
        <w:trPr>
          <w:trHeight w:val="218"/>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Total stock-based compensation costs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5,596</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5,389</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14,486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15,138</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three and nine months ended September 30, 2008, the Company granted to employees and directors 0 and 860,000 stock options, respectively. The Company also granted 257,500 and 550,000 non-vested shares to employees and directors for the three and nine months ended September 30, 2008,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9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On July 10, 2008, the Board of Directors of the Company authorized an increase of $500 million to its previously announced equity repurchase program bringing the total authorized to $1.7 billion. During the nine months ended September 30, 2008, the Company repurchased 10,915,633 shares of the Company’s common stock for a net cost of $940.1 million. Total shares purchased through September 30, 2008, pursuant to the Board authorized equity repurchase program of up to $1.7 billion was 12,804,954 shares at a net cost of $1.1 billion.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Encore at Wynn Las Vegas includes a 2,034 all-suite hotel tower, an approximately 72,000 square foot casino, additional convention and meeting space, as well as five restaurants, a nightclub, swimming pools, a spa and salon and retail outlets. The Company commenced construction of Encore at Wynn Las Vegas on April 28, 2006, and expects to open it to the public in December 2008.</w:t>
      </w:r>
    </w:p>
    <w:p>
      <w:pPr>
        <w:spacing w:after="0" w:line="140"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The project budget is approximately $2.3 billion for Encore at Wynn Las Vegas and related capital improvements. The project is being funded with proceeds from the existing Wynn Las Vegas Credit Facilities and operating cash flow from Wynn Las Vegas. To the extent additional funds are required, the Company will provide these amounts with additional debt and equity contributions by Wynn Resorts or additional indebtedness to be incurred by Wynn Las Vegas.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February 27, 2007, the Company entered into a Design Build Architectural, Engineering and Construction Services Agreement (the “Contract”) with Tutor-Saliba Corporation (“Tutor”) for the design and construction of Encore at Wynn Las Vegas. The Contract sets forth all of the terms and conditions pursuant to which Tutor is designing and constructing Encore at Wynn Las Vegas. In June 2007, the Company executed the first amendment to the Contract which set the guaranteed maximum price for work under the Contract at $1.3 billion. Subsequent change orders bring the current guaranteed maximum price to $1.4 billion. In connection with the execution and delivery of the Contract, Tutor and the Ronald N. Tutor Separate Trust (the “Trust”) have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Through September 30, 2008, the Company had incurred approximately $1.8 billion of project costs related to the development and construction of Encore at Wynn Las Vegas and related capital improvements.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i w:val="1"/>
          <w:iCs w:val="1"/>
          <w:color w:val="auto"/>
        </w:rPr>
        <w:t xml:space="preserve">Construction and Enhancements. </w:t>
      </w:r>
      <w:r>
        <w:rPr>
          <w:rFonts w:ascii="Arial" w:cs="Arial" w:eastAsia="Arial" w:hAnsi="Arial"/>
          <w:sz w:val="16"/>
          <w:szCs w:val="16"/>
          <w:color w:val="auto"/>
        </w:rPr>
        <w:t>The Company has made and continues to make certain enhancements and refinements to Wynn Macau. As a result,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has incurred and will continue to incur capital expenditures related to these enhancements and refinements.</w:t>
      </w:r>
    </w:p>
    <w:p>
      <w:pPr>
        <w:spacing w:after="0" w:line="8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Encore at Wynn Macau Construction and Development. </w:t>
      </w:r>
      <w:r>
        <w:rPr>
          <w:rFonts w:ascii="Arial" w:cs="Arial" w:eastAsia="Arial" w:hAnsi="Arial"/>
          <w:sz w:val="18"/>
          <w:szCs w:val="18"/>
          <w:color w:val="auto"/>
        </w:rPr>
        <w:t>Construction has commenced on a further expansion of Wynn Macau. Encore at Wynn Macau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open in the first quarter of 2010 adding a fully-integrated resort hotel to Wynn Macau with approximately 400 luxury suites and four villas, along with restaurants and additional retail and gaming space.</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On November 8, 2007, Wynn Macau, S.A. executed a guaranteed maximum price contract for $347.8 million with Leighton Contractors (Asia) Limited, China State Construction Engineering (Hong Kong) Limited and China Construction Engineering (Macau) Company Limited, acting together as the general contractor, for the construction of Encore at Wynn Macau. The current project budget is approximately $700 million.</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Through September 30, 2008, the Company had incurred approximately $150.1 million of project costs related to the development and construction of Encore at Wynn Macau.</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Land Concession Contract</w:t>
      </w:r>
      <w:r>
        <w:rPr>
          <w:rFonts w:ascii="Arial" w:cs="Arial" w:eastAsia="Arial" w:hAnsi="Arial"/>
          <w:sz w:val="16"/>
          <w:szCs w:val="16"/>
          <w:color w:val="auto"/>
        </w:rPr>
        <w:t>. In June 2004, Wynn Macau, S.A. entered into a land concession contract for the Wynn Macau project site. Under the land</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 contract, Wynn Macau, S.A. leases a parcel of approximately 16 acres from the Macau government for an initial term of 25 years, with a right to renew for additional periods with government approval. Wynn Macau, S.A. has made nine payments to the Macau government under the land concession contract and is required to make two additional semi-annual payments (including interest) for total payments of approximately $42.7 million. Wynn Macau, S.A. also paid approximately $18 million to an unrelated third party for its relinquishment of rights to a portion of the land. During the term of the land concession contract, Wynn Macau, S.A. is also required to make annual lease payments of up to $400,000.</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Cotai Land Agreement. </w:t>
      </w:r>
      <w:r>
        <w:rPr>
          <w:rFonts w:ascii="Arial" w:cs="Arial" w:eastAsia="Arial" w:hAnsi="Arial"/>
          <w:sz w:val="18"/>
          <w:szCs w:val="18"/>
          <w:color w:val="auto"/>
        </w:rPr>
        <w:t>On August 1, 2008, subsidiaries of Wynn Resorts, Limited entered into an agreement with an unrelated third party to make a one-time payment in the amount of $50 million in consideration of the unrelated third party’s relinquishment of certain rights with respect to a portion of approximately 52 acres of land in the Cotai area of Macau. The payment will be made within 15 days after the Government of the Special Administrative Region of the People’s Republic of China publishes the Company’s rights to the land in the government’s official gazette. The Company has filed an application for the land with the government of Macau and is awaiting final approval.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September 30, 2008.</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that food and non-alcoholic beverages purchased for use in providing complimentary meals to customers and to employees was exempt from sales and use tax. In July 2008, the Court denied the State’s motion for rehearing. Through April 2008, Wynn Las Vegas paid use tax on these items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has filed for refunds for the periods from April 2005 to April 2008. The amount subject to these refunds is approximately $5.4 million. As of September 30, 2008, the Company had not recorded a receivable related to this matter.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During the three and nine months ended September 30, 2008, the Company recorded tax benefits of $16.9 million and $159.7 million, respectively. During the three and nine months ended September 30, 2008 the Company recorded a deferred tax provision of $385.1 million and $635.2 million as a result of increasing its U.S. deferred tax liability for that portion of the earnings of Wynn Macau no longer considered permanently invested abroad. Additionally, the Company completed a study of the taxes, levies and obligations assessed on operations of Wynn Macau under Macau law and its Macau Gaming Concession. As a result, for the three and nine months ended September 30, 2008, the Company recorded a $385.1 million and $775.9 million deferred tax asset and income tax benefit (net of valuation allowance increases) for foreign tax credits applicable to the earnings of Wynn Macau. As a result of these items, a net tax benefit of $0 million and $140.7 million is included in the computation of the income tax benefit for the three and nine months ended September 30, 2008. In addition to the foregoing, the Company reclassified certain deferred tax assets and liabilities from noncurrent to current based upon the expected period of realization. As of September 30, 2008 the Company has recorded a deferred US tax provision (net of the deferred tax benefit for foreign tax credits considered more likely than not realizable) for all foreign earnings.</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effective tax rate/(benefit) for the three and nine months ended September 30, 2008, computed without regard to the $140.7 million net deferred tax benefit discussed in the preceding paragraph, was (49.2%) and (9.1%). These rates were 84.2 and 44.1 percentage points lower than the U.S. Federal rate of 35% primarily due to the tax holiday applicable to the earnings of Wynn Macau, S.A., as described below and U.S. tax deductions resulting from Encore at Wynn Las Vegas pre-opening expenses.</w:t>
      </w:r>
    </w:p>
    <w:p>
      <w:pPr>
        <w:spacing w:after="0" w:line="143"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Effective September 6, 2006, Wynn Macau, S.A. received a 5-year exemption from Macau’s 12% Complementary Tax on casino gaming profits. Accordingly, the Company was exempted from the payment of approximately $5.2 million and $24.8 million in such taxes during the three and nine months ended September 30, 2008, respectively. The Company’s non-gaming profits remain subject to the Macau Complementary Tax and casino winnings remain subject to the Macau Special Gaming tax and other levies (at a rate equal to 39%) in accordance with its concession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January 1, 2007, the Company adopted the provisions of FIN 48. For the three and nine months ended September 30, 2008, the Company decreased its unrecognized tax benefits by $5.2 million and increased its unrecognized tax benefits by $ 8.7 million, respectively. $5.9 million of the reductions for tax positions of prior periods increased the deferred tax benefit for the three and nine months ended September 30, 2008. Approximately $13.6 million of unrecognized tax benefits would, if recognized, decrease the effective tax rate. A reconciliation of the beginning and ending amount of unrecognized tax benefits for the three and nine months ended September 30, 2008 is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For the three months ended September 30, 2008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b w:val="1"/>
                <w:bCs w:val="1"/>
                <w:color w:val="auto"/>
              </w:rPr>
              <w:t>Balance at June 30, 2008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of the current year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Additions based on tax positions of prior years</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Lapses in statutes of limitations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74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2008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For the nine months ended September 30, 2008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b w:val="1"/>
                <w:bCs w:val="1"/>
                <w:color w:val="auto"/>
              </w:rPr>
              <w:t>Balance at January 1, 2008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of the current year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Additions based on tax positions of prior years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Lapses in statutes of limitations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74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2008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monitors its operations and evaluates earnings by reviewing the assets and operations of Wynn Las Vegas and Wynn Macau. The Company’s total assets by segment are as follows (amounts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w w:val="96"/>
              </w:rPr>
              <w:t>Wynn Las Vegas (including Encore at Wynn Las Vegas)</w:t>
            </w:r>
          </w:p>
        </w:tc>
        <w:tc>
          <w:tcPr>
            <w:tcW w:w="3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4,559,337</w:t>
            </w: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3,558,877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 (including Encore at Wynn Macau)</w:t>
            </w:r>
          </w:p>
        </w:tc>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2,314,979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1,724,039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Corporate and other</w:t>
            </w:r>
          </w:p>
        </w:tc>
        <w:tc>
          <w:tcPr>
            <w:tcW w:w="3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413,186</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1,016,366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3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7,287,502</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6,299,282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280" w:type="dxa"/>
            <w:vAlign w:val="bottom"/>
            <w:vMerge w:val="restart"/>
          </w:tcPr>
          <w:p>
            <w:pPr>
              <w:jc w:val="right"/>
              <w:ind w:right="2632"/>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on its results of operations are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Wynn Las Vegas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294,430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305,722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876,850</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971,510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474,756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347,664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1,496,199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1,004,734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 Net revenues</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gridSpan w:val="2"/>
            <w:vMerge w:val="continue"/>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769,186</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653,386</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2,373,049</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1,976,244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line="211" w:lineRule="exact"/>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22"/>
                <w:szCs w:val="22"/>
                <w:b w:val="1"/>
                <w:bCs w:val="1"/>
                <w:color w:val="auto"/>
                <w:vertAlign w:val="superscript"/>
              </w:rPr>
              <w:t>(1)</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Wynn Las Vegas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70,082</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93,182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220,315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319,710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106,288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92,834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gridSpan w:val="2"/>
            <w:vMerge w:val="continue"/>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176,370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186,016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611,185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584,212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13,911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25,096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98,181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99,720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297,071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263,584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86,296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Non-operating costs and expenses</w:t>
            </w:r>
          </w:p>
        </w:tc>
        <w:tc>
          <w:tcPr>
            <w:tcW w:w="1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income and other</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Interest expense, net</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(40,263)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(34,743)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(126,513)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(107,876)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Increase/(decrease) in swap fair value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Loss from extinguishment of debt</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(43,925)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(32,173)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(103,973)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(81,096)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benefit/(provision) for income taxes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54,123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Benefit/(provision) for income taxes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(9,383)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159,699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(46,837)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369,840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8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stock-based compensation,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generally accepted accounting principles in the United States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Company compensates for these limitations by using Adjusted Property EBITDA as only one of several comparative tools, together with GAAP measurements, to assist in the evaluation of operating performance. Such GAAP measurements include operating income, net income,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240" w:top="459"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900" w:right="24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tourism trends given the current general domestic and international economic conditions that are causing uncertainty among some consumers, uncertain effects of volatility in financial markets globally and from governmental intervention in the financial markets;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macroeconomic conditions;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the Wynn Las Vegas Credit Facilities and the Wynn Macau Credit Facilities;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Encore at Wynn Las Vegas on time and within budget;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Encore at Wynn Macau on time and within budget;</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at Wynn Las Vegas with anticipated cash flows generated at Wynn Las Vegas;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doing business internationally (including the risks associated with developing gaming regulatory frameworks and recent visitation restrictions to Macau);</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properties for all of our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240" w:top="459" w:right="5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impact that an outbreak of an infectious disease, such as avian flu, or the impact of a natural disaster may have on the travel and leisure industry;</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legal proceedings.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and Wynn Macau, a destination casino resort in the Macau Special Administrative Region of the People’s Republic of China (“Macau”), which opened on September 6, 2006. In addition, on April 28, 2006, we commenced construction of Encore at Wynn Las Vegas adjacent to Wynn Las Vegas and in June 2007, we commenced construction of Encore at Wynn Macau as an addition to Wynn Macau. Encore at Wynn Las Vegas is expected to open in December 2008, and Encore at Wynn Macau is expected to open in the first quarter of 2010.</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October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right"/>
              <w:ind w:right="24"/>
              <w:spacing w:after="0"/>
              <w:rPr>
                <w:sz w:val="20"/>
                <w:szCs w:val="20"/>
                <w:color w:val="auto"/>
              </w:rPr>
            </w:pPr>
            <w:r>
              <w:rPr>
                <w:rFonts w:ascii="Arial" w:cs="Arial" w:eastAsia="Arial" w:hAnsi="Arial"/>
                <w:sz w:val="14"/>
                <w:szCs w:val="14"/>
                <w:b w:val="1"/>
                <w:bCs w:val="1"/>
                <w:color w:val="auto"/>
              </w:rPr>
              <w:t>Approximate</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9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Hotel Rooms &amp;</w:t>
            </w:r>
          </w:p>
        </w:tc>
        <w:tc>
          <w:tcPr>
            <w:tcW w:w="800" w:type="dxa"/>
            <w:vAlign w:val="bottom"/>
          </w:tcPr>
          <w:p>
            <w:pPr>
              <w:spacing w:after="0"/>
              <w:rPr>
                <w:sz w:val="12"/>
                <w:szCs w:val="12"/>
                <w:color w:val="auto"/>
              </w:rPr>
            </w:pPr>
          </w:p>
        </w:tc>
        <w:tc>
          <w:tcPr>
            <w:tcW w:w="20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6"/>
              </w:rPr>
              <w:t>Approximate Casino</w:t>
            </w: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Number of Table</w:t>
            </w:r>
          </w:p>
        </w:tc>
        <w:tc>
          <w:tcPr>
            <w:tcW w:w="82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Approximate</w:t>
            </w:r>
          </w:p>
        </w:tc>
      </w:tr>
      <w:tr>
        <w:trPr>
          <w:trHeight w:val="161"/>
        </w:trPr>
        <w:tc>
          <w:tcPr>
            <w:tcW w:w="4960" w:type="dxa"/>
            <w:vAlign w:val="bottom"/>
          </w:tcPr>
          <w:p>
            <w:pPr>
              <w:spacing w:after="0"/>
              <w:rPr>
                <w:sz w:val="14"/>
                <w:szCs w:val="14"/>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Suites</w:t>
            </w:r>
          </w:p>
        </w:tc>
        <w:tc>
          <w:tcPr>
            <w:tcW w:w="800" w:type="dxa"/>
            <w:vAlign w:val="bottom"/>
          </w:tcPr>
          <w:p>
            <w:pPr>
              <w:spacing w:after="0"/>
              <w:rPr>
                <w:sz w:val="14"/>
                <w:szCs w:val="14"/>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Square Footage</w:t>
            </w:r>
          </w:p>
        </w:tc>
        <w:tc>
          <w:tcPr>
            <w:tcW w:w="820" w:type="dxa"/>
            <w:vAlign w:val="bottom"/>
          </w:tcPr>
          <w:p>
            <w:pPr>
              <w:spacing w:after="0"/>
              <w:rPr>
                <w:sz w:val="14"/>
                <w:szCs w:val="14"/>
                <w:color w:val="auto"/>
              </w:rPr>
            </w:pPr>
          </w:p>
        </w:tc>
        <w:tc>
          <w:tcPr>
            <w:tcW w:w="9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Games</w:t>
            </w:r>
          </w:p>
        </w:tc>
        <w:tc>
          <w:tcPr>
            <w:tcW w:w="8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Number of Slots</w:t>
            </w:r>
          </w:p>
        </w:tc>
        <w:tc>
          <w:tcPr>
            <w:tcW w:w="20" w:type="dxa"/>
            <w:vAlign w:val="bottom"/>
          </w:tcPr>
          <w:p>
            <w:pPr>
              <w:spacing w:after="0"/>
              <w:rPr>
                <w:sz w:val="14"/>
                <w:szCs w:val="14"/>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111,000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20" w:type="dxa"/>
            <w:vAlign w:val="bottom"/>
          </w:tcPr>
          <w:p>
            <w:pPr>
              <w:spacing w:after="0"/>
              <w:rPr>
                <w:sz w:val="18"/>
                <w:szCs w:val="18"/>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Wynn Macau</w:t>
            </w: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205,000</w:t>
            </w:r>
          </w:p>
        </w:tc>
        <w:tc>
          <w:tcPr>
            <w:tcW w:w="8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1,230</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currently features:</w:t>
      </w:r>
    </w:p>
    <w:p>
      <w:pPr>
        <w:spacing w:after="0" w:line="90" w:lineRule="exact"/>
        <w:rPr>
          <w:sz w:val="20"/>
          <w:szCs w:val="20"/>
          <w:color w:val="auto"/>
        </w:rPr>
      </w:pPr>
    </w:p>
    <w:p>
      <w:pPr>
        <w:ind w:left="900" w:right="2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22 food and beverage outlets featuring signature chefs, including the AAA Five Diamond, Mobil Five Star and Michelin award-winning restaurant, </w:t>
      </w:r>
      <w:r>
        <w:rPr>
          <w:rFonts w:ascii="Arial" w:cs="Arial" w:eastAsia="Arial" w:hAnsi="Arial"/>
          <w:sz w:val="18"/>
          <w:szCs w:val="18"/>
          <w:i w:val="1"/>
          <w:iCs w:val="1"/>
          <w:color w:val="auto"/>
        </w:rPr>
        <w:t>Alex</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a full service spa and salon;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Tower Suites at Wynn Las Vegas is the only casino resort in the world that has been awarded both the Mobil Five Star and AAA Five Diamond distinctions. In addition, Wynn Las Vegas was recognized in October 2008 by Michelin, the esteemed European restaurant rating system. Two Michelin stars were awarded to </w:t>
      </w:r>
      <w:r>
        <w:rPr>
          <w:rFonts w:ascii="Arial" w:cs="Arial" w:eastAsia="Arial" w:hAnsi="Arial"/>
          <w:sz w:val="18"/>
          <w:szCs w:val="18"/>
          <w:i w:val="1"/>
          <w:iCs w:val="1"/>
          <w:color w:val="auto"/>
        </w:rPr>
        <w:t>Alex</w:t>
      </w:r>
      <w:r>
        <w:rPr>
          <w:rFonts w:ascii="Arial" w:cs="Arial" w:eastAsia="Arial" w:hAnsi="Arial"/>
          <w:sz w:val="18"/>
          <w:szCs w:val="18"/>
          <w:color w:val="auto"/>
        </w:rPr>
        <w:t xml:space="preserve"> and one Michelin star was awarded to each of Wing Lei and Daniel Boulud Brasserie. Additionally, Wynn Las Vegas received five red pavilions, the highest honor for Michelin rated accommodations.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response to our evaluation of Wynn Las Vegas and the reactions of our guests, we have made enhancements and refinements to the property since its opening in 2005 and continued such enhancements through September 2008.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are constructing Encore at Wynn Las Vegas on approximately 20 acres on the Las Vegas Strip, adjacent to Wynn Las Vegas. Encore at Wynn Las Vegas will include a 2,034 all-suite hotel tower, an approximately 72,000 square foot casino, additional convention and meeting space, as well as five restaurants, a nightclub, swimming pools, a spa and salon and retail outlets. Encore at Wynn Las Vegas is expected to open to the public in December 2008.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Wynn Macau on September 6, 2006. Wynn Macau currently features:</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approximately 205,000 square foot casino offering 24-hour gaming and a full range of games, including private gaming salons;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Casual and fine dining in five restaurants;</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Approximately 46,000 square feet of high-end, brand-name retail shopping, including stores and boutiques by Bvlgari, Chanel, Dior, Dunhill, Fendi, Ferrari, Giorgio Armani, Gucci, Hermes, Hugo Boss, Louis Vuitton, Miu Miu, Piaget, Prada, Tiffany, Van Cleef &amp; Arpels, Versace, Vertu, and Zegna;</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November 2008, Wynn Macau was awarded two Mobil Five Star awards, one for our hotel and one for our spa. Wynn Macau is the only hotel in Macau and one of only five in Asia to receive this Five Star rating.</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commenced construction on a further expansion of Wynn Macau, which was first announced in November 2006 as Wynn Diamond and is now known as Encore at Wynn Macau. This further expansion will add a fully-integrated resort hotel with approximately 400 luxury suites and four villas, along with restaurants and additional retail and gaming space. We expect Encore at Wynn Macau to open in the first quarter of 2010.</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response to our evaluation of Wynn Macau and the reactions of our guests, we have made enhancements and refinements to the property since its opening in 2006 and continued such enhancements through September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under a 20-year casino concession agreement granted by the Macau government in June 2002.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We own approximately 147 acres immediately adjacent to both Wynn Las Vegas and Encore at Wynn Las Vegas, which is currently improved with a golf course. We may develop this property in the future, however due to the current economic environment, no construction timeline or budget have been prepared.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applied to the government of Macau for a land concession for approximately 52 acres on Cotai and are awaiting final governmental approval of this concession. No construction timeline or budget have been prepared.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reduced consumer spending, and new U.S. political leadership, the outlook for the gaming, travel, and entertainment industries both domestically and abroad remains highly uncertain. Auto traffic into Las Vegas and air travel to McCarran International airport has declined, resulting in lower casino volumes and a reduced demand for hotel rooms. Based on these adverse circumstances, we believe that Wynn Las Vegas will continue to experience lower than expected hotel occupancy rates and casino volumes. We also believe that Encore at Wynn Las Vegas, once opened, will experience the same lower than expected hotel occupancy rates and reduced casino volumes. Wynn Macau is also faced with a slowing global economy and visa restrictions implemented in September 2008 that will limit the frequency of visits that certain citizens of mainland China may make to Macau.</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Our operations currently consist of Wynn Las Vegas and Wynn Macau. The reliance for our operating cash flow on only two properties exposes us to certain risks that competitors, whose operations are more diversified, may be better able to control. In addition to the concentration of operations in two properties, many of our customers are high-end gaming customers who wager on credit, thus exposing us to credit risk. High-end gaming also increases the potential for variability in our results. We believe that our operating results at Wynn Las Vegas and Wynn Macau for the three and nine months ended September 30, 2008 have been adversely impacted by the weakened global economy. Disruptions in the global financial and stock markets, along with high gas and travel costs have and may continue to adversely impact our financial results. In addition, recently imposed visa restrictions placed certain limitations on visitation to Macau. These new restrictions have and will continue to adversely impact visitation to Macau by residents of the People’s Republic of China.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4"/>
          </w:tcPr>
          <w:p>
            <w:pPr>
              <w:jc w:val="right"/>
              <w:ind w:right="39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294,430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305,722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876,850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971,510</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474,756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347,664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1,496,199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1,004,734</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Total Net revenues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769,186</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653,386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2,373,049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1,976,244</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Casinos generally record win as a percentage of either drop or turnover. In our casino operations at Wynn Las Vegas, table games win is recorded as a percentage of drop. However, in our casino operations at Wynn Macau, we separate table play into two distinct segments. Our Macau VIP casino segment records table games win as a percentage of turnover, whereas our general casino records win as a percentage of drop.</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discussions of our operational performance for the periods in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is presented. Below are definitions of the statistics discussed:</w:t>
      </w:r>
    </w:p>
    <w:p>
      <w:pPr>
        <w:spacing w:after="0" w:line="8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VIP program.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Wynn Las Vegas or Wynn Macau and is recorded as casino revenue.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2008 compared to the three months ended September 30, 2007.</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Net revenues for the three months ended September 30, 2008 are comprised of $590.6 million in casino revenues (76.8% of total net revenues) and $178.6 million of net non-casino revenues (23.2% of total net revenues). Net revenues for the three months ended September 30, 2007 were comprised of $476.8 million in casino revenues (73% of total net revenues) and $176.6 million of net non-casino revenues (27% of total net revenues). The quality of our resorts’ non-casino amenities, combined with providing guests an unparalleled total resort experience, has driven a premium in the two properties’ ADR and other non-gaming revenues as well as increased the length of play in our casinos, but the majority of revenues of Wynn Macau continue to be generated in the casino segment.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2008 of approximately $590.6 million represents a $113.8 million (or 24%) increase from casino revenues of $476.8 million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2007. At Wynn Las Vegas, we experienced a $6.7 million decrease in casino revenues compared to the prior year. While our table games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drop increased 11.6%, our table games win percentage (before discounts) decreased for the three months ended September 30, 2008 to 24.3%, which was slightly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above the expected range of 21% to 24%, and compares to 26.4% for the prior year quarter. Slot handle at Wynn Las Vegas decreased 11.9% during the three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2008 as compared to 2007, and the slot win percentage was within the expected range of 4.5% to 5.5%.</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Casino revenues at Wynn Macau increased $120.5 million during the three months ended September 30, 2008, compared to the prior year quarter. At Wynn Macau, we experienced a 35.6% increase in turnover in the VIP casino segment and our win as a percent of turnover was 3.1%, which is slightly above the expected range of 2.7% to 3.0%, compared to 3% in the prior year quarter. Our VIP casino segment win as a percent of turnover includes a nominal beneficial effect attributable to non-rolling chip play. In our general casino at Wynn Macau, drop increased 19.7% when compared to the prior year quarter and the table games win percentage was 20.3%, which is slightly above the expected range of 18% to 20%. The table game win percentage at Wynn Macau for the three months ended September 30, 2007 was also 20.3% in the mass market segment. Slot handle at Wynn Macau increased 107% compared to the prior year quarter and the slot win percentage was within the expected range of 4.5% to 5.5%. The increase in casino revenue at Wynn Macau is a result of growth in the Macau market as well as our casino expansion which opened in December 2007. We expect that this rapid growth in the Macau market will slow due to new visa restrictions that recently went into effect and limit visitation to Macau by residents of the People’s Republic of China.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For the three months ended September 30, 2008, total room revenues were approximately $79.6 million, a $2 million decrease compared to the three months ended September 30, 2007. Room revenue at Wynn Las Vegas decreased approximately $2.7 million compared to the prior year quarter due to lower occupancy and lower rates, while room revenue at Wynn Macau increased approximately $0.7 million due to increased rates. The table below sets forth key operating measures related to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2008</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Daily Rate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32"/>
              <w:spacing w:after="0"/>
              <w:rPr>
                <w:sz w:val="20"/>
                <w:szCs w:val="20"/>
                <w:color w:val="auto"/>
              </w:rPr>
            </w:pPr>
            <w:r>
              <w:rPr>
                <w:rFonts w:ascii="Arial" w:cs="Arial" w:eastAsia="Arial" w:hAnsi="Arial"/>
                <w:sz w:val="18"/>
                <w:szCs w:val="18"/>
                <w:color w:val="auto"/>
              </w:rPr>
              <w:t>272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8"/>
                <w:szCs w:val="18"/>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b w:val="1"/>
                <w:bCs w:val="1"/>
                <w:color w:val="auto"/>
              </w:rPr>
              <w:t>Occupancy</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Las Vegas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96.1%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Wynn Macau</w:t>
            </w:r>
          </w:p>
        </w:tc>
        <w:tc>
          <w:tcPr>
            <w:tcW w:w="120" w:type="dxa"/>
            <w:vAlign w:val="bottom"/>
          </w:tcPr>
          <w:p>
            <w:pPr>
              <w:spacing w:after="0"/>
              <w:rPr>
                <w:sz w:val="18"/>
                <w:szCs w:val="18"/>
                <w:color w:val="auto"/>
              </w:rPr>
            </w:pPr>
          </w:p>
        </w:tc>
        <w:tc>
          <w:tcPr>
            <w:tcW w:w="1320" w:type="dxa"/>
            <w:vAlign w:val="bottom"/>
            <w:gridSpan w:val="2"/>
          </w:tcPr>
          <w:p>
            <w:pPr>
              <w:jc w:val="right"/>
              <w:ind w:right="672"/>
              <w:spacing w:after="0"/>
              <w:rPr>
                <w:sz w:val="20"/>
                <w:szCs w:val="20"/>
                <w:color w:val="auto"/>
              </w:rPr>
            </w:pPr>
            <w:r>
              <w:rPr>
                <w:rFonts w:ascii="Arial" w:cs="Arial" w:eastAsia="Arial" w:hAnsi="Arial"/>
                <w:sz w:val="18"/>
                <w:szCs w:val="18"/>
                <w:color w:val="auto"/>
              </w:rPr>
              <w:t>86.2%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91.9%</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REVPAR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32"/>
              <w:spacing w:after="0"/>
              <w:rPr>
                <w:sz w:val="20"/>
                <w:szCs w:val="20"/>
                <w:color w:val="auto"/>
              </w:rPr>
            </w:pPr>
            <w:r>
              <w:rPr>
                <w:rFonts w:ascii="Arial" w:cs="Arial" w:eastAsia="Arial" w:hAnsi="Arial"/>
                <w:sz w:val="18"/>
                <w:szCs w:val="18"/>
                <w:color w:val="auto"/>
              </w:rPr>
              <w:t>261</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234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Other non-casino revenues for the three months ended September 30, 2008 included food and beverage revenues of approximately $87.6 million, retail revenues of approximately $40 million, entertainment revenues of approximately $16 million, and other revenues from outlets such as the spa and salon, of approximately $13.3 million. Other non-gaming revenues for the three months ended September 30, 2007 included food and beverage revenues of approximately $82.5 million, retail revenues of approximately $30.9 million, entertainment revenues of approximately $17 million, and other revenues from outlets, including the spa and salon, of approximately $13.3 million. The increase in food and beverage revenues and retail revenues were primarily driven by our Macau operations. General growth in the Macau market and our expansion, which opened in December 2007 (including additional retail outlets), were primarily responsible for the increases. As noted earlier, we do not expect this rapid rate of growth to continue in the general Macau market due to the visa restrictions that recently became effective and increased casino and hotel capacity recently introduced or to be introduced in the near future to the market. In July 2008, the Las Vegas run of Spamalot ended at Wynn Las Vegas. We have begun the renovation of that theater and in February 2009 it will reopen as the Encore Theater featuring Danny Gans.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During the three months ended September 30, 2008, departmental expenses included casino expenses of $377.3 million, rooms expenses of $19.3 million, food and beverage expenses of $52.6 million, and entertainment, retail and other expenses of $39.4 million. Also included are general and administrative expenses of approximately $85.4 million and approximately $36.3 million charged as a provision for doubtful accounts receivable. During the three months ended September 30, 2007, departmental expenses included casino expenses of $286.4 million, room expenses of $21.3 million, food and beverage expenses of $51.5 million, entertainment, retail and other expenses of $42.1 million, general and administrative expenses of approximately $77.9 million and approximately $5.7 million charged as a provision for doubtful accounts receivable. Casino expenses have increased over the prior year quarter primarily related to the increased revenue at Wynn Macau as noted above, including the 39 percent gross win tax on casino revenues imposed by the Macau government. General and administrative expenses have increased primarily related to the opening of our expansion of Wynn Macau in December 2007. The provision for doubtful accounts increased during the three months ended September 30, 2008 compared to 2007, primarily due to the additional $22.1 million increase in reserves taken in the third quarter in light of the current global economic uncertainty.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Pre-opening costs for the three months ended September 30, 2008 were $13.9 million, compared to $1.5 million for the three months ended September 30, 2007. Pre-opening costs incurred during the three months ended September 30, 2008 related to Encore at Wynn Las Vegas. We expect that pre-opening costs will increase as the opening of Encore at Wynn Las Vegas in December 2008 approaches.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Depreciation and amortization for the three months ended September 30, 2008 of $65.5 million increased by $9.5 million when compared to the three months ended September 30, 2007, primarily due to depreciation expense associated with the expansion of Wynn Macau, a portion of which opened in September 2007 and the remainder which opened in December 2007. In addition, we shortened the estimated lives of certain hotel room furniture, fixtures and equipment at Wynn Las Vegas due to an anticipated ordinary course room renovation.</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 will continue throughout the estimated useful lives of these assets. In addition, we continually evaluate the useful life of our property and equipment, intangibles and other assets and adjust them when circumstances require.</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Property charges and other for the three months ended September 30, 2008 were $1.6 million compared to approximately $25.1 million for the three months ended September 30, 2007. Property charges and other for the three months ended September 30, 2008 include miscellaneous renovations and abandonments at both Wynn Las Vegas and Wynn Macau. Property charges and other for the three months ended September 30, 2007 included a $22.1 million charge at Wynn Macau related to significant casino and retail reconfigurations that occurred in the expansion areas that opened in December 2007.</w:t>
      </w:r>
    </w:p>
    <w:p>
      <w:pPr>
        <w:spacing w:after="0" w:line="11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response to our evaluation of our properties and the reactions of our guests, we continue to remodel and make enhancements at both Wynn Las Vegas and Wynn Macau. We expect that property charges may continue in future periods as additional enhancements to our properties are made.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Interest income decreased by $7.2 million to $2.7 million for the three months ended September 30, 2008 compared to $9.9 million for the three months ended September 30, 2007. This decrease is primarily due to a decrease in interest rates compared to the prior year quarter.</w:t>
      </w:r>
    </w:p>
    <w:p>
      <w:pPr>
        <w:spacing w:after="0" w:line="8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Interest expense was $40.3 million, net of capitalized interest of $24 million, for the three months ended September 30, 2008, compared to $34.7 million, net of capitalized interest of $13 million, for the three months ended September 30, 2007. Interest expense increased approximately $8.8 million due to the $1 billion Wynn Resorts term loan drawn in late 2007, approximately $7.1 million related to the additional $400 million First Mortgage Notes issued in November 2007 and approximately $1.3 million net on borrowings from our Wynn Las Vegas, Wynn Macau and other credit facilities. These increases were offset by an increase of $11 million in capitalized interest related to our construction activities and approximately $0.6 million less interest due to the conversion of the Debentures in July 2007.</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Our interest rate swaps are accounted for in accordance with SFAS No. 133, “Accounting for Derivative Instruments and Hedging Activities”, as amended. The fair value of our interest rate swaps are recorded as either assets or liabilities in the accompanying Condensed Consolidated Balance Sheets. Changes in the fair value of our interest rate swaps are recorded as an increase (or decrease) in swap fair value in each period. We recorded a net expense of approximately $3.6 million for the three months ended September 30, 2008 due to the net decrease in the fair value of our interest rate swaps from June 30, 2008 to September 30, 2008. During the three months ended September 30, 2007, we recorded a net expense of $4.2 million due to the net decrease in the fair value of our interest rate swaps between June 30, 2007 and September 30, 2007. In August 2008, we terminated our swaps at Wynn Macau and entered into new swaps with a maturity of August 2011. In connection with this transaction, we recorded a gain of approximately $0.9 million to reflect the increase in the value of such swaps from</w:t>
      </w:r>
    </w:p>
    <w:p>
      <w:pPr>
        <w:spacing w:after="0" w:line="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June 30, 2008 to the termination date and paid to the counterparties of the terminated swaps a cash settlement payment of approximately $2.2 million. For further information on our interest rate swaps, see Item 3—“Quantitative and Qualitative Disclosures about Market Risk.”</w:t>
      </w:r>
    </w:p>
    <w:p>
      <w:pPr>
        <w:spacing w:after="0" w:line="13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Other represents the loss recognized in connection with foreign currency remeasurements of assets and liabilities in Macau that are not denominated in the local currency.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the three months ended September 30, 2008, we recorded a tax benefit of $16.9 million. During the three months ended September 30, 2008, we recorded a deferred tax provision of $385.1 million as a result of increasing its U.S. deferred tax liability for that portion of the earnings of Wynn Macau no longer considered permanently invested abroad. Additionally, we completed a study of the taxes, levies and obligations assessed on operations of Wynn Macau under Macau law and its Macau Gaming Concession. As a result, we recorded a $385.1 million deferred tax asset and income tax benefit (net of valuation allowance increases) for foreign tax credits applicable to the earnings of Wynn Macau. As a result of these items, a net tax benefit of $0 million is included in the computation of the income tax provision for the three months ended September 30, 2008. In addition to the foregoing, we reclassified certain deferred tax assets and liabilities from noncurrent to current based upon the expected period of realization. As of September 30, 2008 we have recorded a deferred US tax provision (net of the deferred tax benefit for foreign tax credits considered more likely than not realizable) for all foreign earnings.</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effective tax rate/(benefit) for the three months ended September 30, 2008, computed without regard to the $0 million net deferred tax benefit discussed in the preceding paragraph, was (49.2%) This amount was 84.2 percentage points lower than the U.S. Federal rate of 35.0%, primarily due to the tax holiday applicable to the earnings of Wynn Macau, S.A., as described below and U.S. tax deductions resulting from Encore at Wynn Las Vegas pre-opening expenses.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we were exempted from the payment of approximately $5.2 million in such taxes for the three months ended September 30, 2008. Our non-gaming profits remain subject to the Macau Complementary Tax and casino winnings remain subject to the Macau Special Gaming tax (at a rate equal to 39%) and other levies in accordance with its concession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2008 Compared to the Nine Months Ended September 30, 2007</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revenues for the nine months ended September 30, 2008 are comprised of $1,806 million in casino revenues (76% of total net revenues) and $567.1 million of net non-casino revenues (24% of total net revenues). Net revenues for the nine months ended September 30, 2007 were comprised of $1,425.8 million in casino</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revenues (72.1% of total net revenues) and $550.4 million of net non-casino revenues (27.9% of total net revenues). The quality of our resorts’ non-casino amenities, combined with providing guests an unparalleled total resort experience, has driven a premium in the two properties’ ADR and other non-gaming revenues as well as increased the length of play in our casinos.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nine months ended September 30, 2008 of approximately $1,806 million represents a $380.2 million (or 27%) increase from casino revenues of $1,425.8 million for the nine months ended September 30, 2007. At Wynn Las Vegas, we experienced a $93.4 million decrease in casino revenues compared to the prior year due to a 1.9% decrease in drop and a decrease in our table games win percentage. Our table games win percentage (before discounts) for the nine months ended September 30, 2008 was 21.6%, which is within the expected range of 21% to 24% and compares to 26% for the prior year. Slot handle at Wynn Las Vegas decreased 9.2% during the nine months ended September 30, 2008 as compared to 2007, and the slot win percentage was within the expected range of 4.5% to 5.5%.</w:t>
      </w:r>
    </w:p>
    <w:p>
      <w:pPr>
        <w:spacing w:after="0" w:line="120"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Casino revenues at Wynn Macau increased $473.5 million during the nine months ended September 30, 2008, compared to the prior year. At Wynn Macau, we experienced an 68.4% increase in turnover in the VIP casino segment and our win as a percent of turnover was 3%, which is within the expected range of</w:t>
      </w:r>
    </w:p>
    <w:p>
      <w:pPr>
        <w:ind w:right="20"/>
        <w:spacing w:after="0" w:line="252" w:lineRule="auto"/>
        <w:rPr>
          <w:sz w:val="20"/>
          <w:szCs w:val="20"/>
          <w:color w:val="auto"/>
        </w:rPr>
      </w:pPr>
      <w:r>
        <w:rPr>
          <w:rFonts w:ascii="Arial" w:cs="Arial" w:eastAsia="Arial" w:hAnsi="Arial"/>
          <w:sz w:val="18"/>
          <w:szCs w:val="18"/>
          <w:color w:val="auto"/>
        </w:rPr>
        <w:t>2.7% to 3% compared to 3.2% in the prior year. Our VIP casino segment win as a percent of turnover includes a nominal beneficial effect attributable to non-rolling chip play. In our general casino at Wynn Macau, drop increased 20.4% when compared to the prior year and the table games win percentage was 19.6%, which is within the expected range of 18% to 20%. The table game win percentage at Wynn Macau for the nine months ended September 30, 2007 was 19%. Slot handle at Wynn Macau increased 104.6% compared to the prior year and the slot win percentage was within the expected range of 4.5% to 5.5%. The increase in casino revenue at Wynn Macau is a result of growth in the Macau market as well as our casino expansion which opened in December 2007. We expect that this rapid growth in the Macau market will slow due to new visa restrictions that recently went into effect and limit visitation to Macau by residents of the People’s Republic of China.</w:t>
      </w:r>
    </w:p>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the nine months ended September 30, 2008, total room revenues were approximately $251.7 million, a $3 million decrease compared to the nine months ended September 30, 2007. Room revenue at Wynn Las Vegas decreased approximately $7.3 million compared to the prior year due to lower occupancy and lower rates, while room revenue at Wynn Macau increased approximately $4.3 million due to increased rates. The table below sets forth key operating measures related to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51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7"/>
              </w:rPr>
              <w:t>September 30,</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2008</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Daily Rate</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32"/>
              <w:spacing w:after="0"/>
              <w:rPr>
                <w:sz w:val="20"/>
                <w:szCs w:val="20"/>
                <w:color w:val="auto"/>
              </w:rPr>
            </w:pPr>
            <w:r>
              <w:rPr>
                <w:rFonts w:ascii="Arial" w:cs="Arial" w:eastAsia="Arial" w:hAnsi="Arial"/>
                <w:sz w:val="18"/>
                <w:szCs w:val="18"/>
                <w:color w:val="auto"/>
              </w:rPr>
              <w:t>291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8"/>
                <w:szCs w:val="18"/>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Occupancy</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Las Vegas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3"/>
              </w:rPr>
              <w:t>96.1%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Wynn Macau</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72"/>
              <w:spacing w:after="0"/>
              <w:rPr>
                <w:sz w:val="20"/>
                <w:szCs w:val="20"/>
                <w:color w:val="auto"/>
              </w:rPr>
            </w:pPr>
            <w:r>
              <w:rPr>
                <w:rFonts w:ascii="Arial" w:cs="Arial" w:eastAsia="Arial" w:hAnsi="Arial"/>
                <w:sz w:val="18"/>
                <w:szCs w:val="18"/>
                <w:color w:val="auto"/>
                <w:w w:val="93"/>
              </w:rPr>
              <w:t>87.5%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87.7%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REVPAR</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32"/>
              <w:spacing w:after="0"/>
              <w:rPr>
                <w:sz w:val="20"/>
                <w:szCs w:val="20"/>
                <w:color w:val="auto"/>
              </w:rPr>
            </w:pPr>
            <w:r>
              <w:rPr>
                <w:rFonts w:ascii="Arial" w:cs="Arial" w:eastAsia="Arial" w:hAnsi="Arial"/>
                <w:sz w:val="18"/>
                <w:szCs w:val="18"/>
                <w:color w:val="auto"/>
              </w:rPr>
              <w:t>280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8"/>
                <w:szCs w:val="18"/>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Other non-casino revenues for the nine months ended September 30, 2008 included food and beverage revenues of approximately $275.6 million, retail revenues of approximately $114.2 million, entertainment revenues of approximately $54 million, and other revenues from outlets such as the spa and salon, of approximately $42.2 million. Other non-gaming revenues for the nine months ended September 30, 2007 included food and beverage revenues of approximately $262.6 million, retail revenues of approximately $87.4</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million, entertainment revenues of approximately $46.7 million, and other revenues from outlets, including the spa and salon, of approximately $42 million. The increase in food and beverage revenues and retail revenues were primarily driven by our Macau operations. General growth in the Macau market and our expansion, which opened in December 2007 (including additional retail outlets), were primarily responsible for the increases. Entertainment revenues increased an approximate $10.7 million from Le Rêve at Wynn Las Vegas, offset by a decrease of $3.3 million due to Spamalot which closed mid-July 2008. In March 2008, together with the producers, we elected to end Spamalot’s run at Wynn Las Vegas in July 2008 pursuant to the terms of our contract. We are currently renovating the theater and in February 2009 it will reopen as the Encore Theater featuring Danny Gans.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During the nine months ended September 30, 2008, departmental expenses included casino expenses of $1,165.6 million, rooms expenses of $60.1 million, food and beverage expenses of $159.4 million, and entertainment, retail and other expenses of $127.3 million. Also included are general and administrative expenses of approximately $249.6 million and approximately $49 million charged as a provision for doubtful accounts receivable. During the nine months ended September 30, 2007, departmental expenses included casino expenses of $840.8 million, room expenses of $63.7 million, food and beverage expenses of $160.7 million, entertainment, retail and other expenses of $118.6 million, general and administrative expenses of approximately $230.4 million and approximately $27.8 million charged as a provision for doubtful accounts receivable. Casino expenses have increased over the prior year primarily related to the increased revenue at Wynn Macau as noted above, including the 39 percent gross win tax on casino revenues. General and administrative expenses have increased primarily related to the opening of our expansion of Wynn Macau in December 2007. The provision for doubtful accounts increased during the nine months ended September 30, 2008 compared to 2007, primarily due to a $22.1 million increase in reserves taken in light of the current global economic uncertainty.</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Pre-opening costs for the nine months ended September 30, 2008 were $26.1 million compared to $4.2 million for the nine months ended September 30, 2007. Pre-opening costs incurred during the nine months ended September 30, 2008 related to Encore at Wynn Las Vegas. We expect that pre-opening costs will increase as the opening of Encore at Wynn Las Vegas in December 2008 approaches.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Depreciation and amortization for the nine months ended September 30, 2008 of $192.1 million increased by $32.6 million when compared to the nine months ended September 30, 2007, primarily due to depreciation expense associated with the expansion of Wynn Macau, a portion of which opened in September 2007 and the remainder which opened in December 2007. In addition, we shortened the estimated lives of certain hotel room furniture, fixtures and equipment at Wynn Las Vegas due to an anticipated ordinary course room renovation.</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circumstances require.</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Property charges and other for the nine months ended September 30, 2008 were $31.2 million compared to approximately $51.4 million for the nine months ended September 30, 2007. Property charges and other for the nine months ended September 30, 2008 include $17.8 million of costs associated with Spamalot at Wynn Las Vegas which closed in mid-July 2008. In March 2008, we, together with the producers, elected to end the show’s run at Wynn Las Vegas pursuant to the contract. The charge includes production rights that were included in intangible assets, show production costs that were included in other assets and certain other property and equipment. We also incurred a charge of $3.6 million related to the abandonment of certain existing floor space at Wynn Macau to begin construction on a new restaurant. The remaining property charges were related to miscellaneous renovations and abandonments at both Wynn Las Vegas and Wynn Macau. Property charges and other for the nine months ended September 30, 2007 included the following at Wynn Macau: (a) a $10 million charge for the abandonment of our parking garage to make way for Encore at Wynn Macau, (b) a $10.2 million charge related to abandonment costs for portions of the main kitchen, warehouse and restaurants to enable the main casino to be connected with the expansion that opened in December 2007, and (c) a $22.1 million charge related to significant casino and retail reconfigurations in the expansion that opened in December 2007.</w:t>
      </w:r>
    </w:p>
    <w:p>
      <w:pPr>
        <w:spacing w:after="0" w:line="12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response to our evaluation of our properties and the reactions of our guests, we continue to remodel and make enhancements at both Wynn Las Vegas and Wynn Macau. We expect that property charges may continue in future periods as additional enhancements to our properties are made.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Interest income decreased by $10.9 million to $20.1 million for the nine months ended September 30, 2008 compared to $31 million for the nine months ended September 30, 2007. This decrease is primarily due to a decrease in interest rates compared to the prior year.</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Interest expense was $126.5 million, net of capitalized interest of $61.4 million, for the nine months ended September 30, 2008, compared to $107.9 million, net of capitalized interest of $29.1 million, for the nine months ended September 30, 2007. Interest expense increased approximately $38 million due to borrowings under the $1 billion Wynn Resorts term loan drawn in late 2007 and approximately $21.3 million related to the additional $400 million First Mortgage Notes issued in November 2007. These increases were offset by approximately $7.8 million less interest due to the conversion of the Debentures in July 2007, an increase of $32.3 million in capitalized interest related to our construction activities and approximately $0.6 million net on borrowings from our Wynn Las Vegas, Wynn Macau and other credit facilities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swaps are recorded as either assets or liabilities in the accompanying Condensed Consolidated Balance Sheets. Changes in the fair value of our interest rate swaps are recorded as an increase (or decrease) in swap fair value in each period. We recorded a net gain of approximately $5.1 million for the nine months ended September 30, 2008 due to the net increase in the fair value of our interest rate swaps from December 31, 2007 to September 30, 2008. During the nine months ended September 30, 2007, we recorded a net expense of $2.3 million due to the net decrease in the fair value of interest rate swaps between December 31, 2006 and September 30, 2007. For further information on our interest rate swaps, see Item 3—“Quantitative and Qualitative Disclosures about Market Risk.”</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Other represents the loss recognized in connection with foreign currency remeasurements of assets and liabilities in Macau that are not denominated in the local currency.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nine months ended September 30, 2008, we recorded tax benefits of $159.7 million. As of September 30, 2008 we recorded a deferred tax provision of $635.2 million as a result of increasing its U.S. deferred tax liability for the earnings of Wynn Macau no longer considered permanently invested abroad. Additionally, we completed a study of the taxes, levies and obligations assessed on operations of Wynn Macau under Macau law and its Macau Gaming Concession. As a result, we recorded a $775.9 million deferred tax asset and income tax benefit (net of valuation allowance increases) for foreign tax credits applicable to the earnings of Wynn Macau. As a result of these items, a net tax benefit of $140.7 million is included in the computation of the income tax provision for the nine months ended September 30, 2008. In addition to the foregoing, we reclassified certain deferred tax assets and liabilities from noncurrent to current based upon the expected period of realization. As of September 30, 2008 we have recorded a deferred US tax provision (net of the deferred tax benefit for foreign tax credits considered more likely than not realizable) for all foreign earnings.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effective tax rate/(benefit) for the nine months ended September 30, 2008, computed without regard to the $140.7 million net deferred tax benefit discussed in the preceding paragraph, was (9.1%). This rate was 44.1 percentage points lower than the U.S. Federal rate of 35%, primarily due to the tax holiday applicable to the earnings of Wynn Macau, S.A., as described below and U.S. tax deductions resulting from Encore at Wynn Las Vegas pre-opening expenses. There is no U.S. provision for taxes on our Macau earnings that are considered permanently invested abroad.</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we were exempted from the payment of approximately $24.8 million in such taxes for the nine months ended September 30, 2008. Our non-gaming profits remain subject to the Macau Complementary Tax and casino winnings remain subject to the Macau Special Gaming tax and other levies (at a rate equal to 39%) in accordance with its concession agreement.</w:t>
      </w:r>
    </w:p>
    <w:p>
      <w:pPr>
        <w:spacing w:after="0" w:line="218"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4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Net cash provided from operations for the nine months ended September 30, 2008 was $488.8 million compared to $542.3 million provided by operations for the nine months ended September 30,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require a certain amount of cash on hand for operations. At September 30, 2008, we had approximately $1.7 billion of cash and cash equivalents available for operations, new development activities, general corporate purposes, enhancements to Wynn Las Vegas and Wynn Macau, and to support the development and construction of Encore at Wynn Las Vegas and Encore at Wynn Macau. Our cash balances at September 30, 2008 included approximately $500 million from a September 2008 draw under our Wynn Macau Revolver and approximately $364 million remaining from a September 2008 draw under our Wynn Las Vegas Revolver. We made these borrowings to maintain our financial flexibility in light of volatility and uncertainty in the credit markets. Approximately $1.7 million of our cash balance is held by Wynn Resorts, Limited, which is not a guarantor of the debt of its subsidiaries, including Wynn Las Vegas, LLC and Wynn Macau, S.A. In addition, as of September 30, 2008, we have availability under our Wynn Macau Senior Revolving Credit Facility of $500 million as noted below under Financing Activities.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2008, we had approximately $31.6 million in restricted cash which is restricted for the Encore at Wynn Las Vegas completion guarantee.</w:t>
      </w:r>
    </w:p>
    <w:p>
      <w:pPr>
        <w:spacing w:after="0" w:line="19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Cash and cash equivalents include investments in U.S. Treasury Bills and bank time deposits, all with maturities of less than 90 days. Restricted cash is currently kept in a U.S. Treasury fund.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April 28, 2006, we commenced construction on Encore at Wynn Las Vegas. We expect to open Encore at Wynn Las Vegas in December 2008. Design and construction is progressing as expected. Current construction activities include the following:</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Construction is essentially complete in the tower;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FF&amp;E installation in the typical guestrooms is 100% complete and in the suites is 80% complete;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Temporary Certificates of Occupancy (TCO) have been received for the highrise, convention, meeting and ballroom areas, warehouses, central plant and the parking garage;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Casino load-in has commenced;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Final grading is 90% complete with curbs and driveways 70% complete and landscaping is underway;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Pool construction is 100% complete.</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project budget is approximately $2.3 billion for Encore at Wynn Las Vegas and related capital improvements. The project is being funded with proceeds from our Wynn Las Vegas Credit Facilities and operating cash flow from Wynn Las Vegas. To the extent additional funds are required, we will provide these amounts with additional debt and equity contributions by Wynn Resorts or additional indebtedness to be incurred by Wynn Las Vegas.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at Wynn Las Vegas. The Contract sets forth all of the terms and conditions pursuant to which Tutor will design and construct Encore at Wynn Las Vegas. In June 2007, we executed the first amendment to the Contract which set the guaranteed maximum price for work under the Contract at $1.3 billion. Subsequent change orders bring the current guaranteed maximum price to $1.4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September 30, 2008, we had incurred approximately $1.8 billion of project costs related to the development and construction of Encore at Wynn Las Vegas and related capital improvements.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at Wynn Las Vegas will be paid with funds from the following sources and in the following order of priority:</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First, by using excess cash flow from the operations of Wynn Las Vegas;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Second, by using the proceeds of borrowings under the Wynn Las Vegas Credit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 additional equity contributions from Wynn Resorts;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Fourth, by using the funds from the completion guarantee deposit account.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response to our evaluation of Wynn Las Vegas and the reactions of our guests, we continue to make certain enhancements and refinements to the property. As a result, we have incurred and will continue to incur capital expenditures relating to these enhancements and refinements.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As at Wynn Las Vegas, in response to our evaluation of Wynn Macau and the reactions of our guests, we continue to make certain enhancements and refinements to this property. As a result, we have incurred and will continue to incur capital expenditures relating to these enhancements and refinements.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Macau</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June 2007, we commenced construction on Encore at Wynn Macau, a further expansion of Wynn Macau. Encore at Wynn Macau is a second hotel tower for Wynn Macau situated on top of a new low-rise podium. We expect Encore at Wynn Macau to open in the first quarter of 2010.</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 of the project continues to progress and current construction activities include the following:</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Construction of the tower portion of the low-rise podium and the tower has reached the 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4"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basement structure has been completed;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central plant on the roof of Wynn Macau is complete.</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expect total development and construction costs to be approximately $700 million. The project budget will be funded from our cash flow from operations at Wynn Macau and existing Wynn Macau Credit Facilities.</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July 2007, Wynn Macau S.A. issued a notice to proceed and on November 8, 2007, executed a guaranteed maximum price contract for $347.8 million with Leighton Contractors (Asia) Limited, China State Construction Engineering (Hong Kong) Limited and China Construction Engineering (Macau) Company Limited, acting together as the general contractor for the construction of the Encore at Wynn Macau.</w:t>
      </w:r>
    </w:p>
    <w:p>
      <w:pPr>
        <w:spacing w:after="0" w:line="107" w:lineRule="exact"/>
        <w:rPr>
          <w:sz w:val="20"/>
          <w:szCs w:val="20"/>
          <w:color w:val="auto"/>
        </w:rPr>
      </w:pPr>
    </w:p>
    <w:p>
      <w:pPr>
        <w:jc w:val="both"/>
        <w:ind w:right="140" w:firstLine="456"/>
        <w:spacing w:after="0" w:line="268" w:lineRule="auto"/>
        <w:rPr>
          <w:sz w:val="20"/>
          <w:szCs w:val="20"/>
          <w:color w:val="auto"/>
        </w:rPr>
      </w:pPr>
      <w:r>
        <w:rPr>
          <w:rFonts w:ascii="Arial" w:cs="Arial" w:eastAsia="Arial" w:hAnsi="Arial"/>
          <w:sz w:val="18"/>
          <w:szCs w:val="18"/>
          <w:color w:val="auto"/>
        </w:rPr>
        <w:t>As of September 30, 2008, we had incurred approximately $150.1 million of project costs related to the development and construction of Encore at Wynn Macau.</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Limited</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On June 6, 2007, our Board of Directors authorized an equity repurchase program of up to $1.2 billion. On July 10, 2008, our Board of Directors authorized an increase of $500 million to the previously announced equity repurchase program bringing the total authorized to $1.7 billion. The repurchase program may include repurchases from time to time through open market purchases, in privately negotiated transactions, and under plans complying with Rules 10b5-1 and 10b-18 under the Exchange Act. During the nine months ended September 30, 2008, we repurchased 10,915,633 shares at a net cost of $940.1 million. As of September 30, 2008, we had repurchased a total of 12,804,954 shares of our common stock for a net cost of $1.1 billion, at an average price of $87.42 per share.</w:t>
      </w:r>
    </w:p>
    <w:p>
      <w:pPr>
        <w:spacing w:after="0" w:line="144"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color w:val="auto"/>
        </w:rPr>
        <w:t>On June 21, 2007, we entered into a $1 billion term loan facility (the “Term Loan”). All amounts under this facility were borrowed as of December 31, 2007 and remain outstanding as of September 30, 2008 and no additional amounts are available. The Term Loan will mature and be payable on June 21, 2010. The Term Loan was available to fund (a) our equity repurchase program announced on June 7, 2007 and (b) up to $350 million for general corporate purposes.</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Term Loan accrues interest at our election of LIBOR or a Base Rate, plus a borrowing margin as described below. Interest on LIBOR loans is payable at the end of the applicable interest period in the case of interest periods of one, two or three months, and every three months in the case of interest periods of nine months or longer. Base Rate loans bear interest at (a) the greater of (i) the rate most recently announced by Deutsche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Bank as its “prime rate,” or (ii) the Federal Funds Rate plus 1/2 of 1% per annum; plus (b) a borrowing margin as described below. Interest on Base Rate loans are payable quarterly in arrears. The borrowing margin is 2.25% for LIBOR loans and 1% for Base Rate loans, if our net liquidity is equal to or greater than $400 million and 2.50% for LIBOR loans and 1.25% for Base Rate loans, if our net liquidity is less than $400 million. For borrowings under the Term Loan, we have historically elected interest at LIBOR plus a margin of 2.25% on the outstanding balance.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 at 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2008, our Wynn Las Vegas credit facilities consist of a $900 million revolving credit facility (the “Wynn Las Vegas Revolver”)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$225 million term loan facility (the “Wynn Las Vegas Term Loan”) (together the “Wynn Las Vegas Credit Facilities”). For borrowings under the Wynn Las Vegas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we historically have elected Eurodollar loans which bear interest at the 1-month LIBOR and include a margin of 1.875% on that outstanding balance.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have a $200 million notional amount interest rate swap to essentially fix the interest on $200 million of the Wynn Las Vegas Term Loan at the rate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5.7% per annum. (For further information, see Item 3. “Quantitative and Qualitative Discussions about Market Risk”.)</w:t>
      </w:r>
    </w:p>
    <w:p>
      <w:pPr>
        <w:spacing w:after="0" w:line="16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During the nine months ended September 30, 2008, we borrowed $879.5 million under the Wynn Las Vegas Revolver. We also have $20.5 million of outstanding letters of credit that reduce our availability under the Wynn Las Vegas Revolver. Consequently, as of September 30, 2008, no amounts remain available under the Wynn Las Vegas Revolver for future borrowings. Cash and cash equivalents as of September 30, 2008, included $364 million remaining from draws under the Wynn Las Vegas Revolver which will be used to fund construction costs of Encore at Wynn Las Vegas. For borrowings under the Wynn Las Vegas Revolver, we have historically elected Eurodollar loans, which bear interest at the 1-month LIBOR and currently include a margin of 1.625% on the outstanding balance. After opening Encore at Wynn Las Vegas, the margin will fluctuate between a range of 1 to 1.75%, depending on our leverage ratio. In addition to interest, we also pay quarterly in arrears, an annual rate of 0.375% on the daily average of unborrowed availability. After the opening of Encore at Wynn Las Vegas, the annual fee that we will be required to pay for unborrowed availability is based on our leverage ratio and will range from an annual rate of 0.25% to 0.50%.</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$900 million Wynn Las Vegas Revolver will terminate and be payable in full on August 15, 2011. The Wynn Las Vegas Term Loan will mature in two installments: $112.5 million will be payable on September 30, 2012 and the remaining $112.5 million will be payable on August 15, 2013.</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September 17, 2008, Wynn Las Vegas entered into a third amendment to its Amended and Restated Credit Agreement dated as of August 15, 2006, as amended April 9, 2007 and as further amended October 31, 2007. This amendment, among other things, provides Wynn Las Vegas with additional flexibility with respect to its financial covenants and related financial calculations and permits Wynn Las Vegas to incur incremental secured debt of up to $150 million in connection with the development of Encore at Wynn Las Vegas.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and Encore at Wynn Macau</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June 27, 2007, Wynn Resorts (Macau) S.A., amended its credit facility, dated September 14, 2005 (“Amended Common Terms Agreement”), and entered into other related amendments and agreements with a syndicate of lenders. The Amended Common Terms Agreement and related agreements took effect on June 29, 2007 and expand availability under Wynn Macau, S.A.’s existing senior bank facility from $764 million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$1.550 billion, in a combination of Hong Kong and U.S. dollars, including a $550 million equivalent fully funded senior term loan facility (the “Wynn Macau Term Loan”), and a $1 billion senior revolving credit facility (the “Wynn Macau Revolver”) (together the “Wynn Macau Credit Facilities”). Wynn Macau, S.A. also has the ability to upsize the total facilities by an additional $50 million pursuant to the terms and provisions of the Amended Common Terms Agreement.</w:t>
      </w:r>
    </w:p>
    <w:p>
      <w:pPr>
        <w:spacing w:after="0" w:line="10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During the nine months ended September 30, 2008, we borrowed approximately $500 million under the Wynn Macau Revolver which leaves remaining availability of $500 million. Our ability to draw the remaining availability under this facility could be impaired if one or more of the lenders are unwilling or unable to honor their obligation to lend to us. Cash and cash equivalents as of September 30, 2008, include $500 million from draws under the Wynn Macau Revolver during the quarter. This cash and any future borrowings under the Wynn Macau Revolver will be used to complete Encore at Wynn Macau and for general corporate purposes.</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Wynn Macau Term Loan matures in June 2014, and the Wynn Macau Revolver matures in June 2012. The principal amount of the term loans is required to be repaid in quarterly installments, commencing in September 2011. Borrowings under the Wynn Macau Credit Facilities bear interest at LIBOR or HIBOR plus a margin of 1.75%.</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Collateral for the Wynn Macau Credit Facilities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straight forward interest rate swaps. We do not have any retained or contingent interest in assets transferred to an unconsolidated entity. At September 30, 2008, we had outstanding letters of credit totaling $20.5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 and Commitments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There have been no material changes during the quarter to our contractual obligations or off balance sheet arrangements as disclosed in our Annual Report on Form 10-K for the year ended December 31, 2007, other than an increase in the amount of debt outstanding and a decrease in construction related commitments.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distribution of the net proceeds of the subconcession sale and, provided certain conditions are met, earnings and loan proceeds. Further, the $1 billion Wynn Resorts Term Loan Facility places various restrictions on our ability to pay dividends.</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completion of Encore at Wynn Las Vegas is delayed, then our debt service obligations accruing prior to the actual opening will increase correspondingly. Wynn Las Vegas intends to fund its operations and capital requirements from operating cash flow and to the extent additional funds are required, with additional</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contributions from Wynn Resorts or additional indebtedness to be incurred by Wynn Las Vegas. We cannot assure you, however, that Wynn Las Vegas will generate sufficient cash flow from operations or that future contributions from Wynn Resorts or the availability of additional indebtedness will be sufficient to enable us to service and repay Wynn Las Vegas, LLC’s indebtedness and to fund its other liquidity needs. Similarly, we expect that Wynn Macau will fund Wynn Macau, S.A.’s debt service obligations with operating cash flow and remaining availability under its senior secured bank facility. However, we cannot assure you that operating cash flows and available borrowings will be sufficient to do so. We may refinance all or a portion of our indebtedness on or before maturity. Continued volatility in the capital markets may affect our ability to access those markets for additional borrowings or may increase costs associated with borrowing funds. We cannot assure you that we will be able to refinance any of the indebtedness on acceptable terms or at all.</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and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11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2007. There has been no material change to these policies for the nine months ended September 30,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In September 2006, the Financial Accounting Standards Board (the “FASB”) issued Statement of Financial Accounting Standards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 recognized or disclosed at fair value in the entity’s financial statements on a recurring basis to fiscal years beginning after November 15, 2008 and interim periods within those fiscal years. We partially adopted the provisions of SFAS 157 effective January 1, 2008 and expect to adopt the remaining provisions of SFAS 157 on January 1, 2009. The adoption of this statement did not have a material impact on our consolidated financial statements.</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SFAS No. 159 on January 1, 2008, did not have a material impact on our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our financial position, results of operations or cash flows.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interests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our financial position, results of operations or cash flows.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our financial position, results of operations or cash flows.</w:t>
      </w:r>
    </w:p>
    <w:p>
      <w:pPr>
        <w:spacing w:after="0" w:line="113"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In May 2008, the FASB issued FASB Staff Position APB 14-1, Accounting for Convertible Debt Instruments That May Be Settled in Cash upon Conversion (Including Partial Cash Settlement) (the “FSP”). The FSP requires the issuer of certain convertible debt instruments that may be settled in cash on conversion to separately account for the liability (debt) and equity (conversion option) components of the instrument in a manner that reflects the issuer’s nonconvertible debt borrowing rate. The FSP is effective for financial statements issued for fiscal years beginning after December 15, 2008 and interim periods within those fiscal years and does not permit earlier application. However, the transition guidance requires retrospective application to all periods presented and does not grandfather existing instruments. We are currently evaluating the impact that the adoption of the FSP will have on its consolidated financial statements.</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2008, the FASB issued FSP EITF 03-6-1, Determining Whether Instruments Granted in Share-Based Payment Transactions are Participating Securities. This FSP addresses whether instruments granted in share-based payment transactions are participating securities prior to vesting and, therefore, need to be included in the earnings allocation in computing earnings per share (“EPS”) under the two-class method described in paragraphs 60 and 61 of FASB Statement No. 128, Earnings per Share. The FSP will be effective for financial statements issued for fiscal years and interim periods beginning after December 15, 2008. All prior period EPS data presented shall be adjusted retrospectively to conform to the provisions of this FSP. We are currently evaluating the impact of this FSP, but does not expect it to have a material impact on its consolidated results of operations or financial position.</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October 2008, the FASB issued FASB Staff Position No. FAS 157-3, Determining the Fair Value of a Financial Asset When the Market for That Asset is Not Active (FSP 157-3 or the FSP). FSP 157-3 clarifies the application of SFAS No. 157, Fair Value Measurements (Statement 157), in a market that is not active. The FSP amends Statement 157 to include an example that illustrates key considerations when applying the principles in Statement 157 to financial assets when the market for these instruments is not active.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account for these swaps under SFAS No. 133 and its related interpretations.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w:t>
      </w:r>
    </w:p>
    <w:p>
      <w:pPr>
        <w:spacing w:after="0" w:line="90"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On February 1, 2008, we entered into an interest rate swap to hedge the underlying interest rate risk on all of the borrowings under the $1 billion Wynn Resorts Term Loan Facility, which bears interest at LIBOR plus 2.25%. Pursuant to the terms of this interest rate swap, we pay a fixed rate of 2.836% on the $1 billion notional amount and receive payment based on LIBOR. This swap fixes the interest rate at approximately 5.09%. This swap terminates in June 2010.</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September 30, 2008, we have one interest rate swap arrangement to hedge the underlying interest rate risk on a total of $200 million of borrowings under the current Wynn Las Vegas, LLC Term Loan, which bears interest at LIBOR plus 1.875%. Under this interest rate swap arrangement, we receive payments at a variable rate of LIBOR and pay a fixed rate of 3.793% on the $200 million notional amount which expires on December 31, 2008. Although this interest rate swap is highly effective economically in fixing the interest rate on this borrowing under the term loan facility at approximately 5.7%, changes in fair value of our interest rate swaps for each reporting period are, and will continue to be, recorded as an increase/(decrease) in swap fair value in our Condensed Consolidated Statements of Income, as the swap does not qualify for hedge accounting.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September 30, 2008, we have two interest rate swaps to hedge a portion of the underlying interest rate risk on borrowings under the Wynn Macau Term Loan. Under the first swap agreement, we pay a fixed interest rate of 3.632% on U.S. dollar borrowings of $153.8 million incurred under the Wynn Macau Term Loan in exchange for receipts on the same amounts at a variable interest rate based on the applicable LIBOR at the time of payment. Under the second swap agreement, we pay a fixed interest rate of 3.39% on Hong Kong dollar borrowings of approximately HK$991.6 million (approximately U.S. $127 million) incurred under the Wynn Macau Term Loan in exchange for receipts on the same amounts at a variable interest rate based on the applicable HIBOR at the time of payment. The term of both swap agreements is from August 2008 through August 2011.</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These interest rate swaps fix the interest rates on the current U.S. dollar and Hong Kong dollar borrowings under the Wynn Macau Term Loan at approximately 5.382% and 5.14%, respectively. However, changes in the fair values of these interest rate swaps for each reporting period recorded are, and will continue to be, recognized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as an increase/(decrease) in swap fair value in our Condensed Consolidated Statements of Income, as the swaps do not qualify for hedge accounting.</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presents the historical asset or (liability) fair values of our interest rate swap arrangements as recorded in our Condensed Consolidated Balance Sheets as of September 30, 2008 and December 31, 2007 (all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Net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Wynn</w:t>
            </w:r>
          </w:p>
        </w:tc>
        <w:tc>
          <w:tcPr>
            <w:tcW w:w="2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Wynn Las</w:t>
            </w:r>
          </w:p>
        </w:tc>
        <w:tc>
          <w:tcPr>
            <w:tcW w:w="220" w:type="dxa"/>
            <w:vAlign w:val="bottom"/>
          </w:tcPr>
          <w:p>
            <w:pPr>
              <w:spacing w:after="0"/>
              <w:rPr>
                <w:sz w:val="12"/>
                <w:szCs w:val="12"/>
                <w:color w:val="auto"/>
              </w:rPr>
            </w:pPr>
          </w:p>
        </w:tc>
        <w:tc>
          <w:tcPr>
            <w:tcW w:w="10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Wynn</w:t>
            </w: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61"/>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w w:val="93"/>
              </w:rPr>
              <w:t>Asset/(Liability) fair value at:</w:t>
            </w:r>
          </w:p>
        </w:tc>
        <w:tc>
          <w:tcPr>
            <w:tcW w:w="5840" w:type="dxa"/>
            <w:vAlign w:val="bottom"/>
          </w:tcPr>
          <w:p>
            <w:pPr>
              <w:spacing w:after="0"/>
              <w:rPr>
                <w:sz w:val="14"/>
                <w:szCs w:val="14"/>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0"/>
              </w:rPr>
              <w:t>Resorts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Vegas</w:t>
            </w:r>
          </w:p>
        </w:tc>
        <w:tc>
          <w:tcPr>
            <w:tcW w:w="22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Macau</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1"/>
              </w:rPr>
              <w:t>Rate Swaps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2008</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6,651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December 31, 2007</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Pr>
          <w:p>
            <w:pPr>
              <w:spacing w:after="0"/>
              <w:rPr>
                <w:sz w:val="19"/>
                <w:szCs w:val="19"/>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fair value approximates the amount we would pay/receive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As of September 30, 2008, approximately 65% of our long-term debt was based on fixed rates, including the notional amounts related to interest rate swaps. Based on our borrowings as of September 30, 2008, an assumed 1% change in variable rates would cause our annual interest cost to change by approximately $17.4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64"/>
        <w:spacing w:after="0" w:line="286"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our internal control over financial reporting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Rules 13a-15(f) and 15d-15(f) under the Exchange Act) during the quarter to which this report relates that materially affected, or are reasonably likely to materially affect, our internal control over financial reporting.</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IA.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2007. There were no material changes to those risk factors during the nine months ended September 30, 2008, except as follows: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Continued disruption in the world financial markets may adversely impact the spending patterns of our customers and the availability and cost of borrowing.</w:t>
      </w:r>
    </w:p>
    <w:p>
      <w:pPr>
        <w:spacing w:after="0" w:line="1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Changes in discretionary consumer spending in the markets where we operate resulting from the slowdown in economies globally, continued disruptions in the world financial and credit markets may result in fewer customers visiting, or customers spending less, at our properties, which will adversely impact our revenues and the availability and cost of credit. The current situation in the world credit markets and the disruption in the normal flow of credit among financial institutions may adversely impact the availability and cost of credit, which could adversely affect our future growth and operations. There can be no assurances that government responses to the disruptions in the financial and credit markets will restore consumer confidence, stabilize the markets or increase liquidity and the availability of credit. As a result, customer demand for the luxury amenities and leisure activities that we offer may be depressed or decline for an extended period.</w:t>
      </w:r>
    </w:p>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not adopted a policy regarding the payment of dividends, however we plan to evaluate the payment of dividends from time to time.</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distribution of the net proceeds of the subconcession sale and, provided certain conditions are met, earnings and loan proceeds. Further, the Wynn Resorts $1 billion term loan places various restrictions on our ability to pay dividends.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$1.2 billion Equity Repurchase Program</w:t>
      </w:r>
    </w:p>
    <w:p>
      <w:pPr>
        <w:spacing w:after="0" w:line="90"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On June 6, 2007, the Board of Directors of Wynn Resorts, Limited authorized an equity repurchase program of up to $1.2 billion which may include purchases of both its common stock and its 6% Convertible Debentures due 2015. On July 10, 2008, our Board of Directors authorized an increase of $500 million to its previously announced equity repurchase program bringing the total authorized amount to $1.7 billion. As of September 30, 2008, we had repurchased a cumulative total of 12,804,954 shares of its common stock through open market purchases for net costs of $1.1 billion, and an average price of $87.42 per share. Purchases during the three months ended September 30, 2008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5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Maximum Dollar</w:t>
            </w:r>
          </w:p>
        </w:tc>
      </w:tr>
      <w:tr>
        <w:trPr>
          <w:trHeight w:val="149"/>
        </w:trPr>
        <w:tc>
          <w:tcPr>
            <w:tcW w:w="6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5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Value of Shares that</w:t>
            </w:r>
          </w:p>
        </w:tc>
      </w:tr>
      <w:tr>
        <w:trPr>
          <w:trHeight w:val="149"/>
        </w:trPr>
        <w:tc>
          <w:tcPr>
            <w:tcW w:w="6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540" w:type="dxa"/>
            <w:vAlign w:val="bottom"/>
          </w:tcPr>
          <w:p>
            <w:pPr>
              <w:spacing w:after="0"/>
              <w:rPr>
                <w:sz w:val="12"/>
                <w:szCs w:val="12"/>
                <w:color w:val="auto"/>
              </w:rPr>
            </w:pPr>
          </w:p>
        </w:tc>
        <w:tc>
          <w:tcPr>
            <w:tcW w:w="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4"/>
              </w:rPr>
              <w:t>Average</w:t>
            </w:r>
          </w:p>
        </w:tc>
        <w:tc>
          <w:tcPr>
            <w:tcW w:w="5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a</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0"/>
              </w:rPr>
              <w:t>May Yet Be</w:t>
            </w:r>
          </w:p>
        </w:tc>
      </w:tr>
      <w:tr>
        <w:trPr>
          <w:trHeight w:val="149"/>
        </w:trPr>
        <w:tc>
          <w:tcPr>
            <w:tcW w:w="6120" w:type="dxa"/>
            <w:vAlign w:val="bottom"/>
          </w:tcPr>
          <w:p>
            <w:pPr>
              <w:spacing w:after="0"/>
              <w:rPr>
                <w:sz w:val="12"/>
                <w:szCs w:val="12"/>
                <w:color w:val="auto"/>
              </w:rPr>
            </w:pPr>
          </w:p>
        </w:tc>
        <w:tc>
          <w:tcPr>
            <w:tcW w:w="820" w:type="dxa"/>
            <w:vAlign w:val="bottom"/>
          </w:tcPr>
          <w:p>
            <w:pPr>
              <w:jc w:val="right"/>
              <w:ind w:right="61"/>
              <w:spacing w:after="0" w:line="149" w:lineRule="exact"/>
              <w:rPr>
                <w:sz w:val="20"/>
                <w:szCs w:val="20"/>
                <w:color w:val="auto"/>
              </w:rPr>
            </w:pPr>
            <w:r>
              <w:rPr>
                <w:rFonts w:ascii="Arial" w:cs="Arial" w:eastAsia="Arial" w:hAnsi="Arial"/>
                <w:sz w:val="14"/>
                <w:szCs w:val="14"/>
                <w:b w:val="1"/>
                <w:bCs w:val="1"/>
                <w:color w:val="auto"/>
              </w:rPr>
              <w:t>of Shares</w:t>
            </w:r>
          </w:p>
        </w:tc>
        <w:tc>
          <w:tcPr>
            <w:tcW w:w="54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Price Paid</w:t>
            </w:r>
          </w:p>
        </w:tc>
        <w:tc>
          <w:tcPr>
            <w:tcW w:w="5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5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w:t>
            </w:r>
          </w:p>
        </w:tc>
      </w:tr>
      <w:tr>
        <w:trPr>
          <w:trHeight w:val="161"/>
        </w:trPr>
        <w:tc>
          <w:tcPr>
            <w:tcW w:w="6120" w:type="dxa"/>
            <w:vAlign w:val="bottom"/>
          </w:tcPr>
          <w:p>
            <w:pPr>
              <w:spacing w:after="0"/>
              <w:rPr>
                <w:sz w:val="14"/>
                <w:szCs w:val="14"/>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Purchased</w:t>
            </w:r>
          </w:p>
        </w:tc>
        <w:tc>
          <w:tcPr>
            <w:tcW w:w="540" w:type="dxa"/>
            <w:vAlign w:val="bottom"/>
          </w:tcPr>
          <w:p>
            <w:pPr>
              <w:spacing w:after="0"/>
              <w:rPr>
                <w:sz w:val="14"/>
                <w:szCs w:val="14"/>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6"/>
              </w:rPr>
              <w:t>per Share</w:t>
            </w:r>
          </w:p>
        </w:tc>
        <w:tc>
          <w:tcPr>
            <w:tcW w:w="5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Announced Plan</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88"/>
              </w:rPr>
              <w:t>the Plan</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July 2008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4,256,271</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79.06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4,256,271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August 2008</w:t>
            </w:r>
          </w:p>
        </w:tc>
        <w:tc>
          <w:tcPr>
            <w:tcW w:w="8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40" w:type="dxa"/>
            <w:vAlign w:val="bottom"/>
          </w:tcPr>
          <w:p>
            <w:pPr>
              <w:jc w:val="right"/>
              <w:ind w:right="27"/>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September 2008</w:t>
            </w: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4,256,271</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79.06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4,256,271</w:t>
            </w:r>
          </w:p>
        </w:tc>
        <w:tc>
          <w:tcPr>
            <w:tcW w:w="7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580,593,100</w:t>
            </w:r>
          </w:p>
        </w:tc>
      </w:tr>
      <w:tr>
        <w:trPr>
          <w:trHeight w:val="20"/>
        </w:trPr>
        <w:tc>
          <w:tcPr>
            <w:tcW w:w="6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repurchase program may include repurchases from time to time through open market purchases or negotiated transactions, depending upon market conditions.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4"/>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(a)</w:t>
            </w:r>
          </w:p>
        </w:tc>
        <w:tc>
          <w:tcPr>
            <w:tcW w:w="10020" w:type="dxa"/>
            <w:vAlign w:val="bottom"/>
            <w:gridSpan w:val="3"/>
          </w:tcPr>
          <w:p>
            <w:pPr>
              <w:ind w:left="180"/>
              <w:spacing w:after="0"/>
              <w:rPr>
                <w:sz w:val="20"/>
                <w:szCs w:val="20"/>
                <w:color w:val="auto"/>
              </w:rPr>
            </w:pPr>
            <w:r>
              <w:rPr>
                <w:rFonts w:ascii="Arial" w:cs="Arial" w:eastAsia="Arial" w:hAnsi="Arial"/>
                <w:sz w:val="18"/>
                <w:szCs w:val="18"/>
                <w:color w:val="auto"/>
              </w:rPr>
              <w:t>Exhibits</w:t>
            </w:r>
          </w:p>
        </w:tc>
      </w:tr>
      <w:tr>
        <w:trPr>
          <w:trHeight w:val="5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20" w:type="dxa"/>
            <w:vAlign w:val="bottom"/>
          </w:tcPr>
          <w:p>
            <w:pPr>
              <w:ind w:left="274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84"/>
        </w:trPr>
        <w:tc>
          <w:tcPr>
            <w:tcW w:w="2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Second</w:t>
            </w:r>
          </w:p>
        </w:tc>
        <w:tc>
          <w:tcPr>
            <w:tcW w:w="9020" w:type="dxa"/>
            <w:vAlign w:val="bottom"/>
          </w:tcPr>
          <w:p>
            <w:pPr>
              <w:spacing w:after="0"/>
              <w:rPr>
                <w:sz w:val="20"/>
                <w:szCs w:val="20"/>
                <w:color w:val="auto"/>
              </w:rPr>
            </w:pPr>
            <w:r>
              <w:rPr>
                <w:rFonts w:ascii="Arial" w:cs="Arial" w:eastAsia="Arial" w:hAnsi="Arial"/>
                <w:sz w:val="18"/>
                <w:szCs w:val="18"/>
                <w:color w:val="auto"/>
              </w:rPr>
              <w:t>Amended and Restated Articles of Incorporation of the Registrant.</w:t>
            </w:r>
            <w:r>
              <w:rPr>
                <w:rFonts w:ascii="Arial" w:cs="Arial" w:eastAsia="Arial" w:hAnsi="Arial"/>
                <w:sz w:val="22"/>
                <w:szCs w:val="22"/>
                <w:color w:val="auto"/>
                <w:vertAlign w:val="superscript"/>
              </w:rPr>
              <w:t>(1)</w:t>
            </w:r>
          </w:p>
        </w:tc>
      </w:tr>
      <w:tr>
        <w:trPr>
          <w:trHeight w:val="324"/>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Fourth Amended and Restated Bylaws of the Registrant, as amended.</w:t>
            </w:r>
            <w:r>
              <w:rPr>
                <w:rFonts w:ascii="Arial" w:cs="Arial" w:eastAsia="Arial" w:hAnsi="Arial"/>
                <w:sz w:val="22"/>
                <w:szCs w:val="22"/>
                <w:color w:val="auto"/>
                <w:vertAlign w:val="superscript"/>
              </w:rPr>
              <w:t>(2)</w:t>
            </w:r>
          </w:p>
        </w:tc>
      </w:tr>
      <w:tr>
        <w:trPr>
          <w:trHeight w:val="241"/>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First Amendment to Credit Agreement, dated as of August 1, 2008, among Wynn Resorts, Limited and Deutsche Bank Trust Company</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Americas, as Administrative Agent on behalf of the several banks and other financial institutions or entities from time to time party to the</w:t>
            </w:r>
          </w:p>
        </w:tc>
      </w:tr>
      <w:tr>
        <w:trPr>
          <w:trHeight w:val="29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Credit Agreement.</w:t>
            </w:r>
            <w:r>
              <w:rPr>
                <w:rFonts w:ascii="Arial" w:cs="Arial" w:eastAsia="Arial" w:hAnsi="Arial"/>
                <w:sz w:val="22"/>
                <w:szCs w:val="22"/>
                <w:color w:val="auto"/>
                <w:vertAlign w:val="superscript"/>
              </w:rPr>
              <w:t>(3)</w:t>
            </w:r>
          </w:p>
        </w:tc>
      </w:tr>
      <w:tr>
        <w:trPr>
          <w:trHeight w:val="324"/>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88"/>
              </w:rPr>
              <w:t>Third Amendment to Employment Agreement, dated as of September 11, 2008, between Wynn Resorts, Limited and Stephen A. Wynn.</w:t>
            </w:r>
            <w:r>
              <w:rPr>
                <w:rFonts w:ascii="Arial" w:cs="Arial" w:eastAsia="Arial" w:hAnsi="Arial"/>
                <w:sz w:val="22"/>
                <w:szCs w:val="22"/>
                <w:color w:val="auto"/>
                <w:w w:val="88"/>
                <w:vertAlign w:val="superscript"/>
              </w:rPr>
              <w:t>(4)</w:t>
            </w:r>
          </w:p>
        </w:tc>
      </w:tr>
      <w:tr>
        <w:trPr>
          <w:trHeight w:val="241"/>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88"/>
              </w:rPr>
              <w:t>Third Amendment to Amended and Restated Credit Agreement dated as of September 17, 2008 among Wynn Las Vegas, LLC, Wynn Las</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Vegas Capital Corp., Wynn Show Performers, LLC, Wynn Golf, LLC, Wynn Sunrise, LLC, World Travel, LLC, Kevyn, LLC, Las Vegas</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8"/>
              </w:rPr>
              <w:t>Jet, LLC, Wynn Resorts Holdings, LLC, Wynn Completion Guarantor, LLC and Deutsche Bank Trust Company Americas, as</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89"/>
              </w:rPr>
              <w:t>Administrative Agent on behalf of the several banks and other financial institutions or entities from time to time party to Wynn Las Vegas,</w:t>
            </w:r>
          </w:p>
        </w:tc>
      </w:tr>
      <w:tr>
        <w:trPr>
          <w:trHeight w:val="29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LLC’s Amended and Restated Credit Agreement, dated as of August 15, 2006.</w:t>
            </w:r>
            <w:r>
              <w:rPr>
                <w:rFonts w:ascii="Arial" w:cs="Arial" w:eastAsia="Arial" w:hAnsi="Arial"/>
                <w:sz w:val="22"/>
                <w:szCs w:val="22"/>
                <w:color w:val="auto"/>
                <w:vertAlign w:val="superscript"/>
              </w:rPr>
              <w:t>(5)</w:t>
            </w:r>
          </w:p>
        </w:tc>
      </w:tr>
      <w:tr>
        <w:trPr>
          <w:trHeight w:val="248"/>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of Periodic Report Pursuant to Rule 13a—14(a) and Rule 15d—14(a).</w:t>
            </w:r>
          </w:p>
        </w:tc>
      </w:tr>
      <w:tr>
        <w:trPr>
          <w:trHeight w:val="324"/>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of Periodic Report Pursuant to Rule 13a—14(a) and Rule 15d—14(a).</w:t>
            </w:r>
          </w:p>
        </w:tc>
      </w:tr>
      <w:tr>
        <w:trPr>
          <w:trHeight w:val="324"/>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right="42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August 9, 2007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August 5, 2008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September 15, 2008 and incorporated herein by reference.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September 19, 2008 and incorporated herein by reference.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480" w:val="left"/>
          <w:tab w:leader="none" w:pos="7780" w:val="left"/>
          <w:tab w:leader="none" w:pos="8120" w:val="left"/>
        </w:tabs>
        <w:rPr>
          <w:sz w:val="20"/>
          <w:szCs w:val="20"/>
          <w:color w:val="auto"/>
        </w:rPr>
      </w:pPr>
      <w:r>
        <w:rPr>
          <w:rFonts w:ascii="Arial" w:cs="Arial" w:eastAsia="Arial" w:hAnsi="Arial"/>
          <w:sz w:val="18"/>
          <w:szCs w:val="18"/>
          <w:color w:val="auto"/>
        </w:rPr>
        <w:t>Dated: November 10,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Matt Maddox</w:t>
      </w:r>
    </w:p>
    <w:p>
      <w:pPr>
        <w:jc w:val="center"/>
        <w:ind w:left="5940"/>
        <w:spacing w:after="0" w:line="221"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40"/>
          </w:cols>
          <w:pgMar w:left="240" w:top="459" w:right="11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580" w:val="left"/>
          <w:tab w:leader="none" w:pos="7940" w:val="left"/>
        </w:tabs>
        <w:rPr>
          <w:sz w:val="20"/>
          <w:szCs w:val="20"/>
          <w:color w:val="auto"/>
        </w:rPr>
      </w:pPr>
      <w:r>
        <w:rPr>
          <w:rFonts w:ascii="Arial" w:cs="Arial" w:eastAsia="Arial" w:hAnsi="Arial"/>
          <w:sz w:val="18"/>
          <w:szCs w:val="18"/>
          <w:color w:val="auto"/>
        </w:rPr>
        <w:t>Date: November 10, 2008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Stephen A. Wynn</w:t>
      </w:r>
    </w:p>
    <w:p>
      <w:pPr>
        <w:jc w:val="center"/>
        <w:ind w:left="582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left="58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20" w:val="left"/>
          <w:tab w:leader="none" w:pos="8060" w:val="left"/>
        </w:tabs>
        <w:rPr>
          <w:sz w:val="20"/>
          <w:szCs w:val="20"/>
          <w:color w:val="auto"/>
        </w:rPr>
      </w:pPr>
      <w:r>
        <w:rPr>
          <w:rFonts w:ascii="Arial" w:cs="Arial" w:eastAsia="Arial" w:hAnsi="Arial"/>
          <w:sz w:val="18"/>
          <w:szCs w:val="18"/>
          <w:color w:val="auto"/>
        </w:rPr>
        <w:t>Date: November 10, 2008</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Matt Maddox</w:t>
      </w:r>
    </w:p>
    <w:p>
      <w:pPr>
        <w:jc w:val="center"/>
        <w:ind w:left="582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58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September 30, 2008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13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tcPr>
          <w:p>
            <w:pPr>
              <w:jc w:val="center"/>
              <w:ind w:right="1182"/>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TEPHEN</w:t>
            </w:r>
            <w:r>
              <w:rPr>
                <w:rFonts w:ascii="Arial" w:cs="Arial" w:eastAsia="Arial" w:hAnsi="Arial"/>
                <w:sz w:val="18"/>
                <w:szCs w:val="18"/>
                <w:color w:val="auto"/>
                <w:w w:val="96"/>
              </w:rPr>
              <w:t xml:space="preserve"> A. W</w:t>
            </w:r>
            <w:r>
              <w:rPr>
                <w:rFonts w:ascii="Arial" w:cs="Arial" w:eastAsia="Arial" w:hAnsi="Arial"/>
                <w:sz w:val="14"/>
                <w:szCs w:val="14"/>
                <w:color w:val="auto"/>
                <w:w w:val="96"/>
              </w:rPr>
              <w:t>YNN</w:t>
            </w:r>
          </w:p>
        </w:tc>
      </w:tr>
      <w:tr>
        <w:trPr>
          <w:trHeight w:val="145"/>
        </w:trPr>
        <w:tc>
          <w:tcPr>
            <w:tcW w:w="56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1300" w:type="dxa"/>
            <w:vAlign w:val="bottom"/>
          </w:tcPr>
          <w:p>
            <w:pPr>
              <w:spacing w:after="0"/>
              <w:rPr>
                <w:sz w:val="12"/>
                <w:szCs w:val="12"/>
                <w:color w:val="auto"/>
              </w:rPr>
            </w:pPr>
          </w:p>
        </w:tc>
        <w:tc>
          <w:tcPr>
            <w:tcW w:w="2720" w:type="dxa"/>
            <w:vAlign w:val="bottom"/>
          </w:tcPr>
          <w:p>
            <w:pPr>
              <w:jc w:val="center"/>
              <w:ind w:right="1222"/>
              <w:spacing w:after="0" w:line="145" w:lineRule="exact"/>
              <w:rPr>
                <w:sz w:val="20"/>
                <w:szCs w:val="20"/>
                <w:color w:val="auto"/>
              </w:rPr>
            </w:pPr>
            <w:r>
              <w:rPr>
                <w:rFonts w:ascii="Arial" w:cs="Arial" w:eastAsia="Arial" w:hAnsi="Arial"/>
                <w:sz w:val="14"/>
                <w:szCs w:val="14"/>
                <w:b w:val="1"/>
                <w:bCs w:val="1"/>
                <w:color w:val="auto"/>
                <w:w w:val="88"/>
              </w:rPr>
              <w:t>Stephen A. Wynn</w:t>
            </w:r>
          </w:p>
        </w:tc>
      </w:tr>
      <w:tr>
        <w:trPr>
          <w:trHeight w:val="149"/>
        </w:trPr>
        <w:tc>
          <w:tcPr>
            <w:tcW w:w="560" w:type="dxa"/>
            <w:vAlign w:val="bottom"/>
          </w:tcPr>
          <w:p>
            <w:pPr>
              <w:spacing w:after="0" w:line="149" w:lineRule="exact"/>
              <w:rPr>
                <w:sz w:val="20"/>
                <w:szCs w:val="20"/>
                <w:color w:val="auto"/>
              </w:rPr>
            </w:pPr>
            <w:r>
              <w:rPr>
                <w:rFonts w:ascii="Arial" w:cs="Arial" w:eastAsia="Arial" w:hAnsi="Arial"/>
                <w:sz w:val="14"/>
                <w:szCs w:val="14"/>
                <w:b w:val="1"/>
                <w:bCs w:val="1"/>
                <w:color w:val="auto"/>
              </w:rPr>
              <w:t>Title:</w:t>
            </w:r>
          </w:p>
        </w:tc>
        <w:tc>
          <w:tcPr>
            <w:tcW w:w="4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Chairman and Chief Executive Officer</w:t>
            </w:r>
          </w:p>
        </w:tc>
      </w:tr>
      <w:tr>
        <w:trPr>
          <w:trHeight w:val="174"/>
        </w:trPr>
        <w:tc>
          <w:tcPr>
            <w:tcW w:w="560" w:type="dxa"/>
            <w:vAlign w:val="bottom"/>
          </w:tcPr>
          <w:p>
            <w:pPr>
              <w:spacing w:after="0"/>
              <w:rPr>
                <w:sz w:val="15"/>
                <w:szCs w:val="15"/>
                <w:color w:val="auto"/>
              </w:rPr>
            </w:pPr>
          </w:p>
        </w:tc>
        <w:tc>
          <w:tcPr>
            <w:tcW w:w="4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41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gridSpan w:val="2"/>
          </w:tcPr>
          <w:p>
            <w:pPr>
              <w:spacing w:after="0"/>
              <w:rPr>
                <w:sz w:val="20"/>
                <w:szCs w:val="20"/>
                <w:color w:val="auto"/>
              </w:rPr>
            </w:pPr>
            <w:r>
              <w:rPr>
                <w:rFonts w:ascii="Arial" w:cs="Arial" w:eastAsia="Arial" w:hAnsi="Arial"/>
                <w:sz w:val="18"/>
                <w:szCs w:val="18"/>
                <w:color w:val="auto"/>
              </w:rPr>
              <w:t>November 10, 2008</w:t>
            </w:r>
          </w:p>
        </w:tc>
      </w:tr>
      <w:tr>
        <w:trPr>
          <w:trHeight w:val="432"/>
        </w:trPr>
        <w:tc>
          <w:tcPr>
            <w:tcW w:w="560" w:type="dxa"/>
            <w:vAlign w:val="bottom"/>
          </w:tcPr>
          <w:p>
            <w:pPr>
              <w:spacing w:after="0"/>
              <w:rPr>
                <w:sz w:val="24"/>
                <w:szCs w:val="24"/>
                <w:color w:val="auto"/>
              </w:rPr>
            </w:pPr>
          </w:p>
        </w:tc>
        <w:tc>
          <w:tcPr>
            <w:tcW w:w="13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83"/>
              </w:rPr>
              <w:t>/s/</w:t>
            </w:r>
          </w:p>
        </w:tc>
        <w:tc>
          <w:tcPr>
            <w:tcW w:w="2720" w:type="dxa"/>
            <w:vAlign w:val="bottom"/>
            <w:tcBorders>
              <w:bottom w:val="single" w:sz="8" w:color="auto"/>
            </w:tcBorders>
          </w:tcPr>
          <w:p>
            <w:pPr>
              <w:jc w:val="center"/>
              <w:ind w:right="118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5"/>
        </w:trPr>
        <w:tc>
          <w:tcPr>
            <w:tcW w:w="56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1300" w:type="dxa"/>
            <w:vAlign w:val="bottom"/>
          </w:tcPr>
          <w:p>
            <w:pPr>
              <w:spacing w:after="0"/>
              <w:rPr>
                <w:sz w:val="12"/>
                <w:szCs w:val="12"/>
                <w:color w:val="auto"/>
              </w:rPr>
            </w:pPr>
          </w:p>
        </w:tc>
        <w:tc>
          <w:tcPr>
            <w:tcW w:w="2720" w:type="dxa"/>
            <w:vAlign w:val="bottom"/>
          </w:tcPr>
          <w:p>
            <w:pPr>
              <w:jc w:val="center"/>
              <w:ind w:right="1242"/>
              <w:spacing w:after="0" w:line="145" w:lineRule="exact"/>
              <w:rPr>
                <w:sz w:val="20"/>
                <w:szCs w:val="20"/>
                <w:color w:val="auto"/>
              </w:rPr>
            </w:pPr>
            <w:r>
              <w:rPr>
                <w:rFonts w:ascii="Arial" w:cs="Arial" w:eastAsia="Arial" w:hAnsi="Arial"/>
                <w:sz w:val="14"/>
                <w:szCs w:val="14"/>
                <w:b w:val="1"/>
                <w:bCs w:val="1"/>
                <w:color w:val="auto"/>
                <w:w w:val="93"/>
              </w:rPr>
              <w:t>Matt Maddox</w:t>
            </w:r>
          </w:p>
        </w:tc>
      </w:tr>
      <w:tr>
        <w:trPr>
          <w:trHeight w:val="149"/>
        </w:trPr>
        <w:tc>
          <w:tcPr>
            <w:tcW w:w="560" w:type="dxa"/>
            <w:vAlign w:val="bottom"/>
          </w:tcPr>
          <w:p>
            <w:pPr>
              <w:spacing w:after="0" w:line="149" w:lineRule="exact"/>
              <w:rPr>
                <w:sz w:val="20"/>
                <w:szCs w:val="20"/>
                <w:color w:val="auto"/>
              </w:rPr>
            </w:pPr>
            <w:r>
              <w:rPr>
                <w:rFonts w:ascii="Arial" w:cs="Arial" w:eastAsia="Arial" w:hAnsi="Arial"/>
                <w:sz w:val="14"/>
                <w:szCs w:val="14"/>
                <w:b w:val="1"/>
                <w:bCs w:val="1"/>
                <w:color w:val="auto"/>
              </w:rPr>
              <w:t>Title:</w:t>
            </w:r>
          </w:p>
        </w:tc>
        <w:tc>
          <w:tcPr>
            <w:tcW w:w="4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Chief Financial Officer and Treasurer</w:t>
            </w:r>
          </w:p>
        </w:tc>
      </w:tr>
      <w:tr>
        <w:trPr>
          <w:trHeight w:val="174"/>
        </w:trPr>
        <w:tc>
          <w:tcPr>
            <w:tcW w:w="560" w:type="dxa"/>
            <w:vAlign w:val="bottom"/>
          </w:tcPr>
          <w:p>
            <w:pPr>
              <w:spacing w:after="0"/>
              <w:rPr>
                <w:sz w:val="15"/>
                <w:szCs w:val="15"/>
                <w:color w:val="auto"/>
              </w:rPr>
            </w:pPr>
          </w:p>
        </w:tc>
        <w:tc>
          <w:tcPr>
            <w:tcW w:w="4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(Principal Financial Officer)</w:t>
            </w:r>
          </w:p>
        </w:tc>
      </w:tr>
      <w:tr>
        <w:trPr>
          <w:trHeight w:val="41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gridSpan w:val="2"/>
          </w:tcPr>
          <w:p>
            <w:pPr>
              <w:spacing w:after="0"/>
              <w:rPr>
                <w:sz w:val="20"/>
                <w:szCs w:val="20"/>
                <w:color w:val="auto"/>
              </w:rPr>
            </w:pPr>
            <w:r>
              <w:rPr>
                <w:rFonts w:ascii="Arial" w:cs="Arial" w:eastAsia="Arial" w:hAnsi="Arial"/>
                <w:sz w:val="18"/>
                <w:szCs w:val="18"/>
                <w:color w:val="auto"/>
              </w:rPr>
              <w:t>November 10, 2008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9"/>
    </w:lvl>
  </w:abstractNum>
  <w:abstractNum w:abstractNumId="4">
    <w:nsid w:val="3352255A"/>
    <w:multiLevelType w:val="hybridMultilevel"/>
    <w:lvl w:ilvl="0">
      <w:lvlJc w:val="left"/>
      <w:lvlText w:val="(%1)"/>
      <w:numFmt w:val="lowerLetter"/>
      <w:start w:val="3"/>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2019-12-15T07:17:00Z</dcterms:created>
  <dcterms:modified xsi:type="dcterms:W3CDTF">2019-12-15T07:17:00Z</dcterms:modified>
</cp:coreProperties>
</file>