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As filed with the Securities and Exchange Commission on May 20,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333-111064, 333-111064-01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0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66" w:lineRule="exact"/>
        <w:rPr>
          <w:sz w:val="24"/>
          <w:szCs w:val="24"/>
          <w:color w:val="auto"/>
        </w:rPr>
      </w:pPr>
    </w:p>
    <w:p>
      <w:pPr>
        <w:sectPr>
          <w:pgSz w:w="11900" w:h="16838" w:orient="portrait"/>
          <w:cols w:equalWidth="0" w:num="2">
            <w:col w:w="6980" w:space="720"/>
            <w:col w:w="37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3131 Las Vegas Boulevard South, Las Vegas, Nevada 89109, (702)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Other Registrant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(See Table of Other Registrants Listed Below)</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J. Kramer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Las Vegas, Nevada 89109, (702) 770-7555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6" w:lineRule="exact"/>
        <w:rPr>
          <w:sz w:val="24"/>
          <w:szCs w:val="24"/>
          <w:color w:val="auto"/>
        </w:rPr>
      </w:pPr>
    </w:p>
    <w:tbl>
      <w:tblPr>
        <w:tblLayout w:type="fixed"/>
        <w:tblInd w:w="158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5740" w:type="dxa"/>
            <w:vAlign w:val="bottom"/>
            <w:gridSpan w:val="2"/>
          </w:tcPr>
          <w:p>
            <w:pPr>
              <w:ind w:left="52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71"/>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91"/>
              </w:rPr>
              <w:t>Marc H. Rubinstein</w:t>
            </w:r>
          </w:p>
        </w:tc>
        <w:tc>
          <w:tcPr>
            <w:tcW w:w="2200" w:type="dxa"/>
            <w:vAlign w:val="bottom"/>
          </w:tcPr>
          <w:p>
            <w:pPr>
              <w:spacing w:after="0"/>
              <w:rPr>
                <w:sz w:val="23"/>
                <w:szCs w:val="23"/>
                <w:color w:val="auto"/>
              </w:rPr>
            </w:pPr>
          </w:p>
        </w:tc>
        <w:tc>
          <w:tcPr>
            <w:tcW w:w="354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Jerome L. Coben</w:t>
            </w:r>
          </w:p>
        </w:tc>
      </w:tr>
      <w:tr>
        <w:trPr>
          <w:trHeight w:val="216"/>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9"/>
              </w:rPr>
              <w:t>Wynn Resorts, Limited</w:t>
            </w:r>
          </w:p>
        </w:tc>
        <w:tc>
          <w:tcPr>
            <w:tcW w:w="2200" w:type="dxa"/>
            <w:vAlign w:val="bottom"/>
          </w:tcPr>
          <w:p>
            <w:pPr>
              <w:spacing w:after="0"/>
              <w:rPr>
                <w:sz w:val="18"/>
                <w:szCs w:val="18"/>
                <w:color w:val="auto"/>
              </w:rPr>
            </w:pPr>
          </w:p>
        </w:tc>
        <w:tc>
          <w:tcPr>
            <w:tcW w:w="354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6"/>
              </w:rPr>
              <w:t>3131 Las Vegas Boulevard South</w:t>
            </w:r>
          </w:p>
        </w:tc>
        <w:tc>
          <w:tcPr>
            <w:tcW w:w="2200" w:type="dxa"/>
            <w:vAlign w:val="bottom"/>
          </w:tcPr>
          <w:p>
            <w:pPr>
              <w:spacing w:after="0"/>
              <w:rPr>
                <w:sz w:val="18"/>
                <w:szCs w:val="18"/>
                <w:color w:val="auto"/>
              </w:rPr>
            </w:pPr>
          </w:p>
        </w:tc>
        <w:tc>
          <w:tcPr>
            <w:tcW w:w="3540" w:type="dxa"/>
            <w:vAlign w:val="bottom"/>
          </w:tcPr>
          <w:p>
            <w:pPr>
              <w:jc w:val="center"/>
              <w:ind w:left="112"/>
              <w:spacing w:after="0"/>
              <w:rPr>
                <w:sz w:val="20"/>
                <w:szCs w:val="20"/>
                <w:color w:val="auto"/>
              </w:rPr>
            </w:pPr>
            <w:r>
              <w:rPr>
                <w:rFonts w:ascii="Arial" w:cs="Arial" w:eastAsia="Arial" w:hAnsi="Arial"/>
                <w:sz w:val="18"/>
                <w:szCs w:val="18"/>
                <w:b w:val="1"/>
                <w:bCs w:val="1"/>
                <w:color w:val="auto"/>
                <w:w w:val="87"/>
              </w:rPr>
              <w:t>300 South Grand Avenue, Suite 3400</w:t>
            </w:r>
          </w:p>
        </w:tc>
      </w:tr>
      <w:tr>
        <w:trPr>
          <w:trHeight w:val="216"/>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7"/>
              </w:rPr>
              <w:t>Las Vegas, Nevada 89109</w:t>
            </w:r>
          </w:p>
        </w:tc>
        <w:tc>
          <w:tcPr>
            <w:tcW w:w="2200" w:type="dxa"/>
            <w:vAlign w:val="bottom"/>
          </w:tcPr>
          <w:p>
            <w:pPr>
              <w:spacing w:after="0"/>
              <w:rPr>
                <w:sz w:val="18"/>
                <w:szCs w:val="18"/>
                <w:color w:val="auto"/>
              </w:rPr>
            </w:pPr>
          </w:p>
        </w:tc>
        <w:tc>
          <w:tcPr>
            <w:tcW w:w="354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040" w:type="dxa"/>
            <w:vAlign w:val="bottom"/>
          </w:tcPr>
          <w:p>
            <w:pPr>
              <w:jc w:val="center"/>
              <w:ind w:right="492"/>
              <w:spacing w:after="0"/>
              <w:rPr>
                <w:sz w:val="20"/>
                <w:szCs w:val="20"/>
                <w:color w:val="auto"/>
              </w:rPr>
            </w:pPr>
            <w:r>
              <w:rPr>
                <w:rFonts w:ascii="Arial" w:cs="Arial" w:eastAsia="Arial" w:hAnsi="Arial"/>
                <w:sz w:val="18"/>
                <w:szCs w:val="18"/>
                <w:b w:val="1"/>
                <w:bCs w:val="1"/>
                <w:color w:val="auto"/>
                <w:w w:val="89"/>
              </w:rPr>
              <w:t>(702) 770-7555</w:t>
            </w:r>
          </w:p>
        </w:tc>
        <w:tc>
          <w:tcPr>
            <w:tcW w:w="5740" w:type="dxa"/>
            <w:vAlign w:val="bottom"/>
            <w:gridSpan w:val="2"/>
          </w:tcPr>
          <w:p>
            <w:pPr>
              <w:jc w:val="center"/>
              <w:ind w:left="2312"/>
              <w:spacing w:after="0"/>
              <w:rPr>
                <w:sz w:val="20"/>
                <w:szCs w:val="20"/>
                <w:color w:val="auto"/>
              </w:rPr>
            </w:pPr>
            <w:r>
              <w:rPr>
                <w:rFonts w:ascii="Arial" w:cs="Arial" w:eastAsia="Arial" w:hAnsi="Arial"/>
                <w:sz w:val="18"/>
                <w:szCs w:val="18"/>
                <w:b w:val="1"/>
                <w:bCs w:val="1"/>
                <w:color w:val="auto"/>
                <w:w w:val="89"/>
              </w:rPr>
              <w:t>(213) 687-5000</w:t>
            </w:r>
          </w:p>
        </w:tc>
      </w:tr>
      <w:tr>
        <w:trPr>
          <w:trHeight w:val="110"/>
        </w:trPr>
        <w:tc>
          <w:tcPr>
            <w:tcW w:w="304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r>
    </w:tbl>
    <w:p>
      <w:pPr>
        <w:spacing w:after="0" w:line="161" w:lineRule="exact"/>
        <w:rPr>
          <w:sz w:val="24"/>
          <w:szCs w:val="24"/>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31"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1"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980" w:type="dxa"/>
            <w:vAlign w:val="bottom"/>
          </w:tcPr>
          <w:p>
            <w:pPr>
              <w:jc w:val="center"/>
              <w:ind w:left="686"/>
              <w:spacing w:after="0"/>
              <w:rPr>
                <w:sz w:val="20"/>
                <w:szCs w:val="20"/>
                <w:color w:val="auto"/>
              </w:rPr>
            </w:pPr>
            <w:r>
              <w:rPr>
                <w:rFonts w:ascii="Arial" w:cs="Arial" w:eastAsia="Arial" w:hAnsi="Arial"/>
                <w:sz w:val="14"/>
                <w:szCs w:val="14"/>
                <w:b w:val="1"/>
                <w:bCs w:val="1"/>
                <w:color w:val="auto"/>
                <w:w w:val="87"/>
              </w:rPr>
              <w:t>State or Other Jurisdiction of</w:t>
            </w:r>
          </w:p>
        </w:tc>
        <w:tc>
          <w:tcPr>
            <w:tcW w:w="2880" w:type="dxa"/>
            <w:vAlign w:val="bottom"/>
          </w:tcPr>
          <w:p>
            <w:pPr>
              <w:spacing w:after="0"/>
              <w:rPr>
                <w:sz w:val="14"/>
                <w:szCs w:val="14"/>
                <w:color w:val="auto"/>
              </w:rPr>
            </w:pPr>
          </w:p>
        </w:tc>
      </w:tr>
      <w:tr>
        <w:trPr>
          <w:trHeight w:val="188"/>
        </w:trPr>
        <w:tc>
          <w:tcPr>
            <w:tcW w:w="4560" w:type="dxa"/>
            <w:vAlign w:val="bottom"/>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980" w:type="dxa"/>
            <w:vAlign w:val="bottom"/>
          </w:tcPr>
          <w:p>
            <w:pPr>
              <w:jc w:val="center"/>
              <w:ind w:left="666"/>
              <w:spacing w:after="0"/>
              <w:rPr>
                <w:sz w:val="20"/>
                <w:szCs w:val="20"/>
                <w:color w:val="auto"/>
              </w:rPr>
            </w:pPr>
            <w:r>
              <w:rPr>
                <w:rFonts w:ascii="Arial" w:cs="Arial" w:eastAsia="Arial" w:hAnsi="Arial"/>
                <w:sz w:val="14"/>
                <w:szCs w:val="14"/>
                <w:b w:val="1"/>
                <w:bCs w:val="1"/>
                <w:color w:val="auto"/>
                <w:w w:val="89"/>
              </w:rPr>
              <w:t>Incorporation or Organization</w:t>
            </w:r>
          </w:p>
        </w:tc>
        <w:tc>
          <w:tcPr>
            <w:tcW w:w="2880" w:type="dxa"/>
            <w:vAlign w:val="bottom"/>
          </w:tcPr>
          <w:p>
            <w:pPr>
              <w:jc w:val="center"/>
              <w:ind w:left="4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95"/>
        </w:trPr>
        <w:tc>
          <w:tcPr>
            <w:tcW w:w="456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Wynn Resorts Funding, LLC</w:t>
            </w:r>
          </w:p>
        </w:tc>
        <w:tc>
          <w:tcPr>
            <w:tcW w:w="3980" w:type="dxa"/>
            <w:vAlign w:val="bottom"/>
          </w:tcPr>
          <w:p>
            <w:pPr>
              <w:jc w:val="center"/>
              <w:ind w:left="686"/>
              <w:spacing w:after="0"/>
              <w:rPr>
                <w:sz w:val="20"/>
                <w:szCs w:val="20"/>
                <w:color w:val="auto"/>
              </w:rPr>
            </w:pPr>
            <w:r>
              <w:rPr>
                <w:rFonts w:ascii="Arial" w:cs="Arial" w:eastAsia="Arial" w:hAnsi="Arial"/>
                <w:sz w:val="18"/>
                <w:szCs w:val="18"/>
                <w:color w:val="auto"/>
                <w:w w:val="86"/>
              </w:rPr>
              <w:t>Nevada</w:t>
            </w:r>
          </w:p>
        </w:tc>
        <w:tc>
          <w:tcPr>
            <w:tcW w:w="2880" w:type="dxa"/>
            <w:vAlign w:val="bottom"/>
          </w:tcPr>
          <w:p>
            <w:pPr>
              <w:jc w:val="right"/>
              <w:ind w:right="702"/>
              <w:spacing w:after="0"/>
              <w:rPr>
                <w:sz w:val="20"/>
                <w:szCs w:val="20"/>
                <w:color w:val="auto"/>
              </w:rPr>
            </w:pPr>
            <w:r>
              <w:rPr>
                <w:rFonts w:ascii="Arial" w:cs="Arial" w:eastAsia="Arial" w:hAnsi="Arial"/>
                <w:sz w:val="18"/>
                <w:szCs w:val="18"/>
                <w:color w:val="auto"/>
              </w:rPr>
              <w:t>57-1175569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address and telephone number of the principal executive offices of Wynn Resorts Funding, LLC are the same as those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purpose of this Post-Effective Amendment No. 2 to the Registration Statement on Form S-3 of Wynn Resorts, Limited (333-111064) and Wynn Resorts Funding, LLC (333-111064-01) is to amend the table under the caption “Selling Securityholders” in the prospectus to add the names of selling securityholders who have requested inclusion in the prospectus since March 17, 2004, the date Post-Effective Amendment No. 1 to the Registration Statement was filed, and to update certain other disclosure in the table.</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DE1A1E"/>
        </w:rPr>
        <w:t>Subject to completion, dated May 20, 2004</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 Convertible Subordinated Debentures due 2015 and</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Shares of Common Stock Issuable Upon Conversion of the Debentures</w:t>
      </w:r>
    </w:p>
    <w:p>
      <w:pPr>
        <w:spacing w:after="0" w:line="14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July 7, 2003, Wynn Resorts, Limited consummated a private offering of $200 million aggregate principal amount of its 6% Convertible Subordinated Debentures due 2015. Subsequently, on July 30, 2003, Wynn Resorts, Limited completed the sale of an additional $50 million aggregate principal amount of the debentures as a result of the full exercise of an option granted to the initial purchasers. Selling securityholders will use this prospectus to resell the debentures, the guarantees associated with the debentures and the shares of our common stock issuable upon conversion of the debentures.</w:t>
      </w:r>
    </w:p>
    <w:p>
      <w:pPr>
        <w:spacing w:after="0" w:line="9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debentures bear interest at a rate of 6% per annum. We will pay interest on the debentures on July 15 and January 15 of each year. The debentures mature on July 15, 2015. We may not redeem the debentures prior to July 20, 2007. The debentures have been issued only in denominations of $1,000 and any integral multiple thereof. Holders may require us to repurchase the debentures for cash upon a change of control.</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original issuance of the debentures, we contributed a portion of the proceeds from the sale of the debentures to our wholly owned subsidiary, Wynn Resorts Funding, LLC (the “Guarantor”), which purchased and pledged as security for the debentures U.S. government securities in an amount sufficient to pay scheduled interest payments on the debentures up to and including July 15, 2006. We also pledged the membership interests of the Guarantor to secure our obligations under the indenture governing the debentures. Other than these pledges of U.S. government securities and membership interests of the Guarantor, the debentures are our subordinated unsecured obligations and are junior in right of payment to all existing and future senior debt of Wynn Resorts. At March 31, 2004, Wynn Resorts had $1.6 billion of senior indebtedness outstanding, including $1 billion available for borrowing under our credit facilities and $150.5 million available for borrowing under our FF&amp;E facility.</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debentures are convertible at any time before the maturity date into shares of our common stock at an initial conversion price of $23.00 per share. The conversion price is subject to certain adjustments upon the occurrence of specified events. The initial conversion price is equivalent to a conversion rate of approximately 43.4782 shares per $1,000 principal amount of debentures. Our common stock is quoted on The Nasdaq National Market under the symbol “WYNN.” The last reported bid price of our common stock on May 19, 2004 was $39.58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400" w:firstLine="456"/>
        <w:spacing w:after="0" w:line="256"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the debentures and our common stock issuable upon conversion of the debentures involves risks. See “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0000"/>
        </w:rPr>
        <w:t>”</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the selling securityholders. The debentures and the shares of common stock may be offered by the selling securityholders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w:t>
      </w:r>
    </w:p>
    <w:p>
      <w:pPr>
        <w:spacing w:after="0" w:line="93"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debentures offered hereby or the shares of our common stock issuable upon conversion of the debentures. Any representation to the contrary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The date of this prospectus is May</w:t>
      </w:r>
      <w:r>
        <w:rPr>
          <w:sz w:val="20"/>
          <w:szCs w:val="20"/>
          <w:color w:val="auto"/>
        </w:rPr>
        <w:tab/>
      </w:r>
      <w:r>
        <w:rPr>
          <w:rFonts w:ascii="Arial" w:cs="Arial" w:eastAsia="Arial" w:hAnsi="Arial"/>
          <w:sz w:val="15"/>
          <w:szCs w:val="15"/>
          <w:b w:val="1"/>
          <w:bCs w:val="1"/>
          <w:color w:val="auto"/>
        </w:rPr>
        <w:t>, 2004.</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200" w:type="dxa"/>
            <w:vAlign w:val="bottom"/>
            <w:gridSpan w:val="4"/>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THE OFFERING</w:t>
              </w:r>
            </w:hyperlink>
          </w:p>
        </w:tc>
        <w:tc>
          <w:tcPr>
            <w:tcW w:w="5660" w:type="dxa"/>
            <w:vAlign w:val="bottom"/>
            <w:gridSpan w:val="1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RATIO OF EARNINGS TO FIXED CHARGES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350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THE DEBENTURES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DESCRIPTION OF CAPITAL STOCK</w:t>
              </w:r>
            </w:hyperlink>
          </w:p>
        </w:tc>
        <w:tc>
          <w:tcPr>
            <w:tcW w:w="394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UNITED STATES FEDERAL INCOME TAX CONSEQUENCES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SELLING SECURITYHOLDERS</w:t>
              </w:r>
            </w:hyperlink>
          </w:p>
        </w:tc>
        <w:tc>
          <w:tcPr>
            <w:tcW w:w="2240" w:type="dxa"/>
            <w:vAlign w:val="bottom"/>
            <w:tcBorders>
              <w:top w:val="single" w:sz="8" w:color="0000EE"/>
            </w:tcBorders>
            <w:gridSpan w:val="7"/>
          </w:tcPr>
          <w:p>
            <w:pPr>
              <w:spacing w:after="0"/>
              <w:rPr>
                <w:sz w:val="17"/>
                <w:szCs w:val="17"/>
                <w:color w:val="auto"/>
              </w:rPr>
            </w:pPr>
          </w:p>
        </w:tc>
        <w:tc>
          <w:tcPr>
            <w:tcW w:w="2220" w:type="dxa"/>
            <w:vAlign w:val="bottom"/>
            <w:gridSpan w:val="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692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4920" w:type="dxa"/>
            <w:vAlign w:val="bottom"/>
            <w:gridSpan w:val="10"/>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5500" w:type="dxa"/>
            <w:vAlign w:val="bottom"/>
            <w:gridSpan w:val="1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77"/>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on April 20, 2004; May 5, 2004; May 12, 2004; May 13, 2004; and May 20,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8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diseases, such as severe acute respiratory syndrome, may have on the travel and leisure industry; and</w:t>
      </w:r>
    </w:p>
    <w:p>
      <w:pPr>
        <w:spacing w:after="0" w:line="99" w:lineRule="exact"/>
        <w:rPr>
          <w:rFonts w:ascii="Arial" w:cs="Arial" w:eastAsia="Arial" w:hAnsi="Arial"/>
          <w:sz w:val="16"/>
          <w:szCs w:val="16"/>
          <w:color w:val="auto"/>
        </w:rPr>
      </w:pPr>
    </w:p>
    <w:p>
      <w:pPr>
        <w:ind w:left="800" w:right="3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or incorporated by reference herein and does not contain all of the information that may be important to you. We urge you to read this entire prospectus carefully, including the financial data and related notes and the “Risk Factors” section beginning on page 8 before making an investment decision. You should read this summary together with the more detailed information contained elsewhere in this prospectus and in our financial statements and accompanying notes and the other information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opened,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Wynn Las Vegas, including the new golf course construction, to cost approximately $2.6 billion to design, construct, develop, equip and open, including the cost of approximately 217 acres of land, capitalized interest on indebtedness of the Wynn Las Vegas entities, pre-opening expenses and all financing fees. Ground-breaking for Wynn Las Vegas occurred on October 31, 2002, with an opening to the general public scheduled for April 2005. The overall scope and general design of Wynn Las Vegas is complete and the construction of the project is currently on schedule and within budget. We continue to evaluate and refine certain elements of the project design and are implementing certain project design changes that are included in the project budget and that will not significantly extend the construction schedule. We are also actively exploring certain additions on the Wynn Las Vegas site as well as the development of our adjacent parcel of approximately 20 acres fronting the Strip. These additional developments might be initiated before the opening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2002, our 82.5% owned indirect subsidiary, Wynn Resorts (Macau), S.A. (“Wynn Macau, S.A.”), entered into a 20-year concession agreement with the government of Macau to construct and operate one or more 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and one sub-concessionaire permitted to operate a casino gaming business in Macau.</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invested approximately $23.8 million in Wynn Macau, S.A. to date. In addition, we have loaned $10 million to Wynn Macau, S.A., bearing interest at 6.25% and payable on demand. We will invest additional capital in the Wynn Macau Companies as part of the financing of the Macau opportunity. We have additional capital available from a portion of the net proceeds we received from our initial public offering (including as a result of the exercise of the overallotment option in connection therewith), the net proceeds of our original issuance of the debentures and our public offering of common stock consummated on May 12, 2004. The minority investors in the Wynn Macau Companies are obligated, subject to certain limitations, to make additional capital contributions in proportion to their economic interests to fund the construction, development and other activities of the Wynn Macau Companies. The Wynn Macau Companies’ first casino resort in Macau is referred to herein as “Wynn Macau.”</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continuing work on the design of Wynn Macau, as well as our efforts to lease the land and obtain the financing to be used for Wynn Macau. Wynn Macau, S.A. has engaged the services of architects and designers, has selected a prime construction contractor and is in discussions to arrange the additional financing that would be required to complete Wynn Macau, however, we have not yet finalized the budget for its construction and development. We will not begin construction of Wynn Macau, other than preparatory construction work, until a number of objectives and conditions are met, including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and the legislation was referred to committee. Although we expect the legislation to be enacted in the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other than the Guarantor, have no obligation to pay any amounts due on the debentures or to provide us with funds for our payment obligations. Our subsidiaries currently have no material operations or earnings, and the debt agreements of the Wynn Las Vegas entities contain significant restrictions on those entities’ ability to distribute funds to us. See “Risk Factors—Risks Related to the Securities—As a holding company, we will depend primarily on our subsidiaries to fund our debt service obligations under the debentures, and our subsidiaries may not provide us with sufficient funds to meet those obligations.”</w:t>
      </w:r>
    </w:p>
    <w:p>
      <w:pPr>
        <w:spacing w:after="0" w:line="13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12, 2004, we sold 7,000,000 shares of our common stock in an underwritten public offering. The net proceeds from the offering, after deducting discounts and commissions and estimated expenses, were approximately $267.9 million. We intend to use a portion of the proceeds from the offering to redeem approximately $122.4 million in aggregate principal amount of the outstanding 12% Second Mortgage Notes due 2010 of Wynn Las Vegas, LLC and Wynn Las Vegas Capital Corp. We intend to use the remaining net proceeds from the offering to help finance Wynn Macau and for general corporate purposes, including possibly financing potential future acquisitions or other investments. Deutsche Bank Securities Inc. acted as sole book-running manager of the offering. J.P. Morgan Securities Inc., Banc of America Securities LLC and Bear, Stearns &amp; Co. Inc. acted as co-managers.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brief summary of the terms of this offering. For a more complete description of the debentures, see “Description of the Debentures” in this prospectus.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Debentures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6% Convertible Subordinated Debentures due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Maturity of Debentures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July 15,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6% per annum on the principal amount, payable semiannually in arrears on July 15 and January 15 of each year.</w:t>
      </w:r>
    </w:p>
    <w:p>
      <w:pPr>
        <w:spacing w:after="0" w:line="18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You will have the option to convert your debentures, in whole or in part, into shares of our common stock at any time prior to maturity, unless previously purchased by us in connection with a redemption or at your option upon a change of control, at the conversion price.</w:t>
      </w:r>
    </w:p>
    <w:p>
      <w:pPr>
        <w:spacing w:after="0" w:line="4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ind w:left="3900"/>
        <w:spacing w:after="0" w:line="290" w:lineRule="auto"/>
        <w:rPr>
          <w:sz w:val="20"/>
          <w:szCs w:val="20"/>
          <w:color w:val="auto"/>
        </w:rPr>
      </w:pPr>
      <w:r>
        <w:rPr>
          <w:rFonts w:ascii="Arial" w:cs="Arial" w:eastAsia="Arial" w:hAnsi="Arial"/>
          <w:sz w:val="16"/>
          <w:szCs w:val="16"/>
          <w:color w:val="auto"/>
        </w:rPr>
        <w:t>At the initial conversion price of $23.00, for each $1,000 of aggregate principal amount of debentures converted, we will deliver approximately 43.4782 shares of our common stock. Upon conversion, we may elect to deliver cash in lieu of shares of common stock or a combination of cash and shares of common stock. If we elect to deliver cash or a combination of cash and shares of common stock in lieu of cash upon conversion, we will give you notice of this intent within two business days of your election to convert. The amount of cash to be delivered in lieu of the common stock will be determined based on a three trading day average commencing on the third trading day after your election to convert.</w:t>
      </w:r>
    </w:p>
    <w:p>
      <w:pPr>
        <w:spacing w:after="0" w:line="24" w:lineRule="exact"/>
        <w:rPr>
          <w:sz w:val="20"/>
          <w:szCs w:val="20"/>
          <w:color w:val="auto"/>
        </w:rPr>
      </w:pPr>
    </w:p>
    <w:p>
      <w:pPr>
        <w:ind w:left="3900"/>
        <w:spacing w:after="0" w:line="256" w:lineRule="auto"/>
        <w:rPr>
          <w:sz w:val="20"/>
          <w:szCs w:val="20"/>
          <w:color w:val="auto"/>
        </w:rPr>
      </w:pPr>
      <w:r>
        <w:rPr>
          <w:rFonts w:ascii="Arial" w:cs="Arial" w:eastAsia="Arial" w:hAnsi="Arial"/>
          <w:sz w:val="18"/>
          <w:szCs w:val="18"/>
          <w:color w:val="auto"/>
        </w:rPr>
        <w:t>The conversion price and the number of shares delivered on conversion are subject to adjustment upon certain events including, without limitation, if we make distributions or dividends prior to July 20, 2007 to all or substantially all of the holders of our common stock to the extent that such dividend or distribution is payable in cash.</w:t>
      </w:r>
    </w:p>
    <w:p>
      <w:pPr>
        <w:sectPr>
          <w:pgSz w:w="11900" w:h="16838" w:orient="portrait"/>
          <w:cols w:equalWidth="0" w:num="1">
            <w:col w:w="11420"/>
          </w:cols>
          <w:pgMar w:left="240" w:top="459"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Guarantor has guaranteed the debentures on a senior secured basis (the “subsidiary guarantee”). The Guarantor is a limited liability company formed in connection with the original issuance of the debentures that has no business or assets other than the securities deposited as contemplated under the caption “Description of the Debentures—Security.” Wynn Resorts, as the parent company of the Guarantor, has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owe under the debentures and the subsidiary guarantee. The indenture governing the debentures provides that the Guarantee will be released at such time as the security for the Guarantor’s obligation is terminated. See “Description of Debentures—Guarantee.”</w:t>
      </w:r>
    </w:p>
    <w:p>
      <w:pPr>
        <w:spacing w:after="0" w:line="114"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Security</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Wynn Resorts contributed approximately $44.0 million of the net proceeds from the sale of the debentures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to the Guarantor, which purchased U.S. government securities that we expect will be sufficient upon</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receipt of scheduled principal and interest payments thereon to provide for the payment in full of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6"/>
              </w:rPr>
              <w:t>scheduled interest payments on the debentures up to and including July 15, 2006 when due. See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“Description of the Debentures—Security.” The Guarantor has pledged such U.S. government securities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2"/>
              </w:rPr>
              <w:t>as security for its guarantee for the exclusive benefit of the holders of the debentures (and not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benefit of any of our other creditors). We have pledged the membership interests of the Guarantor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benefit of the holders of the debentures (and not for the benefit of any of our other creditors) to secure our</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4"/>
              </w:rPr>
              <w:t>obligations under the indenture governing the debentures. We were responsible for determining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5"/>
              </w:rPr>
              <w:t>sufficiency of the U.S. government securities pledged as described above. The debentures are not</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otherwise secured.</w:t>
            </w:r>
          </w:p>
        </w:tc>
      </w:tr>
      <w:tr>
        <w:trPr>
          <w:trHeight w:val="42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Ranking</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6"/>
              </w:rPr>
              <w:t>Your right to payment under these debentures is our general subordinated unsecured (except as set forth in</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“Description of the Debentures—Security”) obligation and will rank:</w:t>
            </w:r>
          </w:p>
        </w:tc>
      </w:tr>
      <w:tr>
        <w:trPr>
          <w:trHeight w:val="318"/>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91"/>
              </w:rPr>
              <w:t>junior in right of payment to all of the existing and future senior indebtedness of Wynn Resorts,</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9"/>
              </w:rPr>
              <w:t>including its guarantees of $1.6 billion principal amount of secured indebtedness of the Wynn Las</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Vegas entities;</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rPr>
              <w:t>equally with any existing and future subordinated indebtedness; and</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89"/>
              </w:rPr>
              <w:t>effectively subordinated to any existing and future indebtedness and liabilities of our subsidiaries.</w:t>
            </w:r>
          </w:p>
        </w:tc>
      </w:tr>
      <w:tr>
        <w:trPr>
          <w:trHeight w:val="318"/>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89"/>
              </w:rPr>
              <w:t>At March 31, 2004, we had approximately $1.8 billion of indebtedness outstanding, of which $1.6</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billion would have been senior indebtedness, including $1 billion available for borrowing under</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5"/>
              </w:rPr>
              <w:t>our credit facilities and $150.5 million available for borrowing under our FF&amp;E facility. Other</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3"/>
              </w:rPr>
              <w:t>than the Guarantee, at the parent level, we do not currently have any secured indebtedness.</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Sinking Fund</w:t>
            </w:r>
          </w:p>
        </w:tc>
        <w:tc>
          <w:tcPr>
            <w:tcW w:w="1960" w:type="dxa"/>
            <w:vAlign w:val="bottom"/>
          </w:tcPr>
          <w:p>
            <w:pPr>
              <w:ind w:left="1480"/>
              <w:spacing w:after="0"/>
              <w:rPr>
                <w:sz w:val="20"/>
                <w:szCs w:val="20"/>
                <w:color w:val="auto"/>
              </w:rPr>
            </w:pPr>
            <w:r>
              <w:rPr>
                <w:rFonts w:ascii="Arial" w:cs="Arial" w:eastAsia="Arial" w:hAnsi="Arial"/>
                <w:sz w:val="18"/>
                <w:szCs w:val="18"/>
                <w:color w:val="auto"/>
                <w:w w:val="95"/>
              </w:rPr>
              <w:t>None.</w:t>
            </w:r>
          </w:p>
        </w:tc>
        <w:tc>
          <w:tcPr>
            <w:tcW w:w="6980" w:type="dxa"/>
            <w:vAlign w:val="bottom"/>
          </w:tcPr>
          <w:p>
            <w:pPr>
              <w:spacing w:after="0"/>
              <w:rPr>
                <w:sz w:val="24"/>
                <w:szCs w:val="24"/>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Debentures at Our Option</w:t>
      </w:r>
    </w:p>
    <w:p>
      <w:pPr>
        <w:ind w:left="3960" w:right="40"/>
        <w:spacing w:after="0" w:line="287" w:lineRule="auto"/>
        <w:rPr>
          <w:sz w:val="20"/>
          <w:szCs w:val="20"/>
          <w:color w:val="auto"/>
        </w:rPr>
      </w:pPr>
      <w:r>
        <w:rPr>
          <w:rFonts w:ascii="Arial" w:cs="Arial" w:eastAsia="Arial" w:hAnsi="Arial"/>
          <w:sz w:val="16"/>
          <w:szCs w:val="16"/>
          <w:color w:val="auto"/>
        </w:rPr>
        <w:t>We may redeem all or a portion of the debentures at any time on or after July 20, 2007 at the redemption prices set forth in this prospectus under the caption, “Description of the Debentures—Optional Redemption.” 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 See “Description of the Debentures—Optional Redemption.”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debentures are subject to redemption requirements imposed by gaming laws and regulations of gaming authorities in Nevada or other jurisdictions. See “Description of the Debentures—Mandatory Disposition Pursuant to Gaming Laws.”</w:t>
      </w:r>
    </w:p>
    <w:p>
      <w:pPr>
        <w:spacing w:after="0" w:line="19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Nevada Regulatory Requirement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The registration of the debentures, the Guarantee and the common stock issuable upon conversion of the debentures pursuant to this registration statement qualifies as a public offering under Nevada law and requires us to make an application or obtain a ruling from the Nevada State Gaming Control Board Chairman. The Nevada State Gaming Control Board Chairman has issued an administrative ruling that it was not necessary for us to submit an application for prior approval of the registration of the debentures, the Guarantee and shares of our common stock.</w:t>
      </w:r>
    </w:p>
    <w:p>
      <w:pPr>
        <w:spacing w:after="0" w:line="17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Upon a change of control (as defined in the indenture governing the debentures) of Wynn Resorts occurring at any time, each holder may require us to purchase all or a portion of such holder’s debentures for cash at a price equal to 100% of the issue price of the debentures to be purchased plus accrued and unpaid interest, if any, to, but excluding, the date of purchase. See “Description of the Debentures— Purchase of Debentures at the Option of Holders upon a Change of Control.”</w:t>
      </w:r>
    </w:p>
    <w:p>
      <w:pPr>
        <w:spacing w:after="0" w:line="21"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ind w:left="3900"/>
        <w:spacing w:after="0" w:line="289" w:lineRule="auto"/>
        <w:rPr>
          <w:sz w:val="20"/>
          <w:szCs w:val="20"/>
          <w:color w:val="auto"/>
        </w:rPr>
      </w:pPr>
      <w:r>
        <w:rPr>
          <w:rFonts w:ascii="Arial" w:cs="Arial" w:eastAsia="Arial" w:hAnsi="Arial"/>
          <w:sz w:val="16"/>
          <w:szCs w:val="16"/>
          <w:color w:val="auto"/>
        </w:rPr>
        <w:t>A “change of control” includes, among other things, the occurrence of any event that constitutes a “change of control” pursuant to (i) the indenture governing our subsidiaries’ 12% second mortgage notes due 2010, (ii) our subsidiaries’ credit facilities effective October 30, 2002 for construction financing and working capital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ectPr>
          <w:pgSz w:w="11900" w:h="16838" w:orient="portrait"/>
          <w:cols w:equalWidth="0" w:num="1">
            <w:col w:w="11400"/>
          </w:cols>
          <w:pgMar w:left="240" w:top="459" w:right="2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86"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DTC Eligibility</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The debentures were issued in book-entry form and are represented by one or more permanent global certificates deposited with a custodian for and registered in the name of a nominee of DTC in New York, New York. Beneficial interests in any such securities are shown on, and transfers are effected only through, records maintained by DTC and its direct and indirect participants, and any such interest may not be exchanged for certificated securities, except in limited circumstances. See “Description of the Debentures—Book-Entry System.”</w:t>
      </w:r>
    </w:p>
    <w:p>
      <w:pPr>
        <w:spacing w:after="0" w:line="107"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Trading</w:t>
            </w:r>
          </w:p>
        </w:tc>
        <w:tc>
          <w:tcPr>
            <w:tcW w:w="8020" w:type="dxa"/>
            <w:vAlign w:val="bottom"/>
          </w:tcPr>
          <w:p>
            <w:pPr>
              <w:ind w:left="500"/>
              <w:spacing w:after="0"/>
              <w:rPr>
                <w:sz w:val="20"/>
                <w:szCs w:val="20"/>
                <w:color w:val="auto"/>
              </w:rPr>
            </w:pPr>
            <w:r>
              <w:rPr>
                <w:rFonts w:ascii="Arial" w:cs="Arial" w:eastAsia="Arial" w:hAnsi="Arial"/>
                <w:sz w:val="18"/>
                <w:szCs w:val="18"/>
                <w:color w:val="auto"/>
                <w:w w:val="87"/>
              </w:rPr>
              <w:t>We do not intend to list the debentures on any national securities exchange. The debentures initially sold to</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qualified institutional buyers are eligible for trading in the PORTAL market. However, the debentures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89"/>
              </w:rPr>
              <w:t>resold pursuant to this prospectus will no longer be eligible for trading in the PORTAL market. There may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not be an active or liquid market for the debentures.</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Trading Symbol for Our Common Stock</w:t>
            </w:r>
          </w:p>
        </w:tc>
        <w:tc>
          <w:tcPr>
            <w:tcW w:w="8020" w:type="dxa"/>
            <w:vAlign w:val="bottom"/>
            <w:vMerge w:val="restart"/>
          </w:tcPr>
          <w:p>
            <w:pPr>
              <w:ind w:left="500"/>
              <w:spacing w:after="0"/>
              <w:rPr>
                <w:sz w:val="20"/>
                <w:szCs w:val="20"/>
                <w:color w:val="auto"/>
              </w:rPr>
            </w:pPr>
            <w:r>
              <w:rPr>
                <w:rFonts w:ascii="Arial" w:cs="Arial" w:eastAsia="Arial" w:hAnsi="Arial"/>
                <w:sz w:val="18"/>
                <w:szCs w:val="18"/>
                <w:color w:val="auto"/>
              </w:rPr>
              <w:t>Our common stock is listed on the Nasdaq National Market under the symbol “WYNN.”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8020" w:type="dxa"/>
            <w:vAlign w:val="bottom"/>
          </w:tcPr>
          <w:p>
            <w:pPr>
              <w:ind w:left="500"/>
              <w:spacing w:after="0"/>
              <w:rPr>
                <w:sz w:val="20"/>
                <w:szCs w:val="20"/>
                <w:color w:val="auto"/>
              </w:rPr>
            </w:pPr>
            <w:r>
              <w:rPr>
                <w:rFonts w:ascii="Arial" w:cs="Arial" w:eastAsia="Arial" w:hAnsi="Arial"/>
                <w:sz w:val="18"/>
                <w:szCs w:val="18"/>
                <w:color w:val="auto"/>
                <w:w w:val="90"/>
              </w:rPr>
              <w:t>See “Risk Factors” and other information included in, and incorporated by reference into, this prospectus</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for a discussion of factors you should carefully consider before deciding to invest in the debentures.</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8020" w:type="dxa"/>
            <w:vAlign w:val="bottom"/>
          </w:tcPr>
          <w:p>
            <w:pPr>
              <w:ind w:left="2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into this prospectus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the debentures and our common stock could decline substantially.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holding company, we will depend primarily on our subsidiaries to fund our debt service obligations under the debentures, and our subsidiaries may not provide us with sufficient funds to meet those obligations.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holding company with no operations of our own, our cash flow needs, and therefore our ability to fund our debt service obligations under the debentures, are primarily dependent upon our subsidiaries, including the Wynn Las Vegas entities and the Wynn Macau Companies. Before the opening of Wynn Las Vegas, which is expected to occur in April 2005, and the possible opening of Wynn Macau, which continues to be subject to certain conditions, we will have no material operations or earnings. While approximately $302.5 million in unrestricted cash was available at the holding company level as of March 31, 2004 and while, to the extent such funds are not required to be applied to the construction of Wynn Las Vegas in accordance with the debt obligations of the Wynn Las Vegas entities, we may receive up to $50 million from the completion guarantor after the completion of Wynn Las Vegas, there can be no assurance that such funds will be available to pay scheduled interest payments on the debentures when they become due.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the Wynn Las Vegas entities will be permitted to distribute funds to us to cover certain corporate overhead, and, following completion of Wynn Las Vegas, will be permitted to pay limited management fees to us under certain conditions (including achieving agreed-upon financial ratios), we do not expect to have any significant cash flow at the holding company level from the Wynn Las Vegas entities for a considerable period of time, which may extend beyond July 15, 2006 (the end of the three-year period for which scheduled interest payments on the debentures are secured). In addition, in the event we go forward with Wynn Macau, we expect that any financial arrangements entered into by the Wynn Macau Companies will contain similar restrictions on distributions to us. If we decide not to go forward with Wynn Macau, we do not expect to receive any distributions from the Wynn Macau Companies. Further, our subsidiaries are separate and distinct legal entities and, other than the Guarantor, have no obligation to pay any amounts due on the debentures or to provide us with funds for our payment obligations, whether by dividends, distributions, loans or other payments.</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these restrictions and the likelihood that our subsidiaries will not have significant cash flow for a considerable period of time, we may not have sufficient funds available to service the debt obligations of the debentures beyond the three year period for which scheduled interest payments on the debentures are secured.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payment is junior to certain of our existing and future indebtedness.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debentures are unsecured and subordinated in right of payment to all of our existing and future senior indebtedness, including our guarantees of $1.6 billion principal amount of secured indebtedness of the Wynn Las Vegas entities. As a result, in the event of bankruptcy, liquidation or reorganization or upon acceleration of the debentures due to an event of default under the indenture governing the debentures, and in specific other events, our assets will be available to pay obligations on the debentures only after all senior indebtedness has been paid in full in cash or other payment satisfactory to the holders of senior indebtedness. There may not be sufficient assets remaining to pay amounts due on any or all of the debentures then outstanding. Furthermore, we are a holding company and conduct substantially all of our operations through our subsidiaries, none of whom (other than the Guarantor) are guaranteeing our obligations under, or have any obligations to pay any amounts due 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the debentures. As a result, the debentures will be effectively subordinated to all of the indebtedness and other liabilities of our subsidiaries (other than the Guarantor). Our rights and the rights of our creditors, including holders of the debentures, to participate in the assets of any of our subsidiaries (other than the Guarantor) upon their liquidation or recapitalization will generally be subject to the prior claims of those subsidiaries’ creditors. At March 31, 2004, our subsidiaries had approximately $503.6 million of outstanding liabilities and had assets constituting approximately 82% of our consolidated assets.</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event of a bankruptcy, liquidation or reorganization relating to us, holders of the debentures will participate with trade creditors and all other holders of subordinated indebtedness in the assets remaining after we have satisfied all of the senior indebtedness. However, because the indenture governing the debentures requires that cash, securities or other property otherwise distributable to holders of the debentures in a bankruptcy or similar proceeding be paid to holders of senior indebtedness instead, holders of the debentures may receive less, ratably, than holders of trade payables in any such proceeding. In any of these cases, we may not have sufficient funds to pay all of the our creditors, and holders of debentures may receive less, ratably, than the holders of senior indebtedness.</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fail to deliver our common stock upon conversion of a debenture and thereafter because we are the subject of bankruptcy proceedings, a holder’s claim for damages arising from our failure could also be subordinated to all of our existing and future indebtedness.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March 31, 2004, the debentures are effectively subordinated to approximately $1.6 billion of senior indebtedness, including $1 billion available for borrowing under our credit facilities and $150.5 million available for borrowing under our FF&amp;E facility.</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indenture governing the debentures does not restrict our ability to incur additional indebtedness or to take other actions that could negatively impact holders of the debentures.</w:t>
      </w:r>
    </w:p>
    <w:p>
      <w:pPr>
        <w:spacing w:after="0" w:line="3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not restricted under the terms of the indenture governing the debentures from incurring additional indebtedness, including senior indebtedness. In addition, the limited covenants applicable to the debentures do not require us to achieve or maintain any minimum financial results relating to our financial position or results of operations. Our ability to recapitalize, incur additional indebtedness and take a number of other actions that are not limited by the terms of the debentures or the indenture governing the debentures could have the effect of diminishing our ability to make payments on the debentures when due.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repurchase the debentures in cash upon the occurrence of a change of control.</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Holders of the debentures have the right to require us to repurchase the debentures upon the occurrence of a change of control. We may not have sufficient funds to make the required repurchase in cash at such time or the ability to arrange necessary financing on acceptable terms. In addition, our ability to repurchase the debentures in cash may be limited by law or the terms of other agreements relating to our indebtedness outstanding at the time. For more information, see “Description of the Debentures—Purchase of Debentures at the Option of Holders upon a Change of Control.”</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a holder of the debentures or a holder of the common stock issuable upon conversion of the debentures, you may be required to comply with registration, licensing, qualification or other requirements under gaming laws or dispose of your securities.</w:t>
      </w:r>
    </w:p>
    <w:p>
      <w:pPr>
        <w:spacing w:after="0" w:line="3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gaming authority of any jurisdiction in which we currently or in the future conduct or propose to conduct gaming may require that a holder of the debentures or a holder of the common stock issuable upon conversion of the debentures be registered, licensed, qualified or found suitable, or comply with any other requirement under applicable gaming laws. If you purchase or otherwise accept an interest in the debentures, by the terms of the indenture governing the debentures, you will agree to comply with all of these requirements,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46" w:lineRule="exact"/>
        <w:rPr>
          <w:sz w:val="20"/>
          <w:szCs w:val="20"/>
          <w:color w:val="auto"/>
        </w:rPr>
      </w:pPr>
    </w:p>
    <w:p>
      <w:pPr>
        <w:ind w:left="800" w:right="2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you to sell your debentures or beneficial interest in the debentures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redeem your debentures (possibly within less than 30 days following the notice of redemption if requested or prescribed by the gaming authority) at a price equal to the lesser 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cost;</w:t>
      </w:r>
    </w:p>
    <w:p>
      <w:pPr>
        <w:spacing w:after="0" w:line="76" w:lineRule="exact"/>
        <w:rPr>
          <w:rFonts w:ascii="Arial" w:cs="Arial" w:eastAsia="Arial" w:hAnsi="Arial"/>
          <w:sz w:val="18"/>
          <w:szCs w:val="18"/>
          <w:color w:val="auto"/>
        </w:rPr>
      </w:pPr>
    </w:p>
    <w:p>
      <w:pPr>
        <w:ind w:left="1260" w:right="380" w:hanging="455"/>
        <w:spacing w:after="0" w:line="332" w:lineRule="auto"/>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 of the principal amount of the debentures, plus accrued and unpaid interest, if any, to the redemption date or the date of any failure to comply, whichever is earlier; and any other amount required by applicable law or by order of any gaming authority.</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debentures will also provide that as soon as you are required to sell your debentures as a result of a gaming authority action, you will, to the extent required by applicable gaming laws, have no further right:</w:t>
      </w:r>
    </w:p>
    <w:p>
      <w:pPr>
        <w:spacing w:after="0" w:line="49"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debentures; or</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receive from us any interest, dividends or any other distributions or payments, or any remuneration in any form, relating to the debentures, except the redemption price we refer to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Debentures—Mandatory Disposition Pursuant to Gaming Laws.”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our articles of incorporation provide that, to the extent a gaming authority determines that you or your affiliates are unsuitable or to the extent deemed necessary or advisable by the board of directors, we may redeem shares of our common stock that you or your affiliates own or control. The redemption price will be the amount, if any, required by the gaming authority or, if the gaming authority does not determine the price, the sum deemed to be the fair value by the board of directors. If we determine the redemption price, the redemption price will not exceed the closing price of the common stock on the principal national securities exchange on which the common stock is listed on the trading date on the day before the redemption notice is given. If the common stock is not listed on a national securities exchange, the redemption price will not exceed the closing sale price of the common stock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we elect. However, if the gaming authorities were to find you or your affiliate unsuitable to own our voting securities, it could also determine that you or your affiliate is unsuitable to hold a promissory note for the purchase of such voting securities by us, and could determine not to approve the issuance of the promissory note to you or your affiliate.</w:t>
      </w:r>
    </w:p>
    <w:p>
      <w:pPr>
        <w:spacing w:after="0" w:line="114"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price of our common stock, and therefore the price of the debentures, may fluctuate significantly, which may make it difficult for you to resell the debentures, or the common stock issuable upon conversion of the debentures, when you want or at prices you find attractive.</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price of shares of our common stock on the Nasdaq National Market constantly changes. We expect that the market price of our common stock will continue to fluctuate. Because the debentures are convertible into shares of our common stock, volatility or depressed prices for our common stock could have a similar effect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trading price of the debentures. Holders who receive common stock upon conversion also will be subject to the risk of volatility and depressed prices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debentures may not develop or continue.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debentures were a new issue of securities. Although the debentures initially sold to qualified institutional buyers are eligible for trading in the PORTAL market, the debentures resold pursuant to this prospectus will no longer be eligible for trading in the PORTAL market. We do not intend to list the debentures on any national securities exchange or automated quotation system. We cannot assure you that an active or sustained trading market for the debentures will develop or continue or that holders will be able to sell their debentures at prices they desire.</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even if holders are able to sell their debentures, we cannot assure you as to the price at which any sales will be made. Future trading prices of the debentures will depend on many factors, including, among other things, prevailing interest rates, our operating results, the price of our common stock and the market for similar securities. Historically, the market for convertible debt has been subject to disruptions that have caused volatility in prices. It is possible that the market for the debentures will be subject to disruptions, which may have a negative effect on the holders of the debentures, regardless of our prospects or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 will dilute the ownership interest of existing stockholders.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conversion of some or all of the debentures will dilute the ownership interests of existing stockholders. Any sales in the public market of the common stock issuable upon such conversion, or the perception that such sales could occur, could materially adversely affect the prevailing market price for our common stock and could impair our future ability to raise capital through an offering of equity or equity-linked securities. In addition, the existence of the debentures may encourage short selling by market participants because the conversion of the debentures could depress the price of our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Société des Bains de Mer et du Cercle des Etrangers à Monaco, a société anonyme Monegasque organized under the laws of the Principality of Monaco (“SBM”), and in connection therewith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 As of March 31, 2004, we had outstanding approximately 43,000,000 such “restricted” shares of common stock, approximately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March 31, 2004, there were 2,038,000 shares of common stock reserved and subject to issuance upon exercise of outstanding options, warrants or other convertible rights (including 25,000 shares of common stock subject to option grants that have been approved by the board of directors but not yet granted). Lastly, we have granted our Chairman and Chief Executive Officer, Stephen A. Wynn, demand and piggyback registration rights with respect to any shares of our common stock he purchases from Aruze USA.</w:t>
      </w:r>
    </w:p>
    <w:p>
      <w:pPr>
        <w:spacing w:after="0" w:line="11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prices for the debentures will be directly affected by the trading prices for our common stock, which is impossible to predict.</w:t>
      </w:r>
    </w:p>
    <w:p>
      <w:pPr>
        <w:spacing w:after="0" w:line="10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price of our common stock could be affected by possible sales of our common stock by investors who view the debentures as a more attractive means of equity participation in Wynn Resorts and by hedging or arbitrage trading activity that may develop involving the common stock. The arbitrage could, in turn, affect the trading prices of the debentures.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delay or otherwise impede the trustee’s ability to foreclose on the collateral securing the debentures.</w:t>
      </w:r>
    </w:p>
    <w:p>
      <w:pPr>
        <w:spacing w:after="0" w:line="77" w:lineRule="exact"/>
        <w:rPr>
          <w:sz w:val="20"/>
          <w:szCs w:val="20"/>
          <w:color w:val="auto"/>
        </w:rPr>
      </w:pPr>
    </w:p>
    <w:p>
      <w:pPr>
        <w:ind w:right="220" w:firstLine="456"/>
        <w:spacing w:after="0" w:line="331" w:lineRule="auto"/>
        <w:rPr>
          <w:sz w:val="20"/>
          <w:szCs w:val="20"/>
          <w:color w:val="auto"/>
        </w:rPr>
      </w:pPr>
      <w:r>
        <w:rPr>
          <w:rFonts w:ascii="Arial" w:cs="Arial" w:eastAsia="Arial" w:hAnsi="Arial"/>
          <w:sz w:val="15"/>
          <w:szCs w:val="15"/>
          <w:color w:val="auto"/>
        </w:rPr>
        <w:t>We pledged 100% of the membership interests in the Guarantor to the trustee to secure our obligations under the indenture governing the debentures. Federal bankruptcy law could substantially delay or prevent the ability of the trustee under the indenture, whom we refer to as the trustee, to foreclose upon the collateral securing the debentures. If we and our subsidiaries become debtors in cases under the United States Bankruptcy Code, there can be no assurance:</w:t>
      </w:r>
    </w:p>
    <w:p>
      <w:pPr>
        <w:spacing w:after="0" w:line="2"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payments under the debentures would be made;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the trustee could foreclose upon or sell the collateral;</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term or other conditions of the debentures or any rights of the holders could be altered in a bankruptcy case without the trustee’s or your consent;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or to what extent holders of the debentures would be compensated for any delay in payment or decline in the collateral’s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earnings were insufficient to cover our fixed charges by $16.9 million, $17.7 million, $46.1 million and $139.3 million for the period from inception to December 31, 2000, and for the years ended December 31, 2001, 2002 and 2003, respectively. Earnings were insufficient to cover fixed charges by $29.9 million and $40.2 million for the quarter ended March 31, 2003 and 2004, respectively. For purposes of these calculations, earnings consist of income from continuing operations before provision for income taxes and before fixed charges. Fixed charges include interest expense and a portion of rental expense deemed a reasonable approximation of the interest factor.</w:t>
      </w:r>
    </w:p>
    <w:p>
      <w:pPr>
        <w:spacing w:after="0" w:line="12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debentures were issued under an indenture among us, Wynn Resorts Funding, LLC and U.S. Bank National Association, as trustee. The pledges referred to below under the caption “—Security” are governed by a pledge and security agreement and a collateral pledge and security agreement (collectively, the “pledge agreements”), which define the terms of the pledges that will secure the payment of scheduled interest payments on the debentures when due, up to and including the interest payment due on July 15, 2006.</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all of the provisions of the debentures, the indenture, the registration rights agreement and the pledge agreements. We urge you to read the indenture, the registration rights agreement and the pledge agreements and the form of the debentures, which you may obtain from us upon request. Wherever particular provisions or defined terms of the indenture or the form of debenture are referred to, these provisions or defined terms are incorporated into this prospectus by reference. As used in this description, all references to “Wynn Resorts,” “our company,” “we,” “us” or “our” mean Wynn Resorts, Limited, excluding, unless otherwise expressly stated or the context otherwise requires, its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debentures are subordinated unsecured (except as described under “—Security” below) obligations of Wynn Resorts and are subordinate in right of payment as described under “—Subordination of Debentures.” The debentures are convertible into our shares of common stock as described under “— Conversion Rights.” The debentures are limited to $250,000,000 aggregate principal amount and will mature on July 15, 2015, unless earlier converted into common stock, redeemed at our option, or purchased by us at your option upon a change of control.</w:t>
      </w:r>
    </w:p>
    <w:p>
      <w:pPr>
        <w:spacing w:after="0" w:line="9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Interest on the debentures accrues at the rate per annum shown on the cover page of this prospectus and is payable semiannually in arrears on July 15 and January 15 of each year. Interest on the debentures accrues from July 7, 2003 or, if interest has already been paid, from the date it was most recently paid. Any payment required to be made on any day that is not a business day will be made on the next succeeding business day. The payment made on the next succeeding business day will be treated as though it were paid on the original due date. We will make each interest payment to the holders of record of the debentures at the close of business on the immediately preceding July 1 and January 1, whether or not such day is a business day. Interest payable upon redemption will be paid to the person to whom principal is payable. Interest on the debentures will be computed on the basis of a 360-day year comprised of twelve 30 day months. Interest will cease to accrue on a debenture upon its maturity, conversion or purchase by us.</w:t>
      </w:r>
    </w:p>
    <w:p>
      <w:pPr>
        <w:spacing w:after="0" w:line="10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Debentures may be presented for conversion at the office of the conversion agent, and for exchange or registration of transfer at the office of the registrar, each such agent initially being the trustee. We will pay the principal of, and interest on, the debentures at the office or agency maintained by us in the Borough of Manhattan in New York City. We reserve the right to pay interest to holders of the debentures by check mailed to the holders at their registered addresses.</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However, a holder of debentures with an aggregate principal amount in excess of $1,000,000 will be paid by wire transfer in immediately available funds. Except under limited circumstances, the debentures will be issued only in fully registered book-entry form, without coupons, and will be represented by one or more global notes. The debentures shall be issued only in denominations of $1,000 of principal amount and any integral multiple of $1,000. There will be no service charge for any registration of transfer or exchange of debentures. We may, however, require holders to pay a sum sufficient to cover any tax, assessment or other governmental charge payable in connection with any transfer or exchange.</w:t>
      </w:r>
    </w:p>
    <w:p>
      <w:pPr>
        <w:spacing w:after="0" w:line="10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indenture does not contain any restriction on us or our subsidiaries regarding the payment of dividends, the incurrence of indebtedness or the repurchase of securities, and does not contain any financial covenants. Other than as described under “—Purchase of Debentures at the Option of Holders upon a Change of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 xml:space="preserve">the indenture contains no covenants or other provisions that afford protection to holders of debentures in the event of a highly leveraged transaction. </w:t>
      </w:r>
      <w:r>
        <w:rPr>
          <w:rFonts w:ascii="Arial" w:cs="Arial" w:eastAsia="Arial" w:hAnsi="Arial"/>
          <w:sz w:val="18"/>
          <w:szCs w:val="18"/>
          <w:b w:val="1"/>
          <w:bCs w:val="1"/>
          <w:color w:val="auto"/>
        </w:rPr>
        <w:t>Guarantee</w:t>
      </w:r>
    </w:p>
    <w:p>
      <w:pPr>
        <w:spacing w:after="0" w:line="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wholly owned subsidiary Wynn Resorts Funding, LLC (“Guarantor”) has guaranteed the debentures on a senior secured basis (the “subsidiary guarantee”). The Guarantor is a limited liability company formed in connection with the initial issuance of the debentures that has no business or assets other than the securities deposited as contemplated under the caption “—Security” below. The indenture prohibits, until such time as the pledge agreements are terminated, the Guarantor from incurring any indebtedness (other than the guarantee of the debentures) or other liabilities, conducting any business other than holding and maintaining the securities deposited as contemplated under the caption “—Security” below, amending its organizational documents and issuing any equity interests. We have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will owe under the debentures and the subsidiary guarantee. The indenture provides that the Guarantee will be released at such time as the pledge agreements are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contributed approximately $44.0 million of the net proceed from the original issuance of the debentures to the Guarantor, which used such proceeds to purchase U.S. government securities in an amount that we believe will be sufficient upon receipt of scheduled interest and principal payments of such securities to provide for payment in full when due of scheduled interest payments on the debentures up to and including the interest payment due on July 15, 2006. If at any time the value of the collateral exceeds 100% of the amount sufficient to provide payment in full of such secured scheduled cash interest payments, the excess collateral may be released from the securities account upon the Guarantor’s request. If at any time the value of the collateral is less than 100% of the amount sufficient to provide payment in full of the remaining secured scheduled cash interest payments, the Guarantor will deposit funds into the securities account in an amount equal to such difference.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Guarantor has pledged such U.S. government securities as security for its guarantee for the exclusive benefit of the holders of the debentures (and not for the benefit of any of our other creditors). Immediately prior to an interest payment date, the collateral agent will release from the securities account to the trustee proceeds sufficient to pay the interest then due on the debentures. A failure to pay interest on the debentures when due for any scheduled interest payment date on or prior to July 15, 2006 will constitute an immediate event of default under the indenture, with no grace period.</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Wynn Resorts has pledged its 100% member’s interest in the Guarantor to the collateral agent to secure its obligations under the indenture and the collateral documents. The U.S. government securities held by the Guarantor, the securities account and Wynn Resorts’ member’s interest in the Guarantor are collectively referred to as the “Collateral.”</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pledged U.S. government securities and the other Collateral, among other things, secure the repayment of the principal amount on the debentures until such time as the collateral pledge and security agreement is terminated. If prior to July 15, 2006:</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under the debentures occurs and is continuing; and</w:t>
      </w:r>
    </w:p>
    <w:p>
      <w:pPr>
        <w:spacing w:after="0" w:line="76" w:lineRule="exact"/>
        <w:rPr>
          <w:rFonts w:ascii="Arial" w:cs="Arial" w:eastAsia="Arial" w:hAnsi="Arial"/>
          <w:sz w:val="18"/>
          <w:szCs w:val="18"/>
          <w:color w:val="auto"/>
        </w:rPr>
      </w:pPr>
    </w:p>
    <w:p>
      <w:pPr>
        <w:jc w:val="both"/>
        <w:ind w:left="800" w:right="26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(by written consent, at a meeting of debenture holders or otherwise), except for the occurrence of an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default relating to our bankruptcy, insolvency or reorganization, upon which the debentures will be accelerated automatically,</w:t>
      </w:r>
    </w:p>
    <w:p>
      <w:pPr>
        <w:spacing w:after="0" w:line="171" w:lineRule="exact"/>
        <w:rPr>
          <w:sz w:val="20"/>
          <w:szCs w:val="20"/>
          <w:color w:val="auto"/>
        </w:rPr>
      </w:pPr>
    </w:p>
    <w:p>
      <w:pPr>
        <w:ind w:right="700"/>
        <w:spacing w:after="0" w:line="325" w:lineRule="auto"/>
        <w:rPr>
          <w:sz w:val="20"/>
          <w:szCs w:val="20"/>
          <w:color w:val="auto"/>
        </w:rPr>
      </w:pPr>
      <w:r>
        <w:rPr>
          <w:rFonts w:ascii="Arial" w:cs="Arial" w:eastAsia="Arial" w:hAnsi="Arial"/>
          <w:sz w:val="16"/>
          <w:szCs w:val="16"/>
          <w:color w:val="auto"/>
        </w:rPr>
        <w:t>then the proceeds from the pledged U.S. government securities will be promptly released for payment to debenture holders, subject to the automatic stay provisions of bankruptcy law, if applicable, and subject to the prompt distribution of proceeds from the securities account as follows:</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amount equal to any accrued and unpaid interest would be distributed from the securities account in payment of accrued interest; and</w:t>
      </w:r>
    </w:p>
    <w:p>
      <w:pPr>
        <w:spacing w:after="0" w:line="99" w:lineRule="exact"/>
        <w:rPr>
          <w:rFonts w:ascii="Arial" w:cs="Arial" w:eastAsia="Arial" w:hAnsi="Arial"/>
          <w:sz w:val="16"/>
          <w:szCs w:val="16"/>
          <w:color w:val="auto"/>
        </w:rPr>
      </w:pPr>
    </w:p>
    <w:p>
      <w:pPr>
        <w:ind w:left="800" w:right="56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However, if any event of default is cured prior to the acceleration of the debentures by the trustee or holders of the debentures referred to above, the trustee and the holders of the debentures will not be able to accelerate the debentures as a result of that event of default and no proceeds from the pledged U.S. government securities will be released for payment to debenture holders.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For example, if the first two interest payments were made when due but the third interest payment was not made when due and the debenture holders promptly exercised their right to declare the principal amount of the debentures to be immediately due and payable prior to the Company curing such failure to pay interest, then, assuming automatic stay provisions of bankruptcy law are inapplicable and the proceeds of the pledged U.S. government securities are promptly distributed from the securities account,</w:t>
      </w:r>
    </w:p>
    <w:p>
      <w:pPr>
        <w:spacing w:after="0" w:line="49" w:lineRule="exact"/>
        <w:rPr>
          <w:sz w:val="20"/>
          <w:szCs w:val="20"/>
          <w:color w:val="auto"/>
        </w:rPr>
      </w:pPr>
    </w:p>
    <w:p>
      <w:pPr>
        <w:ind w:left="800" w:right="42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amount equal to the interest payment due on the third interest payment would be distributed from the securities account in payment of accrued interest; and</w:t>
      </w:r>
    </w:p>
    <w:p>
      <w:pPr>
        <w:spacing w:after="0" w:line="37"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Once we make the interest payment due on the debentures on or about July 15, 2006, all of the remaining pledged U.S. government securities, if any, will be released to the Guarantor from the securities account and distributed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Except to the extent described above under “—Security,” the debentures are subordinated, unsecured obligations of Wynn Resorts and are junior in right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payment to all existing and future senior debt of Wynn Resorts, including its guarantees of $1.6 billion principal amount of our subsidiaries’ 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The debentures rank equally with all existing and future subordinated indebtedness of Wynn Resorts. See “—Subordination of Debentures.”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debentures are effectively subordinated to our subsidiaries’ indebtedness and liabilities, including trade payables. As of March 31, 2004,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had approximately $1.7 billion of total indebtedness and liabilities to which the debentures were effectively subordinated. As of March 31, 2004,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our subsidiaries had $1.8 billion of total indebtedness outstanding, including $1 billion available for borrowing under our subsidiaries’ credit facilities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$150.5 million available for borrowing under our subsidiaries’ FF&amp;E facility. See “Capitalization.” The debentures do not contain any limitation on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indebtedness ranking senior to or on a parity with the indebtedness evidenced by the debentures that we may hereafter incur.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You may convert your debentures, in whole or in part, into shares of our common stock at any time prior to the close of business on the business day immediately preceding the final maturity date of the debentures, subject to prior redemption of the debentures at our option or upon a change of control. The initial conversion rate for the debentures is equal to 43.4782 shares of common stock per $1,000 principal amount of debentures, subject to adjustment as described below, which represents an initial conversion price of approximately $23.00 per share.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conversion of a debenture, a holder will not receive, except as described below, accrued interest on the principal amount of the debentures. Our delivery to the holder of the full number of shares of common stock into which the debenture is convertible, together with any cash payment for such holder’s fractional shares, or cash or a combination of cash and shares of common stock in lieu thereof, will be deemed:</w:t>
      </w:r>
    </w:p>
    <w:p>
      <w:pPr>
        <w:spacing w:after="0" w:line="46"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satisfy our obligation to pay the principal amount of the debenture;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satisfy our obligation to pay the accrued cash interest, if any, attributable to the period from the issue date through the conversion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accrued cash interest, if any, is deemed paid in full rather than cancelled, extinguished or forfeited.</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lieu of delivery of shares of our common stock upon notice of conversion of any debentures (for all or any portion of the debentures), we may elect to pay holders surrendering debentures an amount in cash per debenture (or a portion of a debenture) equal to the Applicable Stock Price multiplied by the conversion rate in effect on the conversion date. The “Applicable Stock Price” is equal to the average of the Sale Prices (as defined below) of our common stock over the three-Trading Day (as defined below) period starting the third Trading Day following the conversion date of the debentures appropriately adjusted to take into account the occurrence, during such three-Trading Day period, of certain events with respect to the common stock listed under “—Conversion Rate Adjustments.” We will inform the holders through the trustee no later than two business days following the conversion date of our election to deliver shares of our common stock or to pay cash in lieu of delivery of such shares, unless we have already informed holders of our election in connection with our optional redemption of the debentures as described under “—Optional Redemption.” If we elect to deliver all of such payment in shares of our common stock, the shares will be delivered through the conversion agent no later than the third business day following the determination of the Applicable Stock Price. If we elect to pay all or a portion of such payment in cash, the payment, including any delivery of our common stock, will be made to holders surrendering debentures no later than the tenth business day following the applicable conversion date. If an event of default, as described under “—Events of Default” below (other than a default in a cash payment upon conversion of the debentures), has occurred and is continuing, we may not pay cash upon conversion of any debentures or portion of a debenture (other than cash for fractional shares).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have submitted your debentures for redemption upon a change of control, you may convert your debentures only if you withdraw your redemption election. You may convert your debentures in part so long as the part is $1,000 principal amount or an integral multiple of $1,000. If any debentures are converted during the period after a record date for an interest payment date but before the opening of business on the next interest payment date, then the debentures must be accompanied by funds equal to the interest payable for such period on that interest payment date on the converted principal amount, unless we have specified a redemption date following a change of control during that period.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debentures. Instead, we will pay cash equal to the Sale Price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convert your debenture into common stock you must do the following (or comply with DTC procedures for doing so in respect of your beneficial interest in debentures evidenced by a global debenture held by DTC):</w:t>
      </w:r>
    </w:p>
    <w:p>
      <w:pPr>
        <w:spacing w:after="0" w:line="37" w:lineRule="exact"/>
        <w:rPr>
          <w:sz w:val="20"/>
          <w:szCs w:val="20"/>
          <w:color w:val="auto"/>
        </w:rPr>
      </w:pPr>
    </w:p>
    <w:p>
      <w:pPr>
        <w:ind w:left="800" w:right="42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debenture or facsimile of the conversion notice and deliver this notice to the conversion agent;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surrender the debenture to the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720" w:hanging="6"/>
        <w:spacing w:after="0" w:line="503" w:lineRule="auto"/>
        <w:tabs>
          <w:tab w:leader="none" w:pos="7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required, pay funds equal to interest payable on the next interest payment date. The date you comply with these requirements is the conversion date under the indenture.</w:t>
      </w: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will be adjusted for:</w:t>
      </w:r>
    </w:p>
    <w:p>
      <w:pPr>
        <w:spacing w:after="0" w:line="7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dividends or distributions on shares of our common stock payable in shares of our common stock or other capital stock of Wynn Resorts;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subdivisions, combinations or certain reclassifications of shares of our common stock;</w:t>
      </w:r>
    </w:p>
    <w:p>
      <w:pPr>
        <w:spacing w:after="0" w:line="76" w:lineRule="exact"/>
        <w:rPr>
          <w:rFonts w:ascii="Arial" w:cs="Arial" w:eastAsia="Arial" w:hAnsi="Arial"/>
          <w:sz w:val="18"/>
          <w:szCs w:val="18"/>
          <w:color w:val="auto"/>
        </w:rPr>
      </w:pPr>
    </w:p>
    <w:p>
      <w:pPr>
        <w:ind w:left="800" w:hanging="346"/>
        <w:spacing w:after="0" w:line="290"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distributions to all holders of our shares of common stock of our assets (including shares of capital stock, of or similar equity interests in, a subsidiary or other business unit of ours) or debt securities or certain rights to purchase our securities (excluding any consideration paid in connection with a tender offer described in the bullet below, any cash dividends subject to a Pre-Dividend Adjustment (as defined below) and any other cash dividends or cash distributions, other than, with respect to any consecutive 12-month period, the amount, if any, by which the aggregate amount of all cash dividends and distributions occurring during such 12-month period (other than cash dividends for which a Pre-Dividend Adjustment was made) together with cash or other consideration payable in respect of certain tender offers for our common stock consummated in such 12-month period exceeds on a per share basis 10% of the Sale Price on the day preceding the date of declaration of such dividend or other distribution); and</w:t>
      </w:r>
    </w:p>
    <w:p>
      <w:pPr>
        <w:spacing w:after="0" w:line="23"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successful completion of a tender offer made by us or any of our subsidiaries for our common stock that involved the payment of aggregate consideration in an amount that (together with cash or other consideration payable in respect of certain tender offers for our common stock consummated, and all other cash distributions to all or substantially all holders of our common stock made (other than cash dividends for which a Pre-Dividend Adjustment was made), in the 12 months preceding the expiration of such expired tender offer) exceeded an amount equal to 10% of the product of the Sale Price on the last day of such expired tender offer and the number of shares of common stock outstanding at the expiration of such expired tender offer.</w:t>
      </w:r>
    </w:p>
    <w:p>
      <w:pPr>
        <w:spacing w:after="0" w:line="13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the event that we pay a dividend or make a distribution on shares of our common stock in accordance with the third bullet above, the conversion price will be adjusted based on the market value of the securities so distributed relative to the market value of our common stock, in each case based on the average Sale Prices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prior to July 20, 2007, we will adjust the conversion rate (a “Pre-Dividend Adjustment”) if we declare a dividend or distribution to all or substantially all of the holders of our common stock, to the extent that such dividend or distribution is payable in cash. If we declare such a dividend or distribution, the conversion rate shall be increased to equal the number determined by multiplying the conversion rate in effect immediately prior to such date of determination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80010</wp:posOffset>
            </wp:positionV>
            <wp:extent cx="3644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Price—Dividend Adjustment Amount)</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“Pre-Dividend Sale Price” will be calculated as the average Sale Price for the three consecutive Trading Days ending on the date immediately preceding the ex-dividend date for such dividend or distribution. The “Dividend Adjustment Amount” will be calculated as the full amount of the dividend or distribution to the extent payable in cash applicable to one share of common stock.</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adjustment to the conversion rate or the ability of a holder of a debenture to convert will be made if Wynn Resorts provides that holders of debentures will participate in the transaction without conversion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certain other cases. In addition, if we adopt a stockholder rights plan, in lieu of an adjustment to the conversion ratio, the debentures will become entitled to receive upon conversion, in addition to the common stock issuable, any associated rights to the same extent as holders of our common stock generally.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permits us to increase the conversion rate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taxable distribution to holders of shares of common stock that results in an adjustment of the conversion price;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the conversion price at our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holders of the debentures may, in certain circumstances, be deemed to have received a distribution subject to federal income tax as a dividend. See “United States Federal Income Tax Consequences.”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than with respect to a Pre-Dividend Adjustment, we will not be required to make any adjustment to the conversion rate until the cumulative adjustments amount to 1.0% or more of the conversion rate. Any adjustment not made will be taken into account in subsequent adjustments. We will compute all adjustments to the conversion rate and will give notice of any adjustments by issuing a press release and publishing such information on our website.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Debentures at the Option of Holders upon a Change of Control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change of control occurs, you will have the right to require us to purchase all or any part of your debentures not previously called for redemption 30 business days after the occurrence of such change of control for cash at a purchase price equal to 100% of the principal amount of the debentures, plus accrued and unpaid interest, up to, but excluding, the purchase date. Debentures submitted for purchase must be in integral multiples of $1,000 principal amount. We will mail to the trustee and to each holder a written notice of the change of control within 10 business days after the occurrence of such change of control. This notice shall state certain specified information, including:</w:t>
      </w:r>
    </w:p>
    <w:p>
      <w:pPr>
        <w:spacing w:after="0" w:line="48"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date of and events causing the change of control;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about the holders’ right to convert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right to require us to purchase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procedures required for exercise of the purchase option upon the change of control;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and address of the paying and conversion agents.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must deliver written notice of your exercise of this purchase right to the paying agent prior to the close of business on the business day prior to the change of control purchase date. The written notice must specify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debentures for which the purchase right is being exercised. If you wish to withdraw this election, you must provide a written notice of withdrawal to the paying agent at any time prior to the close of business on the business day prior to the change of control purchase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is:</w:t>
      </w:r>
    </w:p>
    <w:p>
      <w:pPr>
        <w:spacing w:after="0" w:line="77" w:lineRule="exact"/>
        <w:rPr>
          <w:sz w:val="20"/>
          <w:szCs w:val="20"/>
          <w:color w:val="auto"/>
        </w:rPr>
      </w:pPr>
    </w:p>
    <w:p>
      <w:pPr>
        <w:ind w:right="140" w:firstLine="464"/>
        <w:spacing w:after="0" w:line="256"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indenture governing our subsidiaries’ 12% second mortgage notes due 2010, (ii) our subsidiaries’ credit facilities effective October 30, 2002 for construction financing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under the indenture:</w:t>
      </w:r>
    </w:p>
    <w:p>
      <w:pPr>
        <w:spacing w:after="0" w:line="7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the provisions of Rule 13e-4 and Rule 14e-1, if applicable, under the Exchange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in connection with any offer by us to purchase the debentures upon a change of control.</w:t>
      </w:r>
    </w:p>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change of control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change of control purchase feature is not part of a plan by management to adopt a series of anti-takeover provisions. Instead, the change of control purchase feature is a result of negotiations between us and the initial purchasers of the debentures.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could, in the future, enter into certain transactions, including recapitalizations, that would not constitute a change of control but would increase the amount of debt, including senior indebtedness, outstanding or otherwise adversely affecting a holder. Neither we nor our subsidiaries are prohibited from incurring debt, including senior indebtedness, under the indenture. The incurrence of significant amounts of additional debt could adversely affect our ability to service our debt, including the debentures.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our debt agreements that we may enter into in the future may prohibit our redemption or repurchase of the debentures and provide that a change of control constitutes an event of default.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 change of control were to occur, we may not have sufficient funds to pay the change of control purchase price for the debentures tendered by holders. In addition, we may in the future incur debt that has similar change of control provisions that permit holders of this future debt to accelerate or require us to repurchase this future debt upon the occurrence of events similar to a change of control. We may not purchase any debenture at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 when the subordination provisions of the indenture otherwise would prohibit us from making such repurchase. Our failure to repurchase the debentures upon a change of control where holders have properly exercised their repurchase rights will result in an event of default under the indenture, whether or not the purchase is permitted by the subordination provisions of the indenture. Any such default may, in turn, cause a default under existing or future Senior Indebtedness. See “—Subordination of Debentures”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is no sinking fund for the debentures. On or after July 20, 2007, we will be entitled to redeem the debentures at any time as a whole, or from time to time in part, on at least 30 but no more than 60 days’ notice, at the redemption prices set out below, together with accrued and unpaid interest to, but excluding, the date fixed for redemption.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redemption prices of a debenture per $1,000 principal amount if redeemed during the periods described below.</w:t>
      </w:r>
    </w:p>
    <w:p>
      <w:pPr>
        <w:spacing w:after="0" w:line="14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2007 through July 14, 2008</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2008 through July 14, 2009</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 through July 14, 2010</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2010 through July 14, 2011</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2011 through July 14, 2012</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2012 through July 14, 2013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2013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do not redeem all of the debentures, the trustee will select the debentures to be redeemed in principal amounts of $1,000 or whole multiples of $1,000 by lot, on a pro rata basis, or in accordance with any other method the trustee considers fair and appropriate. If any debentures are to be redeemed in part only, a new debenture or debentures in principal amount equal to the unredeemed principal portion thereof will be issued. If a portion of a holder’s debentures is selected for partial redemption and the holder converts a portion of its debentures, the converted portion will be deemed to be taken from the portion selected for redemption.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Disposition Pursuant to Gaming Laws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debentures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we will have the right, at our option, to:</w:t>
      </w:r>
    </w:p>
    <w:p>
      <w:pPr>
        <w:spacing w:after="0" w:line="49" w:lineRule="exact"/>
        <w:rPr>
          <w:sz w:val="20"/>
          <w:szCs w:val="20"/>
          <w:color w:val="auto"/>
        </w:rPr>
      </w:pPr>
    </w:p>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debentures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the debentures of the holder or beneficial owner at a redemption price equal to:</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principal amount of the debentures plus accrued and unpaid interest, if any;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debentures,</w:t>
      </w:r>
    </w:p>
    <w:p>
      <w:pPr>
        <w:spacing w:after="0" w:line="158"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each case, together with accrued and unpaid interest on the debentures, if any, to the earlier of (1) the date of redemption or such earlier date as is required by the gaming authority or (2) the date of the finding of unsuitability by the gaming authority, which may be less than 30 days following the notice of redemption.</w:t>
      </w:r>
    </w:p>
    <w:p>
      <w:pPr>
        <w:spacing w:after="0" w:line="4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debentures will not be licensed, qualified or found suitable, the holder or beneficial owner will not have any further rights with respect to the debentures to:</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debentures; or</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debentures, or any remuneration in any form from us for services rendered or otherwise, except the redemption price of the debentures.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not required to pay or reimburse any holder or beneficial owner of debentures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entity or convey, transfer or lease our properties and assets substantially as an entirety to any entity, unless:</w:t>
      </w:r>
    </w:p>
    <w:p>
      <w:pPr>
        <w:spacing w:after="0" w:line="37" w:lineRule="exact"/>
        <w:rPr>
          <w:sz w:val="20"/>
          <w:szCs w:val="20"/>
          <w:color w:val="auto"/>
        </w:rPr>
      </w:pPr>
    </w:p>
    <w:p>
      <w:pPr>
        <w:ind w:left="800" w:right="44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is a U.S. domestic corporation, limited liability company, partnership, trust or other entity, and expressly assumes our obligations on the debentures and under the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transaction complies with these requirements.</w:t>
      </w:r>
    </w:p>
    <w:p>
      <w:pPr>
        <w:spacing w:after="0" w:line="19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us as obligor on the debentures, with the same effect as if it had been named in the indenture as our company.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covenant described above includes a phrase relating to the conveyance, transfer, or lease of our properties and assets “substantially as an entirety”. There is no precise, established definition of the phrase “substantially as an entirety” under applicable law. In interpreting this phrase, courts among other things, make a subjective determination as to the portion of assets conveyed, considering many factors, including the value of assets conveyed, the proportion of an entity’s income derived from the assets conveyed and the significance of those assets to the ongoing business of the entity. To the extent the meaning of such phrase is uncertain, uncertainty will exist as to whether or not this covenant applies.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to the extent described under “—Security” above, the payment of principal of and interest (including liquidated damages, if any) on the debentures is subordinated in right of payment, as set forth in the indenture, to the prior payment in full in cash or cash equivalents of all Senior Indebtedness whether outstanding on the date of the indenture or thereafter incurred. The debentures also are effectively subordinated to all indebtedness and other liabilities, including trade payables and lease obligations, if any, of our subsidiaries. In the event of any insolvency or bankruptcy case or proceeding, or any receivership, liquidation, reorganization or other similar case or proceeding in connection therewith, relating to us or to our assets, or any liquidation, dissolution or other winding-up of us, whether voluntary or involuntary, or any assignment for the benefit of creditors or other marshaling of assets or liabilities of us, the holders of Senior Indebtedness will be entitled to receive payment in full in cash or cash equivalents of all Senior Indebtedness, or provision shall be made for such payment in full, before the holders of debentures will be entitled to receive any payment or distribution of any kind or character (other than Permitted Payments); and any payment or distribution of our assets of any kind or character, whether in cash, property or securities (other than Permitted Payments) by set-off or otherwise, to which the holders of the debentures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upon the occurrence of any Payment Default until such Payment Default shall have been cured or waived in writing or shall have ceased to exist or such Designated Senior Indebtedness shall have been discharged or paid in full in cash or cash equivalents.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during a Payment Blockage Period arising as a result of a Non-Payment Default.</w:t>
      </w:r>
    </w:p>
    <w:p>
      <w:pPr>
        <w:spacing w:after="0" w:line="93"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179 days thereafter (provided that any Designated Senior Indebtedness as to which notice was given shall not theretofore have been accelerated);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such Payment Blockage Period shall have been terminated by written notice to the trustee or us from the trustee or such other representative initiating such Payment Blockage Period;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which we will resume making any and all required payments in respect of the debentures,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notwithstanding the provisions of the preceding four paragraphs, any payment or distribution shall be received by the trustee or any holder of the debentures which is prohibited by such provisions, then and in such event such payment shall be held in trust for the benefit of, and paid over and delivered by such trustee or holder to the trustee or any other representatives of holders of Senior Indebtedness, as their interest may appear, for application to Senior Indebtedness. After all Senior Indebtedness is paid in full and until the debentures are paid in full, holders of the debentures shall be subrogated (equally and ratably with all other indebtedness that is equal in right of payment to the debentures) to the rights of holders of Senior Indebtedness to receive distributions applicable to Senior Indebtedness to the extent that distributions otherwise payable to the holders of the debentures have been applied to the payment of Senior Indebtedness. See “—Events of Default” below.</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“Designated Senior Indebtedness” means any of our Senior Indebtedness, the principal amount of which is $50.0 million or more and that has been designated as “Designated Senior Indebtedness.”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“Non-Payment Default” means any default or event of default with respect to any Designated Senior Indebtedness other than any Payment Default pursuant to which the maturity thereof may be accelerated.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“Payment Default” means a default in payment, whether at scheduled maturity, upon scheduled installment, by acceleration or otherwise, of principal of, or premium, if any or interest on Designated Senior Indebtedness beyond any applicable grace period.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“Permitted Junior Securities” means any payment or distribution in the form of equity securities or subordinated securities of us or any successor obligor that, in the case of any such subordinated securities, are subordinated in right of payment to all Senior Indebtedness that may at the time be outstanding to at least the same extent as the debentures are so subordinated.</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“Permitted Payments” means (i) payments of principal of or liquidated damages, if any, or interest on the debentures as described under “—Security” above and (ii) any payments or distributions in the form of Permitted Junior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Company, whether outstanding on the date of the Indenture or thereafter created, incurred, assumed or guaranteed by the Company, unless, in the instrument creating or evidencing or pursuant to which such Indebtedness is outstanding, it is expressly provided that such Indebtedness is not senior in right of payment to the debentures.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or other obligations of Wynn Resorts that by their terms rank equal or junior in right of payment to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of Wynn Resorts that by operation of law is subordinate to any of Wynn Resorts’ general unsecured obligations;</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or other liabilities owed or owing by Wynn Resorts to trade creditors, including guarantees thereof or instruments evidencing such liabilities;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owed by Wynn Resorts for compensation to employees or for services rendered to Wynn Resorts;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Wynn Resorts’ indebtedness to any subsidiary or any other affiliate of Wynn Resorts or any of such affiliate’s subsidiaries, as outstanding on the date 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stock of Wynn Resorts;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debentures;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Wynn Resorts.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for payments contemplated under “—Security” above, the debentures are also effectively subordinated to all liabilities, including trade payables and lease obligations, if any, of our subsidiaries. Any right by us to receive the assets of any of our subsidiaries upon the liquidation or reorganization thereof, and the consequent right of the holders of the debentures to participate in these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subsidiaries are separate and distinct legal entities and, other than the Guarantor, have no obligation, contingent or otherwise, to pay any amounts due pursuant to the debentures or to make any funds available therefor, whether by dividends, loans or other payments. In addition, the payment of dividends and the making of loans and advances to us by our subsidiaries may be subject to statutory, contractual or other restrictions and are dependent upon the earnings or financial condition of those subsidiaries and subject to various business considerations. As a result, we may be unable to gain access to the cash flow or assets of our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defines an event of default as one or more of the following:</w:t>
      </w:r>
    </w:p>
    <w:p>
      <w:pPr>
        <w:spacing w:after="0" w:line="77" w:lineRule="exact"/>
        <w:rPr>
          <w:sz w:val="20"/>
          <w:szCs w:val="20"/>
          <w:color w:val="auto"/>
        </w:rPr>
      </w:pPr>
    </w:p>
    <w:p>
      <w:pPr>
        <w:ind w:left="900" w:right="2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before July 15, 2006, default in payment of any interest or liquidated damages upon any of the debentures when due and payable, whether or not such payment is prohibited by the subordination provisions in the indenture;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July 15, 2006, default in payment of any interest or liquidated damages upon any of the debentures when due and payable, whether or not such payment is prohibited by the subordination provisions in the indenture, if such failure continues for 30 days;</w:t>
      </w:r>
    </w:p>
    <w:p>
      <w:pPr>
        <w:spacing w:after="0" w:line="37"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in payment of the principal amount, redemption price, or change of control purchase price with respect to any debenture when such payment becomes due and payable, whether or not such payment is prohibited by the subordination provisions in the indenture;</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Wynn Resorts or any of its subsidiaries to comply with any of its other agreements in the debentures or the indenture upon receipt of notice of such default and Wynn Resorts’ failure to cure such default, cause such default to be cured, or obtain a waiver thereof, within 60 days after receipt by Wynn Resorts of such notice;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of Wynn Resorts or any of its subsidiaries to make any payment by the end of any applicable grace period after maturity of Indebtedness, in an amount (taken together with amounts under (6)) in excess of $20 million and continuance of such failure; provided, that if any such failure shall cease or be cured, waived, rescinded or annulled, then the event of default by reason thereof shall be deemed not to have occurred;</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acceleration of Indebtedness of Wynn Resorts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Wynn Resorts by the trustee or to Wynn Resorts and the trustee by the holders of not less than 25% in aggregate principal amount of the debentures then outstanding; provided, that if any such acceleration shall cease or be cured, waived, rescinded or annulled, then the event of default by reason thereof shall be deemed not to have occurred;</w:t>
      </w:r>
    </w:p>
    <w:p>
      <w:pPr>
        <w:spacing w:after="0" w:line="4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Wynn Resorts or any of our subsidiaries, which judgments are not stayed, bonded or discharged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bankruptcy, insolvency or reorganization of Wynn Resorts or any of its significant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Wynn Resorts or the Guarantor for 30 days after receipt of written notice from the trustee to comply with its agreements contained in the pledge agreement and the guarantee;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of the pledge agreements or the guarantee cease to be in full force and effect, or enforceable, prior to the expiration in accordance with such agreement or guarantee’s terms.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an event of default, other than an event of default described in clause (8) above, shall have happened and be continuing, either the trustee or the holders of not less than 25% in aggregate principal amount of the debentures then outstanding may declare the principal amount of the debentures as of the date of such declaration plus accrued interest, if any, through the date of such declaration to be immediately due and payable. If an event of default described in clause (8) above shall occur, the principal amount of the debentures as of the date on which such event occurs plus accrued interest, if any, through the date on which such event occurs shall automatically become and be immediately due and payable.</w:t>
      </w:r>
    </w:p>
    <w:p>
      <w:pPr>
        <w:spacing w:after="0" w:line="10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After acceleration, the holders of a majority in aggregate principal amount of the debentures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declaration of the acceleration of the debentures, the holders of a majority in aggregate principal amount of the debentures may waive, on behalf of all of the holders of the debentures, any default and its consequences, except an event of default described in paragraphs (1), (2) or (3) above, a default in respect of a provision that cannot be amended without the consent of all of the holders of the debentures or a default that constitutes a failure to convert any debentures into shares of common stock. Other than the duty to act with the required care during an event of default, the trustee is not obligated to exercise any of its rights or powers at the request of the holders unless the holders shall have offered to the trustee reasonable indemnity. Generally, the holders of a majority in aggregate principal amount of the debentures have the right to direct the time, method and place of conducting any proceeding for any remedy available to the trustee or exercising any trust or power conferred on the trustee.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holder does have any right to institute any proceeding under the indenture, or for the appointment of a receiver or a trustee, or for any other remedy under the indenture, unless: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debentures;</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 least 25% in aggregate principal amount of the debentures have made a written request and have offered reasonable indemnity to the trustee to institute the proceeding;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holder or holders offer to the trustee security or indemnity satisfactory to the trustee against any loss, liability or expense; and</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failed to institute the proceeding and has not received direction inconsistent with the original request from the holders of a majority in aggregate principal amount of the debentures within 60 days after the original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may, however, sue to enforce the payment of the principal amount plus accrued and unpaid interest, redemption price, change of control purchase price or liquidated damages with respect to any debenture on or after the due date or to enforce the right, if any, to convert any debenture without following the procedures listed in (1) through (3) above.</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will furnish the trustee an annual statement by our officers as to whether or not we are in default in the performance of the indenture and, if so, specifying all known defaults.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trustee may, without the consent of the holders of the debentures, enter into supplemental indentures for, among others, one or more of the following purposes:</w:t>
      </w:r>
    </w:p>
    <w:p>
      <w:pPr>
        <w:spacing w:after="0" w:line="37" w:lineRule="exact"/>
        <w:rPr>
          <w:sz w:val="20"/>
          <w:szCs w:val="20"/>
          <w:color w:val="auto"/>
        </w:rPr>
      </w:pPr>
    </w:p>
    <w:p>
      <w:pPr>
        <w:ind w:left="800" w:right="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obligations under the indenture and the debentures;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to our covenants, or surrender any of our rights, or add any rights for the benefit of the holders of debentures;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of debentures are not adversely affected in any material respect under the indenture;</w:t>
      </w:r>
    </w:p>
    <w:p>
      <w:pPr>
        <w:spacing w:after="0" w:line="45"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the debentures or to facilitate the administration of the trust thereunder by the trustee in accordance with such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increase the conversion rate, provided the increase will not adversely effect the interests of holders of debentures in any material respect; and</w:t>
      </w:r>
    </w:p>
    <w:p>
      <w:pPr>
        <w:spacing w:after="0" w:line="99"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modify the provisions of the indenture or the pledge agreements relating to the pledge of securities as contemplated under “—Security” above in a manner that does not adversely affect the interests of the holders of debentures;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any amendment described in the third bullet point above made solely to conform the provisions of the indenture to the description of the debentures contained in this prospectus will not be deemed to adversely affect the interests of holders of the debentures.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certain exceptions, the indenture or the rights of the holders of the debentures may be modified by us and the trustee with the consent of the holders of a majority in aggregate principal amount of the debentures then outstanding, but no such modification may be made without the consent of the holder of each outstanding debenture affected thereby that would:</w:t>
      </w:r>
    </w:p>
    <w:p>
      <w:pPr>
        <w:spacing w:after="0" w:line="46" w:lineRule="exact"/>
        <w:rPr>
          <w:sz w:val="20"/>
          <w:szCs w:val="20"/>
          <w:color w:val="auto"/>
        </w:rPr>
      </w:pPr>
    </w:p>
    <w:p>
      <w:pPr>
        <w:ind w:left="800" w:right="260" w:hanging="346"/>
        <w:spacing w:after="0" w:line="298"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maturity of any payment of principal of, or any premium on, any debentures, or reduce the principal amount or the interest rate of any debenture, or change any place of payment where, or the coin or currency in which, any debenture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18"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debentures,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debenture affected thereby;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release the Guarantor from any of its obligations under the guarantee other than in accordance with the terms of the indenture and pledge agreement.</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foregoing, any amendment to, or waiver of, the provisions of the indenture relating to subordination that adversely affects the rights of the holders of the debentures will require the consent of the holders of at least 75% in aggregate principal amount of debentures then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debentures or by depositing with the trustee, the paying agent or the conversion agent, if applicable, after the debentures have become due and payable, whether at stated maturity, or any redemption date, or a change of control purchase date, or upon conversion or otherwise, cash or common stock (as applicable under the terms of the indenture) sufficient to pay all of the outstanding debentures and paying all other sums payable under the indenture by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appointed the trustee as the paying agent and conversion agent, acting through its corporate trust office. We reserve the right to:</w:t>
      </w:r>
    </w:p>
    <w:p>
      <w:pPr>
        <w:spacing w:after="0" w:line="100"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vary or terminate the appointment of the paying agent or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 as the paying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paying agent or conversion agent 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debentures surrendered for payment, redemption, registration of transfer or exchange or conversion shall, if surrendered to any person other than the trustee, be delivered to the trustee. All debentures delivered to the trustee shall be cancelled promptly by the trustee. No debentures shall be authenticated in exchange for any debentures cancelled as provided in the indenture.</w:t>
      </w:r>
    </w:p>
    <w:p>
      <w:pPr>
        <w:spacing w:after="0" w:line="12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may, to the extent permitted by law, purchase debentures in the open market or by tender offer at any price or by private agreement. Any debentures purchased by us may, to the extent permitted by law, be reissued or resold or may, at our option, be surrendered to the trustee for cancellation. Any debentures surrendered for cancellation may not be reissued or resold and will be promptly cancelled. Any debentures held by us or one of our subsidiaries shall be disregarded for voting purposes in connection with any notice, waiver, consent or direction requiring the vote or concurrence of note 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replace mutilated, destroyed, stolen or lost debentures at the holder’s expense upon delivery to the trustee of the mutilated debentures, or evidence of the loss, theft or destruction of the debentures satisfactory to us and the trustee. In the case of a lost, stolen or destroyed note, indemnity satisfactory to the trustee and us may be required at the expense of the holder of such note before a replacement note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Bank National Association serves as the trustee under the indenture. The trustee is permitted to deal with us and any of our affiliates with the same rights as if it were not trustee. However, under the Trust Indenture Act, if the trustee acquires any conflicting interest and there exists a default with respect to the debentures, the trustee must eliminate such conflict or resign.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holders of a majority in principal amount of all outstanding debentures have the right to direct the time, method and place of conducting any proceeding for exercising any remedy or power available to the trustee. However, any such direction may not conflict with any law or the indenture, may not be unduly prejudicial to the rights of another holder or the trustee and may not involve the trustee in personal liability.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 including, without limitation, Section 5-1401 of the New York General Obligations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debentures are currently represented by one or more global securities. Each global security has been deposited with, or on behalf of, DTC and be registered in the name of a nominee of DTC. Except under circumstances described below, the debentures will not be issued in definitive form.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DTC was created to hold securities for persons that have accounts with DTC or its nominee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issuance of a global security, DTC credits on its book-entry registration and transfer system the accounts of persons designated by the initial purchasers with the respective principal amounts at maturity of the debentures represented by the global security. Ownership of beneficial interests in a global security are limited to participants or persons that may hold interests through participants. Owners of beneficial interests in the debentures represented by the global securities hold their interests pursuant to the procedures and practices of DTC. Ownership of beneficial interests in a global security are shown on, and the transfer of that ownership will be effected only through, records maintained by DTC or its nominee (with respect to interests of persons other than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are not entitled to have debentures represented by that global security registered in their names, will not receive or be entitled to receive physical delivery of debentures in definitive form and are not considered the owners or holders thereof under the indenture. Beneficial owners are not holders and are not entitled to any rights provided to the holders of debentures under the global securities or the indenture. Principal and interest payments, if any, on debentures registered in the name of DTC or its nominee will be made to DTC or its nominee, as the case may be, as the registered owner of the relevant global security. Neither Wynn Resorts, the Guarantor, the trustee, any paying agent nor the registrar for the debentures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0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have been informed that DTC’s practice is to credit participants’ accounts on that payment date with payments in amounts proportionate to their respective beneficial interests in the principal amount of the relevant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global security as shown on the records of DTC or its nominee, unless DTC has reason to believe that it will not receive payment on that payment date. We also expect that payments by participants to owners of beneficial interests in a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DTC has advised us that it will take any action permitted to be taken by a holder of debentures, including the presentation of debentures for transfer, only at the direction of one or more participants to whose account with DTC interests in the debentures are credited, and only in respect of the principal amount of the debentures represented by the debentures as to which the participant or participants has or have given such direction.</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DTC is at any time unwilling or unable to continue as a depository and a successor depository is not appointed by us within 90 days, if we decide to discontinue use of the system of book-entry transfer through DTC (or any successor depositary) or if an event of default under the indenture has occurred and is continuing, we will issue debentures in definitive form in exchange for the entire global security for the debentures. In any such instance, an owner of a beneficial interest in a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$1,000 principal amount and integral multiples thereof, unless otherwise specified by us.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is expected to follow the foregoing procedures in order to facilitate transfers of interests in the global security among the participants of DTC, it is under no obligation to perform or continue to perform these procedures, and such procedures may be discontinued at any time. Neither Wynn Resorts, the Guarantor, the trustee, any paying agent nor the registrar for the debentures will have any responsibility or liability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We and the Guarantor have entered into a registration rights agreement with the initial purchasers of the debentures. A holder who sells debentures or shares of common stock issued upon conversion of the debentures pursuant to this registration statement generally will be required to be named as a selling securityholder in the related prospectus, deliver a prospectus to purchasers and be bound by certain provisions of the registration rights agreement that are applicable to such holder, including certain indemnification provisions, and will be subject to certain civil liability provisions under the Securities Act.</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registration rights agreement, we agreed to use our commercially reasonable best efforts to keep this registration statement effective until the earlier of (i) the date when holders are able to sell all of the debentures and shares of common stock issuable upon conversion of the debentures immediately without restriction pursuant to the volume limitation provisions of Rule 144 under the Securities Act or otherwise, (ii) the sale pursuant to the shelf registration statement of all the debentures and all of the shares of common stock issuable upon conversion of the debentures, (iii) July 3, 2005 and (iv) the date no debentures or shares of common stock issuable upon conversion of the debentures are outstanding, subject to certain permitted exceptions.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the Guarantor will be permitted to suspend the use of this prospectus under certain circumstances relating to pending corporate developments for a period not to exceed 45 days in any three-month period and not to exceed an aggregate of 90 days in any 12-month period. We and the Guarantor will pay predetermined liquidated damages as described herein (“liquidated damages”) to holders of debentures, if a shelf registration statement is not timely filed or made effective or shall cease to be effective or fail to be usable or if the prospectus is unavailable for the periods in excess of those permitted above. Such liquidated damages shall accrue until such failure to file or become effective or unavailability is cured, in respect of any debentures at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rate per year equal to 0.25% for the first 90-day period after the occurrence of such event and 0.50% thereafter of the aggregate principal amount thereof as of the end of any such period. So long as the failure to file or become effective or unavailability continues, we and the Guarantor will pay liquidated damages in cash semi-annually in arrears, with the first semi-annual payment due on the first interest payment date, as applicable, following the date on which such liquidated damages begin to accrue. If a holder has converted some or all of its debentures into common stock, the holder will be entitled to receive equivalent amounts based on the aggregate principal amount of the debentures converted. When such registration default is cured, accrued and unpaid liquidated damages will be paid in cash to the record holder as of the date of such cure.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summary herein of certain provisions of the registration rights agreement is subject to, and is qualified in its entirety by reference to, all the provisions of the registration rights agreement, a copy of which is available from us upon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March 31, 2004, there were 82,168,484 shares of common stock outstanding. In addition, as of March 31, 2004, there were 2,038,000 shares of common stock reserved and subject to issuance upon exercise of outstanding options, warrants or other convertible rights (including 25,000 shares of common stock subject to option grants that have been approved by the board of directors but not yet granted).</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2004, there were no shares of preferred stock authorized or outstanding.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If Mr. Wynn chooses to purchase less than all of the shares owned by Aruze USA, pursuant to an agreement between the Company and Mr. Wynn, the Company has the right to require him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17" w:lineRule="auto"/>
        <w:rPr>
          <w:sz w:val="20"/>
          <w:szCs w:val="20"/>
          <w:color w:val="auto"/>
        </w:rPr>
      </w:pPr>
      <w:r>
        <w:rPr>
          <w:rFonts w:ascii="Arial" w:cs="Arial" w:eastAsia="Arial" w:hAnsi="Arial"/>
          <w:sz w:val="16"/>
          <w:szCs w:val="16"/>
          <w:color w:val="auto"/>
        </w:rPr>
        <w:t xml:space="preserve">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voting power, voting as a single class.</w:t>
      </w:r>
    </w:p>
    <w:p>
      <w:pPr>
        <w:spacing w:after="0" w:line="7" w:lineRule="exact"/>
        <w:rPr>
          <w:sz w:val="20"/>
          <w:szCs w:val="20"/>
          <w:color w:val="auto"/>
        </w:rPr>
      </w:pPr>
    </w:p>
    <w:p>
      <w:pPr>
        <w:ind w:right="340" w:firstLine="456"/>
        <w:spacing w:after="0" w:line="27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serving staggered three-year terms, with as near as possible to one-third, and at least one-fourth, of the board of directors being elected each year. In addition, Wynn Resorts’ articles of incorporation require the vote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stock entitled to vote in the election of directors to amend the classified board provision. As a result, at least two annual meetings of stockholders may be necessary to change a majority of the directors.</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Indemnification of Directors and Officers. </w:t>
      </w:r>
      <w:r>
        <w:rPr>
          <w:rFonts w:ascii="Arial" w:cs="Arial" w:eastAsia="Arial" w:hAnsi="Arial"/>
          <w:sz w:val="16"/>
          <w:szCs w:val="16"/>
          <w:color w:val="auto"/>
        </w:rPr>
        <w:t>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240" w:top="459"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6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an investment in debentures and common stock received upon a conversion of debentures. This summary is based upon existing United States federal income tax law, which is subject to change or different interpretations, possibly with retroactive effect. This summary does not discuss all aspects of United States federal income taxation which may be important to particular investors in light of their individual investment circumstances, such as debentures held by investors subject to special tax rules (e.g., financial institutions, insurance companies, broker-dealers and tax-exempt investors (including foreign tax-exempt organizations and foreign private foundations)) or to persons that will hold debentures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discuss any state, local, or non-United States tax considerations. This summary assumes that investors will hold their debentures, and common stock received pursuant to a conversion of debentures, as “capital assets” (generally, property held for investment) under the Internal Revenue Code of 1986 (the “Code”). Each prospective investor is urged to consult his tax advisor regarding the United States federal, state, local, and non-United States income and other tax considerations of an investment in debentures.</w:t>
      </w:r>
    </w:p>
    <w:p>
      <w:pPr>
        <w:spacing w:after="0" w:line="11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summary, a “U.S. Holder” is a beneficial owner of debentures that is, for United States federal income tax purposes, (i) an individual who is a citizen or resident of the United States, (ii) a corporation, partnership, or other entity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 A beneficial owner of debentures, or common stock received upon a conversion of debentures, that is not a U.S. Holder is referred to herein as a “Non-U.S. Holder.”</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 debentures as indebtedness for United States federal income tax purposes and the summary below assumes that the debentures are characterized as indebtedness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Payments of interest on debentures made to a U.S. Holder will be subject to tax as ordinary income when received or accrued in accordance with such holder’s method of tax accounting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83"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If a holder acquires debentures at a price that is less than the stated redemption price at maturity, the holder may be deemed to have acquired debentures with market discount. A holder who acquires debentures with market discount that is more than a statutorily-defined de minimis amount will generally be required to recognize ordinary income upon a taxable disposition of debentures in an amount equal to the lesser of (i) the amount of gain recognized or (ii) accrued market discount not previously included in income. Such market discount will accrue ratably or, at the election of the holder, under a constant yield method over the remaining term of debentures. A holder will also be required to defer the deduction of a portion of any interest paid or accrued on indebtedness incurred to purchase or carry debentures acquired with market discount. Alternatively, a holder may elect to include market discount in income currently as it accrues on all market discount instruments acquired by such holder in the taxable year of the election and thereafter, in which case the foregoing rules will not apply. A holder will not recognize income for any accrued market discount attributable to debentures surrendered for conversion into our common stock. Upon disposition of such common stock received, however, any gain will be treated as ordinary income to the extent of such accrued market discount not previously included in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Premium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acquires debentures at a price that is greater than the stated redemption price at maturity, the holder will generally be treated as having acquired the debentures with bond premium. The amount of such premium will be included in the adjusted tax basis of debentures which may result in a capital loss upon sale, exchange, redemption, repurchase, or other disposition of debentures. In lieu of the foregoing, the holder may elect to amortize such premium, as an offset to interest accrued or received on debentures, using a constant yield method over the remaining term of debentures.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Solely for Common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holder converts debentures, and we deliver solely common stock in the conversion, a holder will generally not recognize gain or loss except to the extent of cash received in lieu of a fractional share of our common stock. A holder will generally recognize capital gain (except to the extent of accrued market discount not previously included in income as described above) or loss, for United States federal income tax purposes, equal to the difference between the amount of cash received and the adjusted tax basis in such fractional share. Such gain or loss will generally be long-term if the holder’s holding period in respect of debentures is more than one year. A holder’s tax basis in the common stock received upon conversion should generally equal such holder’s adjusted tax basis in debentures tendered in the conversion, less the tax basis allocated to any fractional share for which cash is received.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 and Cash</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holder converts debentures, and we deliver a combination of cash and common stock in satisfaction of our conversion obligation, a holder will generally not recognize loss, but will generally recognize capital gain (except to the extent of accrued market discount not previously included in income as described above), if any, on debentures so converted in an amount equal to the lesser of the amount of (i) gain “realized” (i.e., the excess, if any, of the fair market value of the common stock received upon the exchange plus cash received over the adjusted tax basis in debentures tendered in exchange therefor) or (ii) cash received. Such gain will generally be long-term if the holder’s holding period in respect of such debentures is more than one year. A holder’s tax basis in the common stock received should generally equal the adjusted tax basis in debentures tendered in exchange therefor, decreased by the cash received, and increased by an amount of gain recognized.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Conversion Solely for Cash, or other Disposition of Debentures or Common Stock</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Upon the sale, exchange, conversion solely for cash, or other disposition of debentures (other than a conversion of debentures into our common stock, or our common stock and cash, as described above) or our common stock previously received pursuant to a conversion of debentures, a holder will generally recognize capital gain (except to the extent of accrued market discount not previously included in income as described above) or loss equal to the difference between (i) the amount of cash and the fair market value of any property received upon such disposition and (ii) the holder’s adjusted tax basis in debentures or common stock previously received pursuant to a conversion of debentures. Such gain or loss will be long-term if the holder’s holding period in respect of such debentures is more than one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Sale, or Other Disposition of Debentures—Amounts Received Attributable to Accrued But Unpaid Interest</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Common stock, cash, or a combination thereof received upon a conversion, sale, or other disposition of debentures which is attributable to accrued but unpaid interest on debentures will be excluded from the amount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realized upon such disposition. Any such cash or common stock received will be deemed to be a payment in respect of such accrued but unpaid interest and, in the case of a cash method holder, will be subject to tax as ordinary interest income upon receipt. The holder’s tax basis in any common stock received will be equal to the amount of the interest income attributable thereto and the holding period of the common stock will commence with the date of receipt.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Dividends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at any time we make a distribution of property to our stockholders that would be subject to tax as a dividend for United States federal income tax purposes and, in accordance with the anti-dilution provisions of debentures, the conversion rate of debentures is increased, including any such adjustments pursuant to dividends paid or distributions made by us prior to July 20, 2007, such increase may be deemed to be the payment of a taxable dividend, for United States federal income tax purposes, to holders of debentures. For example, an increase in the conversion rate in the event of distributions of our debt instruments, or our assets, or an increase in the event of an extraordinary cash dividend, generally will result in deemed dividend treatment to holders of debentures, but an increase in the event of stock dividends or the distribution of rights to subscribe for our common stock generally will not.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Paid on Common Stock</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distributions, if any, paid on our common stock generally will be treated as dividend income to the extent of our current or accumulated earnings and profits as determined for United States federal income tax purposes. Cash distributions in excess of our current and accumulated earnings and profits will be treated as a tax-free return of capital to the extent of the holder’s adjusted tax basis in the common stock and thereafter as capital gain from the sale or exchange of such common stock. Dividends received by a corporate U.S. Holder may be eligible for a dividends received deduction. Dividends received by certain noncorporate U.S. Holders, including individuals, will generally be subject to tax at the lower applicable capital gain rate, provided certain holding period requirements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Payments of interest on debentures made to a Non-U.S. Holder will not be subject to United States federal income or withholding tax provided that (i) such holder is not a controlled foreign corporation that is related to us through stock ownership and (ii) the statement requirements set forth in section 871(h) or 881(c) of the Code are satisfied, as discussed below. Notwithstanding the above, a Non-U.S. Holder that is engaged in the conduct of a United States trade or business will be subject to (i) United States federal income tax on a net income basis on interest that is effectively connected with the conduct of such trade or business and</w:t>
      </w:r>
    </w:p>
    <w:p>
      <w:pPr>
        <w:spacing w:after="0" w:line="3" w:lineRule="exact"/>
        <w:rPr>
          <w:sz w:val="20"/>
          <w:szCs w:val="20"/>
          <w:color w:val="auto"/>
        </w:rPr>
      </w:pPr>
    </w:p>
    <w:p>
      <w:pPr>
        <w:ind w:right="120" w:firstLine="8"/>
        <w:spacing w:after="0" w:line="261"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Non-U.S. Holder is a corporation, a United States branch profits tax equal to 30% of its “effectively connected earnings and profits” as adjusted for the taxable year, unless the holder qualifies for an exemption from such tax or a lower tax rate under an applicable treaty.</w:t>
      </w:r>
    </w:p>
    <w:p>
      <w:pPr>
        <w:spacing w:after="0" w:line="12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statement requirement referred to in the preceding paragraph generally will be satisfied if the beneficial owner of debentures certifies on Internal Revenue Service Form W-8BEN, under penalties of perjury, that it is not a United States person and provides its name and address or otherwise satisfies applicable documentation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Constructive Dividends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Dividends paid or constructive dividends deemed paid (see “U.S. Holders—Constructive Dividends” above) to a Non-U.S. Holder generally will be subject to United States federal withholding tax at a 30% rate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reduction (a) by an applicable treaty if the Non-U.S. Holder provides an Internal Revenue Service Form W-8BEN certifying that it is entitled to such treaty benefits or (b) upon the receipt of an Internal Revenue Service Form W-8ECI from a Non-U.S. Holder claiming that the payments are effectively connected with the conduct of a United States trade or business. Notwithstanding the above, a Non-U.S. Holder that is engaged in the conduct of a United States trade or business will be subject to (i) United States federal income tax on a net income basis on the receipt of a dividend or a constructive dividend that is effectively connected with the conduct of such trade or business and (ii) if the Non-U.S. Holder is a corporation, a United States branch profits tax as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conversion of debentures solely for common stock, a Non-U.S. Holder will generally not be subject to United States federal income tax. See “—Sale, Exchange or Redemption of Debentures or Common Stock Received upon Conversion of Debentures” below, however, regarding the taxation of cash received, including cash received in lieu of a fractional share of common stock, upon a conversion. See “—Interest” above regarding the taxation of shares received in respect of accrued but unpaid interest on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Redemption of Debentures or Common Stock Received Upon Conversion of Debentures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Non-U.S. Holder generally will not be subject to United States federal income tax on gain recognized on a sale, exchange, redemption, a conversion of debentures for stock and cash, or other disposition of debentures or common stock received upon conversion of debentures (including the receipt of cash in lieu of a fractional share) unless (i) the gain is effectively connected with the conduct of a trade or business within the United States by the Non-U.S. Holder, (ii) in the case of a Non-U.S. Holder who is a nonresident alien individual, such holder is present in the United States for 183 or more days during the taxable year and certain other requirements are met, or (iii) we are a “United States real property holding corporation” (a “USRPHC”) and, in the case of a disposition of our common stock, our common stock is not regularly traded on an established securities market at the time of disposition, and other conditions described below are not met. Any such gain that is effectively connected with the conduct of a United States trade or business by a Non-U.S. Holder will be subject to United States federal income tax on a net income basis and, if such Non-U.S. Holder is a corporation, may also be subject to the 30% United States branch profits tax described above.</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for United States federal income tax purposes we believe that we are, and anticipate that we will likely continue to be a USRPHC, a Non-U.S. Holder could be subject to tax on any gain realized on a disposition of our debentures or common stock and to a 10% withholding tax (creditable against such tax liability) on the gross amount realized (“FIRPTA tax and withholding”). In the case of a disposition of our common stock, we believe that our common stock is presently “regularly traded” on an established securities market because it is traded on the Nasdaq National Market and is regularly quoted by brokers and/or dealers making a market in our common stock. If our common stock is regularly traded at the time of disposition, withholding generally will not be required and, provided that the Non-U.S. Holder is not otherwise subject to tax under clauses (i) or (ii) in the immediately preceding paragraph, a Non-U.S. Holder who did not own more than 5% of the value of our common stock, actually or constructively, at any time during the shorter of the five-year period preceding the disposition or the Non-U.S. Holder’s holding period, should not be subject to United States federal income tax on any gain realized on the disposition of our common stock. It is possible, however, that, because of our concentrated ownership, our common stock will not be considered regularly traded despite being quoted on the Nasdaq National Market and regularly quoted by market makers. As a result, a Non-U.S. Holder could be subject to FIRPTA tax and withholding on a disposition of our debentures or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Information returns will be filed annually with the Internal Revenue Service and provided to each Non-U.S. Holder with respect to any payments on debentures or our common stock and the proceeds from their sale or other disposition that are subject to withholding tax or that are exempt from United States withholding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pursuant to an income tax treaty or other reason. Copies of these information returns also may be made available under the provisions of a specific treaty or agreement to the tax authorities of the country in which the Non-U.S. Holder resides. Under certain circumstances, the Code imposes a backup withholding obligation. Interest, dividends, or constructive dividends paid to a Non-U.S. Holder of debentures or common stock generally will be exempt from backup withholding if the Non-U.S. Holder provides a properly executed Internal Revenue Service Form W-8BEN or otherwise establishes an exemption.</w:t>
      </w:r>
    </w:p>
    <w:p>
      <w:pPr>
        <w:spacing w:after="0" w:line="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payment of the proceeds from the disposition of debentures or our common stock to or through the United States office of any broker, United States or foreign, will be subject to information reporting and possible backup withholding unless the owner certifies as to its non-United States status under penalties of perjury or otherwise establishes an exemption, provided that the broker does not have actual knowledge or reason to know that the holder is a United States person or that the conditions of any other exemption are not, in fact, satisfied. The payment of the proceeds from the disposition of debentures or our common stock to or through a non-United States office of a non-United States broker will not be subject to information reporting or backup withholding unless the non-United States broker has certain types of relationships with the United States (a “United States related person”). In the case of the payment of the proceeds from the disposition of debentures or common stock to or through a non-United States office of a broker that is either a United States person or a United States related person, the Treasury regulations require information reporting (but not backup withholding) on the payment unless the broker has documentary evidence in its files that the owner is a Non-U.S. Holder and the broker has no knowledge or reason to know otherwise.</w:t>
      </w:r>
    </w:p>
    <w:p>
      <w:pPr>
        <w:spacing w:after="0" w:line="10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United States federal income tax liability, if any, if the Non-U.S. Holder provides, on a timely basis, the required information to the Internal Revenue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debentures were originally issued by us and sold by Deutsche Bank Securities and SG Cowen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debentures listed below and the shares of common stock issued upon conversion of such debentures.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sets forth the name of each selling securityholder, the principal amount at maturity of debentures that each selling securityholder may offer pursuant to this prospectus and the number of shares of common stock into which such debentures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principal amounts of the debentures provided in the table below is based on information provided to us by each of the selling securityholders on or before May 19, 2004, and the percentages are based on $250,000,000 principal amount at maturity of debentures outstanding. The number of shares of common stock that may be sold is calculated based on the current conversion price of $23.00 per share.</w:t>
      </w:r>
    </w:p>
    <w:p>
      <w:pPr>
        <w:spacing w:after="0" w:line="9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Since the date on which each selling securityholder provided this information, each selling securityholder identified below may have sold, transferred or otherwise disposed of all or a portion of its debentures in a transaction exempt from the registration requirements of the Securities Act. Information concerning the selling securityholders may change from time to time and any changed information will be set forth in amendments to the registration statement or supplements to this prospectus to the extent required. In addition, the conversion ratio, and therefore the number of shares of our common stock issuable upon conversion of the debentures, is subject to adjustment. Accordingly, the number of shares of common stock issuable upon conversion of the debentures may increase or decrease.</w:t>
      </w:r>
    </w:p>
    <w:p>
      <w:pPr>
        <w:spacing w:after="0" w:line="13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securityholders may from time to time offer and sell any or all of the securities under this prospectus. Because the selling securityholders are not obligated to sell the debentures or the shares of common stock issuable upon conversion of the debentures, we cannot estimate the amount of the debentures or how many shares of common stock that the selling securityholders will hold upon consummation of any such sales.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Principal</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Amount at</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5"/>
              </w:rPr>
              <w:t>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Offered</w:t>
            </w: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May Be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8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 of Selling Security Holder</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Owned(1)</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Hereby(1)</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Owned(2)</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Sold(2)</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Akela Capital Master Fund,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8,500,000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369,564</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369,564</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Arbitex Master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130,434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26,086</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LLCx</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BAMCO, Inc., on behalf of its investment advisory clients</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32,000,000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9,555,087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1,391,302</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3"/>
          </w:tcPr>
          <w:p>
            <w:pPr>
              <w:spacing w:after="0" w:line="138" w:lineRule="exact"/>
              <w:rPr>
                <w:sz w:val="20"/>
                <w:szCs w:val="20"/>
                <w:color w:val="auto"/>
              </w:rPr>
            </w:pPr>
            <w:r>
              <w:rPr>
                <w:rFonts w:ascii="Arial" w:cs="Arial" w:eastAsia="Arial" w:hAnsi="Arial"/>
                <w:sz w:val="14"/>
                <w:szCs w:val="14"/>
                <w:color w:val="auto"/>
              </w:rPr>
              <w:t>Barclays Global Investors Diversified Alpha Plus Funds</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c/o Forest Investment Management, LLC</w:t>
            </w:r>
          </w:p>
        </w:tc>
        <w:tc>
          <w:tcPr>
            <w:tcW w:w="10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150,000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6,521</w:t>
            </w:r>
          </w:p>
        </w:tc>
        <w:tc>
          <w:tcPr>
            <w:tcW w:w="3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6,521</w:t>
            </w:r>
          </w:p>
        </w:tc>
        <w:tc>
          <w:tcPr>
            <w:tcW w:w="36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BNP Paribas Equity Strategies, SNC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431,000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BP Amoco PLC Master Trust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848,000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848,000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36,869</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36,869</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Canyon Capital Arbitrage Master Fund,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Canyon Value Realization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130,434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130,434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Fund (Cayman),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356,521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Canyon Value Realization Mac 18, Ltd. (RMF)</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43,478</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43,478</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CooperNeff Convertible Strategies (Cayman) Master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426,000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426,000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18,521</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18,521</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DBAG—LONDON</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13,000,000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10,790,000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10,790,000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469,129</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469,129</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Durango Investments,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Equitec Group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43,478</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43,478</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937,000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2,475,000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107,608</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Forest Multi-Strategy Master Fund SPC, on behalf of its Multi-Strategy Segregated</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Portfolio</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750,000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w:t>
            </w:r>
          </w:p>
        </w:tc>
        <w:tc>
          <w:tcPr>
            <w:tcW w:w="1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3,250,000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141,304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141,304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10,000,000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434,782</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Grace Convertible Arbitrage Fund,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173,912</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173,912</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Highbridge International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15,000,000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652,173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652,173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Hotel Union &amp; Hotel Industry of Hawaii Pension Plan</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331,000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14,391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13,043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 c/o Forest Investment Management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2,025,000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88,043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88,043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Marsico Capital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20,000,000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5,534,215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869,564</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Morgan Stanley &amp; Co., Incorporated . . . . . .. . . . . . . .</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10,000,000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6,538,670</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Morgan Stanley Convertible Securities Trust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National Bank of Canada c/o Putnam Lovell NBF Securities Inc.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4,675,000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4,675,000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203,260</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203,260</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Newport Alternative Income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Nisswa Master Fund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86,956</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86,956</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OIP Limited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78,260</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78,260</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14,000,000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608,694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608,694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RBC Alternative Assets LP c/o Forest Investment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97,000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4,217</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4,217</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 c/o Forest Investment Management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9,782</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9,782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Silvercreek II Limited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1,930,000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83,912</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83,912</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Silvercreek Limited Partnership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4,110,000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4,110,000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178,695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178,695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Singlehedge U.S. Convertible Arbitrage Fund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 Fund SPC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304,000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304,000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13,217</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13,217</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 c/o Forest Investment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113,000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SSI Blended Market Neutral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23,043</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23,043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SSI Hedged Convertible Market Neutral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878,000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38,173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38,173</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Sturgeon Limited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2,652</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2,652</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Tempo Master Fund,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347,825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347,825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Company—General Account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7,950,000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345,651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345,651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w w:val="96"/>
              </w:rPr>
              <w:t>The Northwestern Mutual Life Insurance Company—Group Annuity Separate Account</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25,000,000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1,086,955</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c/o Forest Investment Management LLC</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2,304</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2,304</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Viacom Inc. Pension Plan Master Trust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Whitebox Convertible Arbitrage Partners LP</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27,000,000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27,000,000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1,173,911</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1,173,911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Whitebox Diversified Convertible Arbitrage Partners LP</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8,695</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4 Fund c/o Forest Investment Management L.L.C.</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rPr>
              <w:t>Zurich Institutional Benchmark Master Fund LTD</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4,347</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6"/>
              </w:rPr>
              <w:t>Zurich Institutional Benchmarks Master Fund Ltd. c/o Forest Investment Management</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10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225,000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w:t>
            </w:r>
          </w:p>
        </w:tc>
        <w:tc>
          <w:tcPr>
            <w:tcW w:w="1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2,080,000</w:t>
            </w:r>
          </w:p>
        </w:tc>
        <w:tc>
          <w:tcPr>
            <w:tcW w:w="680" w:type="dxa"/>
            <w:vAlign w:val="bottom"/>
          </w:tcPr>
          <w:p>
            <w:pPr>
              <w:jc w:val="right"/>
              <w:spacing w:after="0"/>
              <w:rPr>
                <w:sz w:val="20"/>
                <w:szCs w:val="20"/>
                <w:color w:val="auto"/>
              </w:rPr>
            </w:pPr>
            <w:r>
              <w:rPr>
                <w:rFonts w:ascii="Arial" w:cs="Arial" w:eastAsia="Arial" w:hAnsi="Arial"/>
                <w:sz w:val="14"/>
                <w:szCs w:val="14"/>
                <w:color w:val="auto"/>
              </w:rPr>
              <w:t>2,080,000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90,434</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90,434</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0" w:right="7940" w:firstLine="2"/>
        <w:spacing w:after="0" w:line="230" w:lineRule="auto"/>
        <w:tabs>
          <w:tab w:leader="none" w:pos="344"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less than 0.1% of the Debentures outstanding. ** Represents less than 0.01%.</w:t>
      </w:r>
    </w:p>
    <w:p>
      <w:pPr>
        <w:spacing w:after="0" w:line="1" w:lineRule="exact"/>
        <w:rPr>
          <w:sz w:val="20"/>
          <w:szCs w:val="20"/>
          <w:color w:val="auto"/>
        </w:rPr>
      </w:pPr>
    </w:p>
    <w:p>
      <w:pPr>
        <w:ind w:left="340" w:right="26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may include debentures purchased in one or more transactions pursuant to Rule 144 of the Securities Act from a group of unidentifiable sellers, which may include one or more of the selling security holders previously, or currently, listed in this table.</w:t>
      </w: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As a result, the number of shares of common stock issuable upon conversion of the debentures may increase or decrease in the future.</w:t>
      </w:r>
    </w:p>
    <w:p>
      <w:pPr>
        <w:ind w:left="340" w:right="380" w:hanging="332"/>
        <w:spacing w:after="0" w:line="297"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Calculated based on Rule 13d-3(d)(i) of the Exchange Act, using 82,168,484 common shares outstanding as of May 3, 2004. In calculating this amount for each holder, we treated as outstanding the number of shares of common stock issuable upon conversion of all that holder’s debentures, but we did not assume conversion of any other holder’s debentures.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debentures and the underlying common stock are being registered to permit the resale of such securities by the holders of such securities from time to time after the date of this prospectus. We will not receive any of the proceeds from the sale by the selling securityholders of the debentures or the common stock. We will bear the fees and expenses incurred in connection with our obligation to register the debentures and the underlying common stock. However, the selling securityholders will pay all underwriting discounts, commissions and agent’s commissions, if any.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selling securityholders may offer and sell the debentures and the common stock into which the debentures are convertible from time to time in one or more transactions at fixed prices, at prevailing market prices at the time of sale, at varying prices determined at the time of sale or at negotiated prices. These prices will be determined by the selling securityholder or by agreement between such holder and underwriters or dealers who may receive fees or commissions in connection with such sale. Such sales may be effected by a variety of methods, including the following:</w:t>
      </w:r>
    </w:p>
    <w:p>
      <w:pPr>
        <w:spacing w:after="0" w:line="18"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agree to it prior to the distribution, through one or more underwriters on a firm commitment or best-efforts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sales of the debentures and the common stock into which the debentures are convertible or otherwise, the selling securityholders may enter into hedging transactions with broker-dealers, which may in turn engage in short sales of the offered securities, short and deliver the debentures and the common stock into which the debentures are convertible to close out such short positions, or loan or pledge the debentures and the common stock into which the debentures are convertible to broker-dealers that in turn may sell such securities.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material arrangement with any underwriter, broker, dealer or other agent is entered into for the sale of any debentures and the common stock into which the debentures are convertible through a secondary distribution or a purchase by a broker or dealer, or if other material changes are made in the plan of distribution of the debentures and the common stock into which the debentures are convertible, a prospectus supplement will be filed, if necessary, under the Securities Act disclosing the material terms and conditions of such arrangement. The underwriter or underwriters with respect to an underwritten offering of debentures and the common stock into which the debentures are convertible and the other material terms and conditions of the underwriting will be set forth in a prospectus supplement relating to such offering and, if an underwriting syndicate is used, the managing underwriter or underwriters will be set forth on the cover of the prospectus supplement. In connection with the sale of the debentures and the common stock into which the debentures are convertible, underwriters will receive compensation in the form of underwriting discounts or commissions and may also receive commissions from purchasers of debentures and underlying common stock for whom they may act as agent. Underwriters may sell to or through dealers, and such dealers may receive compensation in the form of discounts, concessions or commissions from the underwriters or commissions from the purchasers for whom they may act as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or the underlying common stock by the selling securityholders. Selling securityholders may decide not to sell all or a portion of the debentures or the underlying common stock offered by them pursuant to this prospectus or may decide not to sell debentures or the underlying common stock under this prospectus. In addition, any selling securityholder may transfer, devise or give the debentures or the underlying common stock by other means not described in this prospectus. Any debentures or underlying common stock covered by this prospectus that qualify for sale pursuant to Rule 144 or Rule 144A of the Securities Act may be sold under Rule 144 or Rule 144A rather than pursuant to this prospectus.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selling securityholders and any underwriters, broker-dealers or agents participating in the distribution of the debentures and the common stock into which the debentures are convertible may be deemed to be “underwriters” within the meaning of the Securities Act, and any profit on the sale of the debentures or common stock by the selling securityholders and any commissions received by any such underwriters, broker-dealers or agents may be deemed to be underwriting commissions under the Securities Act. If the selling securityholders were deemed to be underwriters, the selling securityholders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debentures and the common stock into which the debentures are convertible by the selling securityholders and any other relevant person. Furthermore, Regulation M may restrict the ability of any person engaged in the distribution of the debentures and the common stock into which the debentures are convertible to engage in market-making activities with respect to the particular debentures and the common stock into which the debentures are convertible being distributed. All of the above may affect the marketability of the debentures and the common stock into which the debentures are convertible and the ability of any person or entity to engage in market-making activities with respect to the debentures and the common stock into which the debentures are convertible.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securities laws of certain states, the debentures and the common stock into which the debentures are convertible may be sold in those states only through registered or licensed brokers or dealers. In addition, in certain states the debentures and the common stock into which the debentures are convertible may not be sold unless the debentures and the common stock into which the debentures are convertible have been registered or qualified for sale in the state or an exemption from registration or qualification is available and complied with.</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agreed to indemnify the selling securityholders against certain civil liabilities, including certain liabilities arising under the Securities Act, and the selling securityholders will be entitled to contribution from us in connection with those liabilities. The selling securityholders will indemnify us against certain civil liabilities, including liabilities arising under the Securities Act, and will be entitled to contribution from the selling securityholders in connection with those liabilities.</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permitted to suspend the use of this prospectus under certain circumstances relating to corporate developments, public filings with the SEC and similar events for a period not to exceed 45 days in any three-month period and not to exceed an aggregate of 90 days in any 12-month period. If the duration of such suspension exceeds any of the periods above-mentioned, we have agreed to pay liquidated damages. See “Description of Debentures—Registration Rights.”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Certain legal matters regarding the debentures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from Wynn Resorts’ Annual Report on Form 10-K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Printing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w:t>
            </w:r>
          </w:p>
        </w:tc>
      </w:tr>
      <w:tr>
        <w:trPr>
          <w:trHeight w:val="222"/>
        </w:trPr>
        <w:tc>
          <w:tcPr>
            <w:tcW w:w="4180" w:type="dxa"/>
            <w:vAlign w:val="bottom"/>
          </w:tcPr>
          <w:p>
            <w:pPr>
              <w:ind w:left="420"/>
              <w:spacing w:after="0"/>
              <w:rPr>
                <w:sz w:val="20"/>
                <w:szCs w:val="20"/>
                <w:color w:val="auto"/>
              </w:rPr>
            </w:pPr>
            <w:r>
              <w:rPr>
                <w:rFonts w:ascii="Arial" w:cs="Arial" w:eastAsia="Arial" w:hAnsi="Arial"/>
                <w:sz w:val="18"/>
                <w:szCs w:val="18"/>
                <w:color w:val="auto"/>
              </w:rPr>
              <w:t>Total</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205,000</w:t>
            </w:r>
          </w:p>
        </w:tc>
      </w:tr>
    </w:tbl>
    <w:p>
      <w:pPr>
        <w:spacing w:after="0" w:line="1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11150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96"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Second Amended and Restated Articles of Incorporation of Wynn Resorts, Limited. (1)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Third Amended and Restated Bylaws of Wynn Resorts, Limited, as amended. (2)</w:t>
      </w:r>
    </w:p>
    <w:p>
      <w:pPr>
        <w:spacing w:after="0" w:line="117" w:lineRule="exact"/>
        <w:rPr>
          <w:sz w:val="20"/>
          <w:szCs w:val="20"/>
          <w:color w:val="auto"/>
        </w:rPr>
      </w:pPr>
    </w:p>
    <w:p>
      <w:pPr>
        <w:ind w:left="920" w:right="240" w:hanging="786"/>
        <w:spacing w:after="0" w:line="259"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as of July 7, 2003, governing the 6% Convertible Subordinated Debentures due 2015 by and among Wynn Resorts, Limited, as obligor, Wynn Resorts Funding, LLC, as guarantor and U.S. National Bank Association, as Trustee (including the Form of 6% Convertible Subordinated Debenture due 2015 and Form of Notation of Guarantee). (3)</w:t>
      </w:r>
    </w:p>
    <w:p>
      <w:pPr>
        <w:spacing w:after="0" w:line="86" w:lineRule="exact"/>
        <w:rPr>
          <w:sz w:val="20"/>
          <w:szCs w:val="20"/>
          <w:color w:val="auto"/>
        </w:rPr>
      </w:pPr>
    </w:p>
    <w:p>
      <w:pPr>
        <w:ind w:left="920" w:right="360" w:hanging="786"/>
        <w:spacing w:after="0" w:line="268"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as of July 7, 2003, by and among Wynn Resorts, Limited, Wynn Resorts Funding, LLC, Deutsche Bank Securities Inc. and SG Cowen Securities Corporation. (3)</w:t>
      </w:r>
    </w:p>
    <w:p>
      <w:pPr>
        <w:spacing w:after="0" w:line="78" w:lineRule="exact"/>
        <w:rPr>
          <w:sz w:val="20"/>
          <w:szCs w:val="20"/>
          <w:color w:val="auto"/>
        </w:rPr>
      </w:pPr>
    </w:p>
    <w:p>
      <w:pPr>
        <w:ind w:left="920" w:right="160" w:hanging="786"/>
        <w:spacing w:after="0" w:line="268"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Collateral Pledge and Security Agreement, dated as of July 7, 2003, by and between Wynn Resorts Funding, LLC, as the pledgor, and U.S. Bank National Association, as collateral agent and trustee. (3)</w:t>
      </w:r>
    </w:p>
    <w:p>
      <w:pPr>
        <w:spacing w:after="0" w:line="78" w:lineRule="exact"/>
        <w:rPr>
          <w:sz w:val="20"/>
          <w:szCs w:val="20"/>
          <w:color w:val="auto"/>
        </w:rPr>
      </w:pPr>
    </w:p>
    <w:p>
      <w:pPr>
        <w:ind w:left="920" w:right="360" w:hanging="786"/>
        <w:spacing w:after="0" w:line="332"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Supplement No. 1, dated as of July 30, 2003, to the Collateral Pledge and Security Agreement dated as of July 7, 2003, by and between Wynn Resorts Funding, LLC, as pledgor and U.S. Bank National Association, as collateral agent and trustee. (3)</w:t>
      </w:r>
    </w:p>
    <w:p>
      <w:pPr>
        <w:spacing w:after="0" w:line="31" w:lineRule="exact"/>
        <w:rPr>
          <w:sz w:val="20"/>
          <w:szCs w:val="20"/>
          <w:color w:val="auto"/>
        </w:rPr>
      </w:pPr>
    </w:p>
    <w:p>
      <w:pPr>
        <w:ind w:left="920" w:hanging="786"/>
        <w:spacing w:after="0" w:line="268"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Pledge and Security Agreement, dated as of July 7, 2003, by and between Wynn Resorts, Limited, as pledgor, and U.S. Bank National Association, as trustee and collateral agent. (3)</w:t>
      </w:r>
    </w:p>
    <w:p>
      <w:pPr>
        <w:spacing w:after="0" w:line="78"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(4)</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Schreck Brignone (4)</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 12</w:t>
      </w:r>
      <w:r>
        <w:rPr>
          <w:sz w:val="20"/>
          <w:szCs w:val="20"/>
          <w:color w:val="auto"/>
        </w:rPr>
        <w:tab/>
      </w:r>
      <w:r>
        <w:rPr>
          <w:rFonts w:ascii="Arial" w:cs="Arial" w:eastAsia="Arial" w:hAnsi="Arial"/>
          <w:sz w:val="15"/>
          <w:szCs w:val="15"/>
          <w:color w:val="auto"/>
        </w:rPr>
        <w:t>Statement re: Computation of Ratio of Earnings to Fixed Charges</w:t>
      </w:r>
    </w:p>
    <w:p>
      <w:pPr>
        <w:spacing w:after="0" w:line="117"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5"/>
          <w:szCs w:val="15"/>
          <w:color w:val="auto"/>
        </w:rPr>
        <w:t>Consent of Independent Accountant</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6"/>
          <w:szCs w:val="16"/>
          <w:color w:val="auto"/>
        </w:rPr>
        <w:t>Consent of Skadden, Arps, Slate, Meagher &amp; Flom LLP (included in Exhibit 5.1)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6"/>
          <w:szCs w:val="16"/>
          <w:color w:val="auto"/>
        </w:rPr>
        <w:t>Consent of Schreck Brignone (included in Exhibit 5.2)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24.1</w:t>
      </w:r>
      <w:r>
        <w:rPr>
          <w:rFonts w:ascii="Arial" w:cs="Arial" w:eastAsia="Arial" w:hAnsi="Arial"/>
          <w:sz w:val="16"/>
          <w:szCs w:val="16"/>
          <w:color w:val="auto"/>
        </w:rPr>
        <w:t>Powers of Attorney of officers and directors of Wynn Resorts, Limited (included on signature page of this Registration Statement)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24.2</w:t>
      </w:r>
      <w:r>
        <w:rPr>
          <w:rFonts w:ascii="Arial" w:cs="Arial" w:eastAsia="Arial" w:hAnsi="Arial"/>
          <w:sz w:val="16"/>
          <w:szCs w:val="16"/>
          <w:color w:val="auto"/>
        </w:rPr>
        <w:t>Powers of Attorney of officers of manager of Wynn Resorts Funding, LLC (included on the signature page of this Registration Statement) (4)</w:t>
      </w:r>
    </w:p>
    <w:p>
      <w:pPr>
        <w:spacing w:after="0" w:line="117" w:lineRule="exact"/>
        <w:rPr>
          <w:sz w:val="20"/>
          <w:szCs w:val="20"/>
          <w:color w:val="auto"/>
        </w:rPr>
      </w:pPr>
    </w:p>
    <w:p>
      <w:pPr>
        <w:ind w:left="920" w:right="360" w:hanging="780"/>
        <w:spacing w:after="0" w:line="268" w:lineRule="auto"/>
        <w:tabs>
          <w:tab w:leader="none" w:pos="9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Statement of Eligibility on Form T-1 under the Trust Indenture Act of 1939, as amended, of U.S. Bank National Association, trustee under the Indenture. (5)</w:t>
      </w:r>
    </w:p>
    <w:p>
      <w:pPr>
        <w:spacing w:after="0" w:line="19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Wynn Resorts, Limited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Form S-3 filed by the Registrants on December 10, 2003 (File Nos. 333-111064 and 333-111064-01).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Previously filed with the Amendment No. 1 to Form S-3 filed by the Registrants on February 2, 2004 (File Nos. 333-111064 and 333-111064-01).</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60"/>
          </w:cols>
          <w:pgMar w:left="240" w:top="459"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ind w:left="760" w:hanging="296"/>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48"/>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right="60" w:firstLine="464"/>
        <w:spacing w:after="0" w:line="255" w:lineRule="auto"/>
        <w:tabs>
          <w:tab w:leader="none" w:pos="7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73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Post-Effective Amendment No. 2 to the Registration Statement to be signed on its behalf by the undersigned, thereunto duly authorized, in the city of Las Vegas, State of Nevada, on this 20th day of May,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by the following persons in the capacities indicated, on May 20, 2004.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860" w:type="dxa"/>
            <w:vAlign w:val="bottom"/>
          </w:tcPr>
          <w:p>
            <w:pPr>
              <w:ind w:left="9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180" w:type="dxa"/>
            <w:vAlign w:val="bottom"/>
          </w:tcPr>
          <w:p>
            <w:pPr>
              <w:ind w:left="680"/>
              <w:spacing w:after="0"/>
              <w:rPr>
                <w:sz w:val="20"/>
                <w:szCs w:val="20"/>
                <w:color w:val="auto"/>
              </w:rPr>
            </w:pPr>
            <w:r>
              <w:rPr>
                <w:rFonts w:ascii="Arial" w:cs="Arial" w:eastAsia="Arial" w:hAnsi="Arial"/>
                <w:sz w:val="18"/>
                <w:szCs w:val="18"/>
                <w:color w:val="auto"/>
                <w:w w:val="93"/>
              </w:rPr>
              <w:t>Chairman of the Board, Chief Executive Officer and Director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860" w:type="dxa"/>
            <w:vAlign w:val="bottom"/>
          </w:tcPr>
          <w:p>
            <w:pPr>
              <w:spacing w:after="0"/>
              <w:rPr>
                <w:sz w:val="7"/>
                <w:szCs w:val="7"/>
                <w:color w:val="auto"/>
              </w:rPr>
            </w:pPr>
          </w:p>
        </w:tc>
        <w:tc>
          <w:tcPr>
            <w:tcW w:w="4860" w:type="dxa"/>
            <w:vAlign w:val="bottom"/>
            <w:vMerge w:val="restart"/>
          </w:tcPr>
          <w:p>
            <w:pPr>
              <w:jc w:val="center"/>
              <w:ind w:right="782"/>
              <w:spacing w:after="0"/>
              <w:rPr>
                <w:sz w:val="20"/>
                <w:szCs w:val="20"/>
                <w:color w:val="auto"/>
              </w:rPr>
            </w:pPr>
            <w:r>
              <w:rPr>
                <w:rFonts w:ascii="Arial" w:cs="Arial" w:eastAsia="Arial" w:hAnsi="Arial"/>
                <w:sz w:val="14"/>
                <w:szCs w:val="14"/>
                <w:b w:val="1"/>
                <w:bCs w:val="1"/>
                <w:color w:val="auto"/>
                <w:w w:val="86"/>
              </w:rPr>
              <w:t>Stephen A. Wynn</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w w:val="88"/>
              </w:rPr>
              <w:t>Executive Vice President, Chief Financial Officer and Treasurer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860" w:type="dxa"/>
            <w:vAlign w:val="bottom"/>
          </w:tcPr>
          <w:p>
            <w:pPr>
              <w:spacing w:after="0"/>
              <w:rPr>
                <w:sz w:val="7"/>
                <w:szCs w:val="7"/>
                <w:color w:val="auto"/>
              </w:rPr>
            </w:pPr>
          </w:p>
        </w:tc>
        <w:tc>
          <w:tcPr>
            <w:tcW w:w="4860" w:type="dxa"/>
            <w:vAlign w:val="bottom"/>
            <w:vMerge w:val="restart"/>
          </w:tcPr>
          <w:p>
            <w:pPr>
              <w:jc w:val="center"/>
              <w:ind w:right="782"/>
              <w:spacing w:after="0"/>
              <w:rPr>
                <w:sz w:val="20"/>
                <w:szCs w:val="20"/>
                <w:color w:val="auto"/>
              </w:rPr>
            </w:pPr>
            <w:r>
              <w:rPr>
                <w:rFonts w:ascii="Arial" w:cs="Arial" w:eastAsia="Arial" w:hAnsi="Arial"/>
                <w:sz w:val="14"/>
                <w:szCs w:val="14"/>
                <w:b w:val="1"/>
                <w:bCs w:val="1"/>
                <w:color w:val="auto"/>
                <w:w w:val="86"/>
              </w:rPr>
              <w:t>John Strzemp</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0"/>
              </w:rPr>
              <w:t>Kazuo Okada</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91"/>
              </w:rPr>
              <w:t>Ronald J. Kramer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92"/>
              </w:rPr>
              <w:t>Robert J. Miller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0"/>
              </w:rPr>
              <w:t>John A. Moran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88"/>
              </w:rPr>
              <w:t>Alvin V. Shoemaker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85"/>
              </w:rPr>
              <w:t>D. Boone Wayson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87"/>
              </w:rPr>
              <w:t>Elaine P. Wynn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89"/>
              </w:rPr>
              <w:t>Stanley R. Zax</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1"/>
              </w:rPr>
              <w:t>Allan Zeman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ind w:left="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H. R</w:t>
            </w:r>
            <w:r>
              <w:rPr>
                <w:rFonts w:ascii="Arial" w:cs="Arial" w:eastAsia="Arial" w:hAnsi="Arial"/>
                <w:sz w:val="14"/>
                <w:szCs w:val="14"/>
                <w:color w:val="auto"/>
              </w:rPr>
              <w:t>UBINSTEIN</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69850</wp:posOffset>
            </wp:positionV>
            <wp:extent cx="26327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ectPr>
          <w:pgSz w:w="11900" w:h="16838" w:orient="portrait"/>
          <w:cols w:equalWidth="0" w:num="1">
            <w:col w:w="11040"/>
          </w:cols>
          <w:pgMar w:left="240" w:top="459" w:right="619" w:bottom="1440" w:gutter="0" w:footer="0" w:header="0"/>
        </w:sectPr>
      </w:pPr>
    </w:p>
    <w:p>
      <w:pPr>
        <w:spacing w:after="0" w:line="219" w:lineRule="exact"/>
        <w:rPr>
          <w:sz w:val="20"/>
          <w:szCs w:val="20"/>
          <w:color w:val="auto"/>
        </w:rPr>
      </w:pPr>
    </w:p>
    <w:p>
      <w:pPr>
        <w:jc w:val="center"/>
        <w:ind w:right="6040"/>
        <w:spacing w:after="0"/>
        <w:rPr>
          <w:sz w:val="20"/>
          <w:szCs w:val="20"/>
          <w:color w:val="auto"/>
        </w:rPr>
      </w:pPr>
      <w:r>
        <w:rPr>
          <w:rFonts w:ascii="Arial" w:cs="Arial" w:eastAsia="Arial" w:hAnsi="Arial"/>
          <w:sz w:val="12"/>
          <w:szCs w:val="12"/>
          <w:b w:val="1"/>
          <w:bCs w:val="1"/>
          <w:color w:val="auto"/>
        </w:rPr>
        <w:t>Marc H. Rubinstein</w:t>
      </w:r>
    </w:p>
    <w:p>
      <w:pPr>
        <w:spacing w:after="0" w:line="24" w:lineRule="exact"/>
        <w:rPr>
          <w:sz w:val="20"/>
          <w:szCs w:val="20"/>
          <w:color w:val="auto"/>
        </w:rPr>
      </w:pPr>
    </w:p>
    <w:p>
      <w:pPr>
        <w:jc w:val="center"/>
        <w:ind w:right="6040"/>
        <w:spacing w:after="0"/>
        <w:rPr>
          <w:sz w:val="20"/>
          <w:szCs w:val="20"/>
          <w:color w:val="auto"/>
        </w:rPr>
      </w:pPr>
      <w:r>
        <w:rPr>
          <w:rFonts w:ascii="Arial" w:cs="Arial" w:eastAsia="Arial" w:hAnsi="Arial"/>
          <w:sz w:val="14"/>
          <w:szCs w:val="14"/>
          <w:b w:val="1"/>
          <w:bCs w:val="1"/>
          <w:color w:val="auto"/>
        </w:rPr>
        <w:t>Attorney-in-fact</w:t>
      </w:r>
    </w:p>
    <w:p>
      <w:pPr>
        <w:sectPr>
          <w:pgSz w:w="11900" w:h="16838" w:orient="portrait"/>
          <w:cols w:equalWidth="0" w:num="1">
            <w:col w:w="11040"/>
          </w:cols>
          <w:pgMar w:left="240" w:top="459" w:right="61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Post-Effective Amendment No. 2 to the Registration Statement to be signed on its behalf by the undersigned, thereunto duly authorized, in the city of Las Vegas, State of Nevada, on this 20th day of May,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 its member</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by the following persons in the capacities indicated, on May 20, 2004.</w:t>
      </w:r>
    </w:p>
    <w:p>
      <w:pPr>
        <w:sectPr>
          <w:pgSz w:w="11900" w:h="16838" w:orient="portrait"/>
          <w:cols w:equalWidth="0" w:num="1">
            <w:col w:w="11100"/>
          </w:cols>
          <w:pgMar w:left="240" w:top="459" w:right="559" w:bottom="1440" w:gutter="0" w:footer="0" w:header="0"/>
        </w:sectPr>
      </w:pPr>
    </w:p>
    <w:p>
      <w:pPr>
        <w:spacing w:after="0" w:line="118" w:lineRule="exact"/>
        <w:rPr>
          <w:sz w:val="20"/>
          <w:szCs w:val="20"/>
          <w:color w:val="auto"/>
        </w:rPr>
      </w:pPr>
    </w:p>
    <w:p>
      <w:pPr>
        <w:jc w:val="both"/>
        <w:ind w:left="1840"/>
        <w:spacing w:after="0"/>
        <w:tabs>
          <w:tab w:leader="none" w:pos="218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Stephen A. Wynn</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John Strzemp</w:t>
      </w:r>
    </w:p>
    <w:p>
      <w:pPr>
        <w:spacing w:after="0" w:line="200" w:lineRule="exact"/>
        <w:rPr>
          <w:sz w:val="20"/>
          <w:szCs w:val="20"/>
          <w:color w:val="auto"/>
        </w:rPr>
      </w:pPr>
    </w:p>
    <w:p>
      <w:pPr>
        <w:spacing w:after="0" w:line="211" w:lineRule="exact"/>
        <w:rPr>
          <w:sz w:val="20"/>
          <w:szCs w:val="20"/>
          <w:color w:val="auto"/>
        </w:rPr>
      </w:pPr>
    </w:p>
    <w:p>
      <w:pPr>
        <w:spacing w:after="0"/>
        <w:tabs>
          <w:tab w:leader="none" w:pos="1460" w:val="left"/>
          <w:tab w:leader="none" w:pos="1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80" w:hanging="215"/>
        <w:spacing w:after="0" w:line="286" w:lineRule="auto"/>
        <w:rPr>
          <w:sz w:val="20"/>
          <w:szCs w:val="20"/>
          <w:color w:val="auto"/>
        </w:rPr>
      </w:pPr>
      <w:r>
        <w:rPr>
          <w:rFonts w:ascii="Arial" w:cs="Arial" w:eastAsia="Arial" w:hAnsi="Arial"/>
          <w:sz w:val="16"/>
          <w:szCs w:val="16"/>
          <w:color w:val="auto"/>
        </w:rPr>
        <w:t>Chairman of the Board, Chief Executive Officer and Director of Registrant’s member Wynn Resorts, Limited</w:t>
      </w: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hanging="215"/>
        <w:spacing w:after="0" w:line="286" w:lineRule="auto"/>
        <w:rPr>
          <w:sz w:val="20"/>
          <w:szCs w:val="20"/>
          <w:color w:val="auto"/>
        </w:rPr>
      </w:pPr>
      <w:r>
        <w:rPr>
          <w:rFonts w:ascii="Arial" w:cs="Arial" w:eastAsia="Arial" w:hAnsi="Arial"/>
          <w:sz w:val="16"/>
          <w:szCs w:val="16"/>
          <w:color w:val="auto"/>
        </w:rPr>
        <w:t>Executive Vice President, Chief Financial Officer and Treasurer of Registrant’s member Wynn Resorts, Limited</w:t>
      </w: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2">
            <w:col w:w="5900" w:space="720"/>
            <w:col w:w="4480"/>
          </w:cols>
          <w:pgMar w:left="240" w:top="459" w:right="5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11150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96"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Second Amended and Restated Articles of Incorporation of Wynn Resorts, Limited. (1)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Third Amended and Restated Bylaws of Wynn Resorts, Limited, as amended. (2)</w:t>
      </w:r>
    </w:p>
    <w:p>
      <w:pPr>
        <w:spacing w:after="0" w:line="117" w:lineRule="exact"/>
        <w:rPr>
          <w:sz w:val="20"/>
          <w:szCs w:val="20"/>
          <w:color w:val="auto"/>
        </w:rPr>
      </w:pPr>
    </w:p>
    <w:p>
      <w:pPr>
        <w:ind w:left="920" w:right="240" w:hanging="786"/>
        <w:spacing w:after="0" w:line="259"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as of July 7, 2003, governing the 6% Convertible Subordinated Debentures due 2015 by and among Wynn Resorts, Limited, as obligor, Wynn Resorts Funding, LLC, as guarantor and U.S. National Bank Association, as Trustee (including the Form of 6% Convertible Subordinated Debenture due 2015 and Form of Notation of Guarantee). (3)</w:t>
      </w:r>
    </w:p>
    <w:p>
      <w:pPr>
        <w:spacing w:after="0" w:line="86" w:lineRule="exact"/>
        <w:rPr>
          <w:sz w:val="20"/>
          <w:szCs w:val="20"/>
          <w:color w:val="auto"/>
        </w:rPr>
      </w:pPr>
    </w:p>
    <w:p>
      <w:pPr>
        <w:ind w:left="920" w:right="360" w:hanging="786"/>
        <w:spacing w:after="0" w:line="268"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as of July 7, 2003, by and among Wynn Resorts, Limited, Wynn Resorts Funding, LLC, Deutsche Bank Securities Inc. and SG Cowen Securities Corporation. (3)</w:t>
      </w:r>
    </w:p>
    <w:p>
      <w:pPr>
        <w:spacing w:after="0" w:line="78" w:lineRule="exact"/>
        <w:rPr>
          <w:sz w:val="20"/>
          <w:szCs w:val="20"/>
          <w:color w:val="auto"/>
        </w:rPr>
      </w:pPr>
    </w:p>
    <w:p>
      <w:pPr>
        <w:ind w:left="920" w:right="160" w:hanging="786"/>
        <w:spacing w:after="0" w:line="268"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Collateral Pledge and Security Agreement, dated as of July 7, 2003, by and between Wynn Resorts Funding, LLC, as the pledgor, and U.S. Bank National Association, as collateral agent and trustee. (3)</w:t>
      </w:r>
    </w:p>
    <w:p>
      <w:pPr>
        <w:spacing w:after="0" w:line="78" w:lineRule="exact"/>
        <w:rPr>
          <w:sz w:val="20"/>
          <w:szCs w:val="20"/>
          <w:color w:val="auto"/>
        </w:rPr>
      </w:pPr>
    </w:p>
    <w:p>
      <w:pPr>
        <w:ind w:left="920" w:right="360" w:hanging="786"/>
        <w:spacing w:after="0" w:line="332"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Supplement No. 1, dated as of July 30, 2003, to the Collateral Pledge and Security Agreement dated as of July 7, 2003, by and between Wynn Resorts Funding, LLC, as pledgor and U.S. Bank National Association, as collateral agent and trustee. (3)</w:t>
      </w:r>
    </w:p>
    <w:p>
      <w:pPr>
        <w:spacing w:after="0" w:line="31" w:lineRule="exact"/>
        <w:rPr>
          <w:sz w:val="20"/>
          <w:szCs w:val="20"/>
          <w:color w:val="auto"/>
        </w:rPr>
      </w:pPr>
    </w:p>
    <w:p>
      <w:pPr>
        <w:ind w:left="920" w:hanging="786"/>
        <w:spacing w:after="0" w:line="268"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Pledge and Security Agreement, dated as of July 7, 2003, by and between Wynn Resorts, Limited, as pledgor, and U.S. Bank National Association, as trustee and collateral agent. (3)</w:t>
      </w:r>
    </w:p>
    <w:p>
      <w:pPr>
        <w:spacing w:after="0" w:line="78"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 (4)</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Schreck Brignone (4)</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 12</w:t>
      </w:r>
      <w:r>
        <w:rPr>
          <w:sz w:val="20"/>
          <w:szCs w:val="20"/>
          <w:color w:val="auto"/>
        </w:rPr>
        <w:tab/>
      </w:r>
      <w:r>
        <w:rPr>
          <w:rFonts w:ascii="Arial" w:cs="Arial" w:eastAsia="Arial" w:hAnsi="Arial"/>
          <w:sz w:val="15"/>
          <w:szCs w:val="15"/>
          <w:color w:val="auto"/>
        </w:rPr>
        <w:t>Statement re: Computation of Ratio of Earnings to Fixed Charges</w:t>
      </w:r>
    </w:p>
    <w:p>
      <w:pPr>
        <w:spacing w:after="0" w:line="117"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5"/>
          <w:szCs w:val="15"/>
          <w:color w:val="auto"/>
        </w:rPr>
        <w:t>Consent of Independent Accountant</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6"/>
          <w:szCs w:val="16"/>
          <w:color w:val="auto"/>
        </w:rPr>
        <w:t>Consent of Skadden, Arps, Slate, Meagher &amp; Flom LLP (included in Exhibit 5.1)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6"/>
          <w:szCs w:val="16"/>
          <w:color w:val="auto"/>
        </w:rPr>
        <w:t>Consent of Schreck Brignone (included in Exhibit 5.2)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24.1</w:t>
      </w:r>
      <w:r>
        <w:rPr>
          <w:rFonts w:ascii="Arial" w:cs="Arial" w:eastAsia="Arial" w:hAnsi="Arial"/>
          <w:sz w:val="16"/>
          <w:szCs w:val="16"/>
          <w:color w:val="auto"/>
        </w:rPr>
        <w:t>Powers of Attorney of officers and directors of Wynn Resorts, Limited (included on signature page of this Registration Statement) (4)</w:t>
      </w:r>
    </w:p>
    <w:p>
      <w:pPr>
        <w:spacing w:after="0" w:line="117"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24.2</w:t>
      </w:r>
      <w:r>
        <w:rPr>
          <w:rFonts w:ascii="Arial" w:cs="Arial" w:eastAsia="Arial" w:hAnsi="Arial"/>
          <w:sz w:val="16"/>
          <w:szCs w:val="16"/>
          <w:color w:val="auto"/>
        </w:rPr>
        <w:t>Powers of Attorney of officers of manager of Wynn Resorts Funding, LLC (included on the signature page of this Registration Statement) (4)</w:t>
      </w:r>
    </w:p>
    <w:p>
      <w:pPr>
        <w:spacing w:after="0" w:line="117" w:lineRule="exact"/>
        <w:rPr>
          <w:sz w:val="20"/>
          <w:szCs w:val="20"/>
          <w:color w:val="auto"/>
        </w:rPr>
      </w:pPr>
    </w:p>
    <w:p>
      <w:pPr>
        <w:ind w:left="920" w:right="360" w:hanging="780"/>
        <w:spacing w:after="0" w:line="268"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Statement of Eligibility on Form T-1 under the Trust Indenture Act of 1939, as amended, of U.S. Bank National Association, trustee under the Indenture. (5)</w:t>
      </w:r>
    </w:p>
    <w:p>
      <w:pPr>
        <w:spacing w:after="0" w:line="19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Wynn Resorts, Limited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Form S-3 filed by the Registrants on December 10, 2003 (File Nos. 333-111064 and 333-111064-01).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Previously filed with the Amendment No. 1 to Form S-3 filed by the Registrants on February 2, 2004 (File Nos. 333-111064 and 333-111064-01).</w:t>
      </w:r>
    </w:p>
    <w:p>
      <w:pPr>
        <w:sectPr>
          <w:pgSz w:w="11900" w:h="16838" w:orient="portrait"/>
          <w:cols w:equalWidth="0" w:num="1">
            <w:col w:w="11260"/>
          </w:cols>
          <w:pgMar w:left="240" w:top="459" w:right="3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80" w:type="dxa"/>
            <w:vAlign w:val="bottom"/>
            <w:gridSpan w:val="4"/>
          </w:tcPr>
          <w:p>
            <w:pPr>
              <w:ind w:left="2100"/>
              <w:spacing w:after="0"/>
              <w:rPr>
                <w:sz w:val="20"/>
                <w:szCs w:val="20"/>
                <w:color w:val="auto"/>
              </w:rPr>
            </w:pPr>
            <w:r>
              <w:rPr>
                <w:rFonts w:ascii="Arial" w:cs="Arial" w:eastAsia="Arial" w:hAnsi="Arial"/>
                <w:sz w:val="18"/>
                <w:szCs w:val="18"/>
                <w:b w:val="1"/>
                <w:bCs w:val="1"/>
                <w:color w:val="auto"/>
                <w:w w:val="98"/>
              </w:rPr>
              <w:t>WYNN RESORTS, LIMITED</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28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Period from</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April 21, 2000</w:t>
            </w:r>
          </w:p>
        </w:tc>
        <w:tc>
          <w:tcPr>
            <w:tcW w:w="2940" w:type="dxa"/>
            <w:vAlign w:val="bottom"/>
            <w:gridSpan w:val="6"/>
          </w:tcPr>
          <w:p>
            <w:pPr>
              <w:jc w:val="right"/>
              <w:ind w:right="9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62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8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87"/>
              </w:rPr>
              <w:t>(date of inception)</w:t>
            </w: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960" w:type="dxa"/>
            <w:vAlign w:val="bottom"/>
            <w:gridSpan w:val="2"/>
          </w:tcPr>
          <w:p>
            <w:pPr>
              <w:jc w:val="center"/>
              <w:ind w:left="2814"/>
              <w:spacing w:after="0"/>
              <w:rPr>
                <w:sz w:val="20"/>
                <w:szCs w:val="20"/>
                <w:color w:val="auto"/>
              </w:rPr>
            </w:pPr>
            <w:r>
              <w:rPr>
                <w:rFonts w:ascii="Arial" w:cs="Arial" w:eastAsia="Arial" w:hAnsi="Arial"/>
                <w:sz w:val="14"/>
                <w:szCs w:val="14"/>
                <w:b w:val="1"/>
                <w:bCs w:val="1"/>
                <w:color w:val="auto"/>
                <w:w w:val="88"/>
              </w:rPr>
              <w:t>2000 (1)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8"/>
              </w:rPr>
              <w:t>2001 (1)</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1"/>
              </w:rPr>
              <w:t>2002 (1)</w:t>
            </w:r>
          </w:p>
        </w:tc>
        <w:tc>
          <w:tcPr>
            <w:tcW w:w="400" w:type="dxa"/>
            <w:vAlign w:val="bottom"/>
          </w:tcPr>
          <w:p>
            <w:pPr>
              <w:spacing w:after="0"/>
              <w:rPr>
                <w:sz w:val="15"/>
                <w:szCs w:val="15"/>
                <w:color w:val="auto"/>
              </w:rPr>
            </w:pPr>
          </w:p>
        </w:tc>
        <w:tc>
          <w:tcPr>
            <w:tcW w:w="640" w:type="dxa"/>
            <w:vAlign w:val="bottom"/>
          </w:tcPr>
          <w:p>
            <w:pPr>
              <w:jc w:val="right"/>
              <w:ind w:right="14"/>
              <w:spacing w:after="0"/>
              <w:rPr>
                <w:sz w:val="20"/>
                <w:szCs w:val="20"/>
                <w:color w:val="auto"/>
              </w:rPr>
            </w:pPr>
            <w:r>
              <w:rPr>
                <w:rFonts w:ascii="Arial" w:cs="Arial" w:eastAsia="Arial" w:hAnsi="Arial"/>
                <w:sz w:val="14"/>
                <w:szCs w:val="14"/>
                <w:b w:val="1"/>
                <w:bCs w:val="1"/>
                <w:color w:val="auto"/>
                <w:w w:val="99"/>
              </w:rPr>
              <w:t>2003 (1)</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1"/>
              </w:rPr>
              <w:t>2003 (1)</w:t>
            </w: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3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(in thousands, except per share amounts)</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Pretax (loss) from continuing operations before adjustment for minority</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interests in consolidated subsidiaries or income or loss from equity</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investees</w:t>
            </w:r>
          </w:p>
        </w:tc>
        <w:tc>
          <w:tcPr>
            <w:tcW w:w="4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(10,616)</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(17,726)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(32,579)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(52,021)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(10,087)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Add: Fixed charges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6,344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15,420</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96,307</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21,573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87,256</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as adjusted</w:t>
            </w:r>
          </w:p>
        </w:tc>
        <w:tc>
          <w:tcPr>
            <w:tcW w:w="4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(10,597)</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(17,691)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(30,666)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(42,970)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Interest capitalized</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6,325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13,507</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87,256</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19,811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15,420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Earnings to Fixed Charges</w:t>
            </w:r>
          </w:p>
        </w:tc>
        <w:tc>
          <w:tcPr>
            <w:tcW w:w="4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(505.46)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Deficiency Amount</w:t>
            </w:r>
          </w:p>
        </w:tc>
        <w:tc>
          <w:tcPr>
            <w:tcW w:w="4360" w:type="dxa"/>
            <w:vAlign w:val="bottom"/>
            <w:gridSpan w:val="3"/>
          </w:tcPr>
          <w:p>
            <w:pPr>
              <w:jc w:val="right"/>
              <w:ind w:right="340"/>
              <w:spacing w:after="0"/>
              <w:rPr>
                <w:sz w:val="20"/>
                <w:szCs w:val="20"/>
                <w:color w:val="auto"/>
              </w:rPr>
            </w:pPr>
            <w:r>
              <w:rPr>
                <w:rFonts w:ascii="Arial" w:cs="Arial" w:eastAsia="Arial" w:hAnsi="Arial"/>
                <w:sz w:val="18"/>
                <w:szCs w:val="18"/>
                <w:color w:val="auto"/>
              </w:rPr>
              <w:t>(16,941)</w:t>
            </w:r>
          </w:p>
        </w:tc>
        <w:tc>
          <w:tcPr>
            <w:tcW w:w="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(17,726)</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(46,086)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(139,277)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(29,898)</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(40,223)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-1231900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-1231900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-1231900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-1231900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-1231900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-1231900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-1231900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-1231900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-1231900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-1231900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-1231900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-374015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-374015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-374015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-374015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-374015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-374015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-374015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-374015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-374015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-374015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-374015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-374015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Wynn Resorts, Limited’s earnings were insufficient to cover fixed charges by $16.9 million, $17.7 million, $46.1 million, $139.3 million, $29.9 million and $40.2 million for the period from April 21, 2000 (date of inception) to December 31, 2000, the years ended December 31, 2001, 2002 and 2003, and the three months ended March 31, 2003 and 2004, respectively.</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consent to the incorporation by reference in this Post-Effective Amendment No. 2 to Registration Statement Nos. 333-111064 and 333-111064-01 of Wynn Resorts, Limited on Form S-3 of our report dated March 5, 2004 appearing in the Annual Report on Form 10-K of Wynn Resorts, Limited for the year ended December 31, 2003 and to the reference to us under the heading “Experts” in such Prospectus, which is part of this Registration Statement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19,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lvl w:ilvl="1">
      <w:lvlJc w:val="left"/>
      <w:lvlText w:val="(%2)"/>
      <w:numFmt w:val="decimal"/>
      <w:start w:val="1"/>
    </w:lvl>
  </w:abstractNum>
  <w:abstractNum w:abstractNumId="18">
    <w:nsid w:val="440BADFC"/>
    <w:multiLevelType w:val="hybridMultilevel"/>
    <w:lvl w:ilvl="0">
      <w:lvlJc w:val="left"/>
      <w:lvlText w:val="•"/>
      <w:numFmt w:val="bullet"/>
      <w:start w:val="1"/>
    </w:lvl>
    <w:lvl w:ilvl="1">
      <w:lvlJc w:val="left"/>
      <w:lvlText w:val="(%2)"/>
      <w:numFmt w:val="decimal"/>
      <w:start w:val="2"/>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lvl w:ilvl="1">
      <w:lvlJc w:val="left"/>
      <w:lvlText w:val="(%2)"/>
      <w:numFmt w:val="lowerLetter"/>
      <w:start w:val="1"/>
    </w:lvl>
  </w:abstractNum>
  <w:abstractNum w:abstractNumId="21">
    <w:nsid w:val="77465F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7724C6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4"/>
    </w:lvl>
    <w:lvl w:ilvl="1">
      <w:lvlJc w:val="left"/>
      <w:lvlText w:val="(%2)"/>
      <w:numFmt w:val="lowerLetter"/>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9"/>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Roman"/>
      <w:start w:val="2"/>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lvl w:ilvl="1">
      <w:lvlJc w:val="left"/>
      <w:lvlText w:val="%2"/>
      <w:numFmt w:val="decimal"/>
      <w:start w:val="25"/>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lvl w:ilvl="1">
      <w:lvlJc w:val="left"/>
      <w:lvlText w:val="%2"/>
      <w:numFmt w:val="decimal"/>
      <w:start w:val="25"/>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2019-12-12T03:12:09Z</dcterms:created>
  <dcterms:modified xsi:type="dcterms:W3CDTF">2019-12-12T03:12:09Z</dcterms:modified>
</cp:coreProperties>
</file>