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983134107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International Investors</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5740" w:type="dxa"/>
            <w:vAlign w:val="bottom"/>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40" w:type="dxa"/>
            <w:vAlign w:val="bottom"/>
          </w:tcPr>
          <w:p>
            <w:pPr>
              <w:jc w:val="right"/>
              <w:ind w:right="519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40" w:type="dxa"/>
            <w:vAlign w:val="bottom"/>
            <w:vMerge w:val="restart"/>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80" w:type="dxa"/>
            <w:vAlign w:val="bottom"/>
            <w:vMerge w:val="continue"/>
          </w:tcPr>
          <w:p>
            <w:pPr>
              <w:spacing w:after="0"/>
              <w:rPr>
                <w:sz w:val="21"/>
                <w:szCs w:val="21"/>
                <w:color w:val="auto"/>
              </w:rPr>
            </w:pPr>
          </w:p>
        </w:tc>
        <w:tc>
          <w:tcPr>
            <w:tcW w:w="5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40" w:type="dxa"/>
            <w:vAlign w:val="bottom"/>
            <w:vMerge w:val="restart"/>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80" w:type="dxa"/>
            <w:vAlign w:val="bottom"/>
            <w:vMerge w:val="continue"/>
          </w:tcPr>
          <w:p>
            <w:pPr>
              <w:spacing w:after="0"/>
              <w:rPr>
                <w:sz w:val="24"/>
                <w:szCs w:val="24"/>
                <w:color w:val="auto"/>
              </w:rPr>
            </w:pPr>
          </w:p>
        </w:tc>
        <w:tc>
          <w:tcPr>
            <w:tcW w:w="5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0.0%</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2460" w:right="6900" w:hanging="1547"/>
        <w:spacing w:after="0" w:line="286" w:lineRule="auto"/>
        <w:tabs>
          <w:tab w:leader="none" w:pos="24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Wynn Resorts, Ltd.</w:t>
      </w:r>
    </w:p>
    <w:p>
      <w:pPr>
        <w:spacing w:after="0" w:line="45" w:lineRule="exact"/>
        <w:rPr>
          <w:rFonts w:ascii="Times New Roman" w:cs="Times New Roman" w:eastAsia="Times New Roman" w:hAnsi="Times New Roman"/>
          <w:sz w:val="21"/>
          <w:szCs w:val="21"/>
          <w:b w:val="1"/>
          <w:bCs w:val="1"/>
          <w:color w:val="auto"/>
        </w:rPr>
      </w:pPr>
    </w:p>
    <w:p>
      <w:pPr>
        <w:ind w:left="2460" w:hanging="1547"/>
        <w:spacing w:after="0"/>
        <w:tabs>
          <w:tab w:leader="none" w:pos="2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2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3131 Las Vegas Boulevard South, Las Vegas, NV 89109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2460" w:right="596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International Investors</w:t>
      </w:r>
    </w:p>
    <w:p>
      <w:pPr>
        <w:spacing w:after="0" w:line="45" w:lineRule="exact"/>
        <w:rPr>
          <w:rFonts w:ascii="Times New Roman" w:cs="Times New Roman" w:eastAsia="Times New Roman" w:hAnsi="Times New Roman"/>
          <w:sz w:val="21"/>
          <w:szCs w:val="21"/>
          <w:b w:val="1"/>
          <w:bCs w:val="1"/>
          <w:color w:val="auto"/>
        </w:rPr>
      </w:pPr>
    </w:p>
    <w:p>
      <w:pPr>
        <w:ind w:left="2460" w:right="318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2460" w:right="754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2460" w:right="6200" w:hanging="1547"/>
        <w:spacing w:after="0" w:line="262" w:lineRule="auto"/>
        <w:tabs>
          <w:tab w:leader="none" w:pos="2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2460" w:right="712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983134107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1"/>
          <w:szCs w:val="21"/>
          <w:color w:val="auto"/>
        </w:rPr>
        <w:t>[X]</w:t>
      </w:r>
    </w:p>
    <w:p>
      <w:pPr>
        <w:spacing w:after="0" w:line="25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90"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Insurance Company as defined in Section 3(a)(19) of the Act (15 U.S.C. 78c).</w:t>
      </w:r>
    </w:p>
    <w:p>
      <w:pPr>
        <w:spacing w:after="0" w:line="1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An employee benefit plan or endowment fund in accordance with Rule 240.13d-1(b)(1)(ii)(F);</w:t>
      </w: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parent holding company or control person in accordance with Rule 240.13d-1(b)(1)(ii)(G);</w:t>
      </w:r>
    </w:p>
    <w:p>
      <w:pPr>
        <w:spacing w:after="0" w:line="77"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3(c)(14) of the Investment Company Act of 1940 (15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80a-3);</w:t>
      </w:r>
    </w:p>
    <w:p>
      <w:pPr>
        <w:spacing w:after="0" w:line="101" w:lineRule="exact"/>
        <w:rPr>
          <w:sz w:val="20"/>
          <w:szCs w:val="20"/>
          <w:color w:val="auto"/>
        </w:rPr>
      </w:pPr>
    </w:p>
    <w:p>
      <w:pPr>
        <w:sectPr>
          <w:pgSz w:w="11900" w:h="16838" w:orient="portrait"/>
          <w:cols w:equalWidth="0" w:num="2">
            <w:col w:w="3500" w:space="720"/>
            <w:col w:w="6820"/>
          </w:cols>
          <w:pgMar w:left="400" w:top="419" w:right="459" w:bottom="0" w:gutter="0" w:footer="0" w:header="0"/>
          <w:type w:val="continuous"/>
        </w:sectPr>
      </w:pPr>
    </w:p>
    <w:p>
      <w:pPr>
        <w:ind w:left="920"/>
        <w:spacing w:after="0"/>
        <w:tabs>
          <w:tab w:leader="none" w:pos="2440" w:val="left"/>
          <w:tab w:leader="none" w:pos="42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Group, in accordance with Rule 240.13d-1(b)(1)(ii)(J).</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Amount Beneficially Owned:</w:t>
      </w:r>
    </w:p>
    <w:p>
      <w:pPr>
        <w:spacing w:after="0" w:line="1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0 **</w:t>
      </w:r>
    </w:p>
    <w:p>
      <w:pPr>
        <w:sectPr>
          <w:pgSz w:w="11900" w:h="16838" w:orient="portrait"/>
          <w:cols w:equalWidth="0" w:num="1">
            <w:col w:w="11040"/>
          </w:cols>
          <w:pgMar w:left="400" w:top="419" w:right="459" w:bottom="0" w:gutter="0" w:footer="0" w:header="0"/>
          <w:type w:val="continuous"/>
        </w:sectPr>
      </w:pPr>
    </w:p>
    <w:p>
      <w:pPr>
        <w:spacing w:after="0" w:line="125" w:lineRule="exact"/>
        <w:rPr>
          <w:sz w:val="20"/>
          <w:szCs w:val="20"/>
          <w:color w:val="auto"/>
        </w:rPr>
      </w:pPr>
    </w:p>
    <w:tbl>
      <w:tblPr>
        <w:tblLayout w:type="fixed"/>
        <w:tblInd w:w="920" w:type="dxa"/>
        <w:tblCellMar>
          <w:top w:w="0" w:type="dxa"/>
          <w:left w:w="0" w:type="dxa"/>
          <w:bottom w:w="0" w:type="dxa"/>
          <w:right w:w="0" w:type="dxa"/>
        </w:tblCellMar>
      </w:tblP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22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Percent of Class:</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22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66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Number of shares as to which such person has:</w:t>
            </w: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22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(i)</w:t>
            </w:r>
          </w:p>
        </w:tc>
        <w:tc>
          <w:tcPr>
            <w:tcW w:w="4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22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(ii)</w:t>
            </w:r>
          </w:p>
        </w:tc>
        <w:tc>
          <w:tcPr>
            <w:tcW w:w="4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0" w:type="dxa"/>
            <w:vAlign w:val="bottom"/>
          </w:tcPr>
          <w:p>
            <w:pPr>
              <w:spacing w:after="0"/>
              <w:rPr>
                <w:sz w:val="1"/>
                <w:szCs w:val="1"/>
                <w:color w:val="auto"/>
              </w:rPr>
            </w:pPr>
          </w:p>
        </w:tc>
      </w:tr>
      <w:tr>
        <w:trPr>
          <w:trHeight w:val="339"/>
        </w:trPr>
        <w:tc>
          <w:tcPr>
            <w:tcW w:w="880" w:type="dxa"/>
            <w:vAlign w:val="bottom"/>
          </w:tcPr>
          <w:p>
            <w:pPr>
              <w:spacing w:after="0"/>
              <w:rPr>
                <w:sz w:val="24"/>
                <w:szCs w:val="24"/>
                <w:color w:val="auto"/>
              </w:rPr>
            </w:pPr>
          </w:p>
        </w:tc>
        <w:tc>
          <w:tcPr>
            <w:tcW w:w="226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rPr>
              <w:t>(iii)</w:t>
            </w:r>
          </w:p>
        </w:tc>
        <w:tc>
          <w:tcPr>
            <w:tcW w:w="43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sole power to dispose or to direct the disposition</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43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of</w:t>
            </w: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tbl>
      <w:tblPr>
        <w:tblLayout w:type="fixed"/>
        <w:tblInd w:w="246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(iv)</w:t>
            </w:r>
          </w:p>
        </w:tc>
        <w:tc>
          <w:tcPr>
            <w:tcW w:w="412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7"/>
              </w:rPr>
              <w:t>shared power to dispose or to direct the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41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disposition of</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281" w:lineRule="exact"/>
        <w:rPr>
          <w:sz w:val="20"/>
          <w:szCs w:val="20"/>
          <w:color w:val="auto"/>
        </w:rPr>
      </w:pPr>
    </w:p>
    <w:p>
      <w:pPr>
        <w:sectPr>
          <w:pgSz w:w="11900" w:h="16838" w:orient="portrait"/>
          <w:cols w:equalWidth="0" w:num="2">
            <w:col w:w="8400" w:space="280"/>
            <w:col w:w="2360"/>
          </w:cols>
          <w:pgMar w:left="400" w:top="419" w:right="459" w:bottom="0" w:gutter="0" w:footer="0" w:header="0"/>
          <w:type w:val="continuous"/>
        </w:sect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**Capital International Investors ("CII") is a division of Capital Research and Management Company ("CRMC"), as well as its investment management subsidiaries and affiliates Capital Bank and Trust Company, Capital International, Inc., Capital</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60"/>
        <w:spacing w:after="0" w:line="238" w:lineRule="auto"/>
        <w:rPr>
          <w:sz w:val="20"/>
          <w:szCs w:val="20"/>
          <w:color w:val="auto"/>
        </w:rPr>
      </w:pPr>
      <w:r>
        <w:rPr>
          <w:rFonts w:ascii="Times New Roman" w:cs="Times New Roman" w:eastAsia="Times New Roman" w:hAnsi="Times New Roman"/>
          <w:sz w:val="22"/>
          <w:szCs w:val="22"/>
          <w:color w:val="auto"/>
        </w:rPr>
        <w:t>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0 shares or 0.0% of the 112,945,993 shares believed to be outstanding.</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6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Jae Won Chung</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Jae Won Chung</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Vice President and Associate Counsel, Fund Business Management Group, Capital Research and Management Company</w:t>
      </w:r>
    </w:p>
    <w:sectPr>
      <w:pgSz w:w="11900" w:h="16838" w:orient="portrait"/>
      <w:cols w:equalWidth="0" w:num="1">
        <w:col w:w="9500"/>
      </w:cols>
      <w:pgMar w:left="1440" w:top="40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upperLetter"/>
      <w:start w:val="24"/>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2024-02-12T09:28:38Z</dcterms:created>
  <dcterms:modified xsi:type="dcterms:W3CDTF">2024-02-12T09:28:38Z</dcterms:modified>
</cp:coreProperties>
</file>