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58"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460" w:type="dxa"/>
        <w:tblCellMar>
          <w:top w:w="0" w:type="dxa"/>
          <w:left w:w="0" w:type="dxa"/>
          <w:bottom w:w="0" w:type="dxa"/>
          <w:right w:w="0" w:type="dxa"/>
        </w:tblCellMar>
      </w:tblPr>
      <w:tr>
        <w:trPr>
          <w:trHeight w:val="204"/>
        </w:trPr>
        <w:tc>
          <w:tcPr>
            <w:tcW w:w="190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w:t>
            </w:r>
          </w:p>
        </w:tc>
        <w:tc>
          <w:tcPr>
            <w:tcW w:w="4540" w:type="dxa"/>
            <w:vAlign w:val="bottom"/>
            <w:gridSpan w:val="4"/>
          </w:tcPr>
          <w:p>
            <w:pPr>
              <w:ind w:left="880"/>
              <w:spacing w:after="0" w:line="204" w:lineRule="exact"/>
              <w:rPr>
                <w:sz w:val="20"/>
                <w:szCs w:val="20"/>
                <w:color w:val="auto"/>
              </w:rPr>
            </w:pPr>
            <w:r>
              <w:rPr>
                <w:rFonts w:ascii="Arial" w:cs="Arial" w:eastAsia="Arial" w:hAnsi="Arial"/>
                <w:sz w:val="18"/>
                <w:szCs w:val="18"/>
                <w:b w:val="1"/>
                <w:bCs w:val="1"/>
                <w:color w:val="auto"/>
              </w:rPr>
              <w:t>to</w:t>
            </w:r>
          </w:p>
        </w:tc>
      </w:tr>
      <w:tr>
        <w:trPr>
          <w:trHeight w:val="289"/>
        </w:trPr>
        <w:tc>
          <w:tcPr>
            <w:tcW w:w="19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w w:val="86"/>
              </w:rPr>
              <w:t>Commission File No. 000-50028</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60" w:type="dxa"/>
            <w:vAlign w:val="bottom"/>
          </w:tcPr>
          <w:p>
            <w:pPr>
              <w:spacing w:after="0"/>
              <w:rPr>
                <w:sz w:val="18"/>
                <w:szCs w:val="18"/>
                <w:color w:val="auto"/>
              </w:rPr>
            </w:pPr>
          </w:p>
        </w:tc>
        <w:tc>
          <w:tcPr>
            <w:tcW w:w="1800" w:type="dxa"/>
            <w:vAlign w:val="bottom"/>
            <w:gridSpan w:val="2"/>
          </w:tcPr>
          <w:p>
            <w:pPr>
              <w:jc w:val="center"/>
              <w:ind w:right="57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5440" w:type="dxa"/>
            <w:vAlign w:val="bottom"/>
            <w:gridSpan w:val="3"/>
          </w:tcPr>
          <w:p>
            <w:pPr>
              <w:jc w:val="center"/>
              <w:ind w:left="3540"/>
              <w:spacing w:after="0"/>
              <w:rPr>
                <w:sz w:val="20"/>
                <w:szCs w:val="20"/>
                <w:color w:val="auto"/>
              </w:rPr>
            </w:pPr>
            <w:r>
              <w:rPr>
                <w:rFonts w:ascii="Arial" w:cs="Arial" w:eastAsia="Arial" w:hAnsi="Arial"/>
                <w:sz w:val="18"/>
                <w:szCs w:val="18"/>
                <w:b w:val="1"/>
                <w:bCs w:val="1"/>
                <w:color w:val="auto"/>
                <w:w w:val="89"/>
              </w:rPr>
              <w:t>46-0484987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60" w:type="dxa"/>
            <w:vAlign w:val="bottom"/>
            <w:gridSpan w:val="3"/>
          </w:tcPr>
          <w:p>
            <w:pPr>
              <w:jc w:val="center"/>
              <w:ind w:left="11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20" w:type="dxa"/>
            <w:vAlign w:val="bottom"/>
          </w:tcPr>
          <w:p>
            <w:pPr>
              <w:spacing w:after="0"/>
              <w:rPr>
                <w:sz w:val="12"/>
                <w:szCs w:val="12"/>
                <w:color w:val="auto"/>
              </w:rPr>
            </w:pPr>
          </w:p>
        </w:tc>
        <w:tc>
          <w:tcPr>
            <w:tcW w:w="2320" w:type="dxa"/>
            <w:vAlign w:val="bottom"/>
            <w:gridSpan w:val="2"/>
          </w:tcPr>
          <w:p>
            <w:pPr>
              <w:jc w:val="center"/>
              <w:ind w:left="42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60" w:type="dxa"/>
            <w:vAlign w:val="bottom"/>
            <w:gridSpan w:val="3"/>
          </w:tcPr>
          <w:p>
            <w:pPr>
              <w:jc w:val="center"/>
              <w:ind w:left="1140"/>
              <w:spacing w:after="0"/>
              <w:rPr>
                <w:sz w:val="20"/>
                <w:szCs w:val="20"/>
                <w:color w:val="auto"/>
              </w:rPr>
            </w:pPr>
            <w:r>
              <w:rPr>
                <w:rFonts w:ascii="Arial" w:cs="Arial" w:eastAsia="Arial" w:hAnsi="Arial"/>
                <w:sz w:val="14"/>
                <w:szCs w:val="14"/>
                <w:b w:val="1"/>
                <w:bCs w:val="1"/>
                <w:color w:val="auto"/>
                <w:w w:val="88"/>
              </w:rPr>
              <w:t>incorporation or organization)</w:t>
            </w:r>
          </w:p>
        </w:tc>
        <w:tc>
          <w:tcPr>
            <w:tcW w:w="3120" w:type="dxa"/>
            <w:vAlign w:val="bottom"/>
          </w:tcPr>
          <w:p>
            <w:pPr>
              <w:spacing w:after="0"/>
              <w:rPr>
                <w:sz w:val="15"/>
                <w:szCs w:val="15"/>
                <w:color w:val="auto"/>
              </w:rPr>
            </w:pPr>
          </w:p>
        </w:tc>
        <w:tc>
          <w:tcPr>
            <w:tcW w:w="2320" w:type="dxa"/>
            <w:vAlign w:val="bottom"/>
            <w:gridSpan w:val="2"/>
          </w:tcPr>
          <w:p>
            <w:pPr>
              <w:jc w:val="center"/>
              <w:ind w:left="427"/>
              <w:spacing w:after="0"/>
              <w:rPr>
                <w:sz w:val="20"/>
                <w:szCs w:val="20"/>
                <w:color w:val="auto"/>
              </w:rPr>
            </w:pPr>
            <w:r>
              <w:rPr>
                <w:rFonts w:ascii="Arial" w:cs="Arial" w:eastAsia="Arial" w:hAnsi="Arial"/>
                <w:sz w:val="14"/>
                <w:szCs w:val="14"/>
                <w:b w:val="1"/>
                <w:bCs w:val="1"/>
                <w:color w:val="auto"/>
                <w:w w:val="90"/>
              </w:rPr>
              <w:t>Identification Number)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6540" w:type="dxa"/>
            <w:vAlign w:val="bottom"/>
            <w:gridSpan w:val="4"/>
          </w:tcPr>
          <w:p>
            <w:pPr>
              <w:jc w:val="center"/>
              <w:ind w:left="177"/>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40" w:type="dxa"/>
            <w:vAlign w:val="bottom"/>
            <w:gridSpan w:val="2"/>
          </w:tcPr>
          <w:p>
            <w:pPr>
              <w:jc w:val="center"/>
              <w:ind w:right="1487"/>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9"/>
              </w:rPr>
              <w:t>(702) 770-7555</w:t>
            </w:r>
          </w:p>
        </w:tc>
        <w:tc>
          <w:tcPr>
            <w:tcW w:w="1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40" w:type="dxa"/>
            <w:vAlign w:val="bottom"/>
            <w:gridSpan w:val="2"/>
          </w:tcPr>
          <w:p>
            <w:pPr>
              <w:jc w:val="center"/>
              <w:ind w:right="148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0" w:type="dxa"/>
            <w:vAlign w:val="bottom"/>
            <w:gridSpan w:val="3"/>
          </w:tcPr>
          <w:p>
            <w:pPr>
              <w:jc w:val="center"/>
              <w:ind w:right="82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6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71"/>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vMerge w:val="continue"/>
          </w:tcPr>
          <w:p>
            <w:pPr>
              <w:spacing w:after="0"/>
              <w:rPr>
                <w:sz w:val="19"/>
                <w:szCs w:val="19"/>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Stock, $.01 par value</w:t>
            </w:r>
          </w:p>
        </w:tc>
        <w:tc>
          <w:tcPr>
            <w:tcW w:w="312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Nasdaq Global Select Market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3"/>
          </w:tcPr>
          <w:p>
            <w:pPr>
              <w:jc w:val="center"/>
              <w:ind w:right="80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740" w:type="dxa"/>
            <w:vAlign w:val="bottom"/>
            <w:gridSpan w:val="2"/>
          </w:tcPr>
          <w:p>
            <w:pPr>
              <w:jc w:val="center"/>
              <w:ind w:right="1487"/>
              <w:spacing w:after="0"/>
              <w:rPr>
                <w:sz w:val="20"/>
                <w:szCs w:val="20"/>
                <w:color w:val="auto"/>
              </w:rPr>
            </w:pPr>
            <w:r>
              <w:rPr>
                <w:rFonts w:ascii="Arial" w:cs="Arial" w:eastAsia="Arial" w:hAnsi="Arial"/>
                <w:sz w:val="18"/>
                <w:szCs w:val="18"/>
                <w:b w:val="1"/>
                <w:bCs w:val="1"/>
                <w:color w:val="auto"/>
                <w:w w:val="84"/>
              </w:rPr>
              <w:t>None</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840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840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600" w:type="dxa"/>
            <w:vAlign w:val="bottom"/>
            <w:gridSpan w:val="2"/>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2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5900" w:space="720"/>
            <w:col w:w="18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4">
            <w:col w:w="1500" w:space="540"/>
            <w:col w:w="5900" w:space="720"/>
            <w:col w:w="1920" w:space="680"/>
            <w:col w:w="160"/>
          </w:cols>
          <w:pgMar w:left="240" w:top="230" w:right="23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440" w:space="160"/>
            <w:col w:w="260" w:space="80"/>
            <w:col w:w="160" w:space="180"/>
            <w:col w:w="220" w:space="80"/>
            <w:col w:w="1840"/>
          </w:cols>
          <w:pgMar w:left="240" w:top="230" w:right="239" w:bottom="1440" w:gutter="0" w:footer="0" w:header="0"/>
          <w:type w:val="continuous"/>
        </w:sectPr>
      </w:pPr>
    </w:p>
    <w:p>
      <w:pPr>
        <w:ind w:right="340" w:firstLine="456"/>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2012 was approximately $8 billion.</w:t>
      </w:r>
    </w:p>
    <w:p>
      <w:pPr>
        <w:spacing w:after="0" w:line="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15, 2013, 100,982,712 shares of the registrant’s Common Stock, $.01 par value, were outstanding.</w:t>
      </w:r>
    </w:p>
    <w:p>
      <w:pPr>
        <w:spacing w:after="0" w:line="63"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color w:val="auto"/>
        </w:rPr>
        <w:t>Portions of the registrant’s Proxy Statement for its 2013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60" w:type="dxa"/>
            <w:vAlign w:val="bottom"/>
            <w:gridSpan w:val="15"/>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19"/>
                <w:szCs w:val="19"/>
                <w:color w:val="auto"/>
              </w:rPr>
            </w:pPr>
          </w:p>
        </w:tc>
      </w:tr>
      <w:tr>
        <w:trPr>
          <w:trHeight w:val="48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02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80" w:type="dxa"/>
            <w:vAlign w:val="bottom"/>
            <w:gridSpan w:val="2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020" w:type="dxa"/>
            <w:vAlign w:val="bottom"/>
            <w:gridSpan w:val="2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892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6920" w:type="dxa"/>
            <w:vAlign w:val="bottom"/>
            <w:gridSpan w:val="18"/>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920" w:type="dxa"/>
            <w:vAlign w:val="bottom"/>
            <w:gridSpan w:val="2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920" w:type="dxa"/>
            <w:vAlign w:val="bottom"/>
            <w:gridSpan w:val="2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1"/>
          </w:tcPr>
          <w:p>
            <w:pPr>
              <w:jc w:val="center"/>
              <w:ind w:right="4000"/>
              <w:spacing w:after="0"/>
              <w:rPr>
                <w:rFonts w:ascii="Arial" w:cs="Arial" w:eastAsia="Arial" w:hAnsi="Arial"/>
                <w:sz w:val="18"/>
                <w:szCs w:val="18"/>
                <w:b w:val="1"/>
                <w:bCs w:val="1"/>
                <w:color w:val="0000EE"/>
                <w:w w:val="96"/>
              </w:rPr>
            </w:pPr>
            <w:hyperlink w:anchor="page43">
              <w:r>
                <w:rPr>
                  <w:rFonts w:ascii="Arial" w:cs="Arial" w:eastAsia="Arial" w:hAnsi="Arial"/>
                  <w:sz w:val="18"/>
                  <w:szCs w:val="18"/>
                  <w:b w:val="1"/>
                  <w:bCs w:val="1"/>
                  <w:color w:val="0000EE"/>
                  <w:w w:val="96"/>
                </w:rPr>
                <w:t>PART II</w:t>
              </w:r>
            </w:hyperlink>
          </w:p>
        </w:tc>
        <w:tc>
          <w:tcPr>
            <w:tcW w:w="1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92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Market for Registrant’s Common Equity, Related Stockholder Matters and Issuer Purchases of Equity Securities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0"/>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8920" w:type="dxa"/>
            <w:vAlign w:val="bottom"/>
            <w:gridSpan w:val="2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Quantitative and Qualitative Disclosures About Market Risk</w:t>
              </w:r>
            </w:hyperlink>
          </w:p>
        </w:tc>
        <w:tc>
          <w:tcPr>
            <w:tcW w:w="2000" w:type="dxa"/>
            <w:vAlign w:val="bottom"/>
            <w:tcBorders>
              <w:top w:val="single" w:sz="8" w:color="0000EE"/>
            </w:tcBorders>
            <w:gridSpan w:val="7"/>
          </w:tcPr>
          <w:p>
            <w:pPr>
              <w:spacing w:after="0"/>
              <w:rPr>
                <w:sz w:val="17"/>
                <w:szCs w:val="17"/>
                <w:color w:val="auto"/>
              </w:rPr>
            </w:pPr>
          </w:p>
        </w:tc>
        <w:tc>
          <w:tcPr>
            <w:tcW w:w="262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Financial Statements and Supplementary Data</w:t>
              </w:r>
            </w:hyperlink>
          </w:p>
        </w:tc>
        <w:tc>
          <w:tcPr>
            <w:tcW w:w="5660" w:type="dxa"/>
            <w:vAlign w:val="bottom"/>
            <w:gridSpan w:val="1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8920" w:type="dxa"/>
            <w:vAlign w:val="bottom"/>
            <w:gridSpan w:val="2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Changes in and Disagreements with Accountants on Accounting and Financial Disclosure</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7"/>
          </w:tcPr>
          <w:p>
            <w:pPr>
              <w:spacing w:after="0"/>
              <w:rPr>
                <w:sz w:val="17"/>
                <w:szCs w:val="17"/>
                <w:color w:val="auto"/>
              </w:rPr>
            </w:pPr>
          </w:p>
        </w:tc>
        <w:tc>
          <w:tcPr>
            <w:tcW w:w="260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8920" w:type="dxa"/>
            <w:vAlign w:val="bottom"/>
            <w:gridSpan w:val="2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Other Information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20" w:type="dxa"/>
            <w:vAlign w:val="bottom"/>
            <w:gridSpan w:val="14"/>
          </w:tcPr>
          <w:p>
            <w:pPr>
              <w:jc w:val="center"/>
              <w:ind w:right="3700"/>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III</w:t>
              </w:r>
            </w:hyperlink>
          </w:p>
        </w:tc>
        <w:tc>
          <w:tcPr>
            <w:tcW w:w="1280" w:type="dxa"/>
            <w:vAlign w:val="bottom"/>
          </w:tcPr>
          <w:p>
            <w:pPr>
              <w:spacing w:after="0"/>
              <w:rPr>
                <w:sz w:val="24"/>
                <w:szCs w:val="24"/>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260" w:type="dxa"/>
            <w:vAlign w:val="bottom"/>
            <w:gridSpan w:val="13"/>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Directors, Executive Officers and Corporate Governance</w:t>
              </w:r>
            </w:hyperlink>
          </w:p>
        </w:tc>
        <w:tc>
          <w:tcPr>
            <w:tcW w:w="720" w:type="dxa"/>
            <w:vAlign w:val="bottom"/>
            <w:tcBorders>
              <w:top w:val="single" w:sz="8" w:color="0000EE"/>
            </w:tcBorders>
            <w:gridSpan w:val="7"/>
          </w:tcPr>
          <w:p>
            <w:pPr>
              <w:spacing w:after="0"/>
              <w:rPr>
                <w:sz w:val="17"/>
                <w:szCs w:val="17"/>
                <w:color w:val="auto"/>
              </w:rPr>
            </w:pPr>
          </w:p>
        </w:tc>
        <w:tc>
          <w:tcPr>
            <w:tcW w:w="394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4920" w:type="dxa"/>
            <w:vAlign w:val="bottom"/>
            <w:gridSpan w:val="1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8920" w:type="dxa"/>
            <w:vAlign w:val="bottom"/>
            <w:gridSpan w:val="2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Security Ownership of Certain Beneficial Owners and Management and Related Stockholder Matters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Principal Accountant Fees and Services</w:t>
              </w:r>
            </w:hyperlink>
          </w:p>
        </w:tc>
        <w:tc>
          <w:tcPr>
            <w:tcW w:w="360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125">
              <w:r>
                <w:rPr>
                  <w:rFonts w:ascii="Arial" w:cs="Arial" w:eastAsia="Arial" w:hAnsi="Arial"/>
                  <w:sz w:val="18"/>
                  <w:szCs w:val="18"/>
                  <w:b w:val="1"/>
                  <w:bCs w:val="1"/>
                  <w:color w:val="0000EE"/>
                  <w:w w:val="95"/>
                </w:rPr>
                <w:t>PART IV</w:t>
              </w:r>
            </w:hyperlink>
          </w:p>
        </w:tc>
        <w:tc>
          <w:tcPr>
            <w:tcW w:w="396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8920" w:type="dxa"/>
            <w:vAlign w:val="bottom"/>
            <w:gridSpan w:val="26"/>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Exhibits and Financial Statement Schedules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1000" w:type="dxa"/>
            <w:vAlign w:val="bottom"/>
            <w:gridSpan w:val="2"/>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7"/>
          </w:tcPr>
          <w:p>
            <w:pPr>
              <w:ind w:left="46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Wynn Resorts, Limited, a Nevada corporation, was formed in June 2002, is led by Chairman and Chief Executive Officer, Stephen A. Wynn, and is a leading developer, owner and operator of destination casino resorts. We currently own and operate two destination casino resorts. In Las Vegas, Nevada, we own and operate Wynn Las Vegas, which includes Encore at Wynn Las Vegas. In the Macau Special Administrative Region of the People’s Republic of China (“Macau”) we own and operate Wynn Macau which includes Encore at Wynn Macau. We present our results based on the following two segments: Las Vegas Operations and Macau Operations. For more information on the financial results for our segments, see Item 8—“Financial Statements”, Note 17 “Segment Information.”</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and its consolidated subsidiaries.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our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opened on April 28, 2005. On December 22, 2008, we opened Encore at Wynn Las Vegas, an expansion of Wynn Las Vegas. We refer to the fully integrated Wynn Las Vegas and Encore at Wynn Las Vegas resort as “Wynn Las Vegas | Encore” or as our “Las Vegas Operations.” We believe that this resort offers exceptional accommodations, amenities and service. For the seventh consecutive year, The Tower Suites at Wynn Las Vegas has received the Forbes five-star distinction. The Spa at Wynn Las Vegas earned five-star recognition from Forbes for the fifth year in a row. The Tower Suites at Encore and the Spa at Encore are also recipients of the Forbes five-star distinction.</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Las Vegas Operations feature approximately 4,750 hotel rooms and suites, 240 table games, 2,195 slot machines, a race and sports book and a poker room in approximately 186,000 square feet of casino gaming space, (including a sky casino and private gaming salons), casual and fine dining in 35 food and beverage outlets, two spas and salons, lounges, and approximately 95,000 square feet of retail space featuring boutiques from Alexander McQueen, Brioni, Cartier, Chanel, Chloé, Chopard, Dior, Graff, Hermes, IWC Schaffhausen, Jaeger-Lecoultre, Loro Piana, Louis Vuitton, Manolo Blahnik, Oscar de la Renta, Piaget, Vertu and others. Our Las Vegas Operations also offer three nightclubs, a beach club, a Ferrari and Maserati automobile dealership, wedding chapels, an 18-hole golf course, approximately 283,000 square feet of meeting space, a specially designed theater presenting “Le Rêve-The Dream,” a water-based theatrical production, and an Encore Theater presenting various headliner entertainment acts throughout the year. We believe that the unique experience of our Las Vegas Operations drives the significant visitation experienced since opening.</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Wynn Macau opened on September 6, 2006. On April 21, 2010, we opened Encore at Wynn Macau, an expansion of Wynn Macau. We refer to the fully integrated Wynn Macau and Encore at Wynn Macau resort as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“Wynn Macau | Encore” or as our “Macau Operations.” We believe that this resort offers exceptional accommodations, amenities and service. For the fifth consecutive year, Wynn Macau and The Spa at Wynn Macau received the Forbes five-star distinction. In 2013, Encore at Wynn Macau and the Spa at Encore at Wynn Macau also received the Forbes five-star distinction.</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Macau Operations feature approximately 1,008 hotel rooms and suites, 495 table games, 835 slot machines and a poker pit in approximately 275,000 square feet of casino gaming space, (including sky casinos and private gaming salons), casual and fine dining in eight restaurants, two spas and a salon, lounges, meeting facilities and approximately 55,000 square feet of retail space featuring boutiques from Bvlgari, Cartier, Chanel, Dior, Dunhill, Ermenegildo Zegna, Ferrari, Giorgio Armani, Graff, Gucci, Hermes, Hugo Boss, Jaeger-LeCoultre, Louis Vuitton, Miu Miu, Piaget, Prada, Roger Dubuis, Rolex, Tiffany, Tudor, Vacheron Constantin, Van Cleef &amp; Arpels, Versace, Vertu, and others. Our Macau Operations include a show in the rotunda featuring a Chinese zodiac-inspired ceiling and interchangeable gold “prosperity tree” and “dragon of fortune” attractions.</w:t>
      </w:r>
    </w:p>
    <w:p>
      <w:pPr>
        <w:spacing w:after="0" w:line="12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Item 7 of Part II, “Management’s Discussion and Analysis of Financial Condition and Results of Operations—Results of Operations”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 Opportunities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resort complexes.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September 2011, Palo Real Estate Company Limited and Wynn Resorts (Macau) S.A.,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Company is constructing a full scale integrated resort containing a casino, luxury hotel, convention, retail, entertainment and food and beverage offerings on this land. The Company estimates the project budget to be in the range of $3.5 billion to $4.0 billion. The Company expects to enter into a guaranteed maximum price contract for the project construction costs in the first half of 2013. We expect to open our resort in Cotai during the first half of 2016.</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(including interest at 5%) which began in November 2012. As of December 31, 2012, the Company has recorded this obligation and related asset with $27.9 million included as a current liability and $76.2 million included as a long-term liability. The Company will also be required to make annual lease payments of $0.8 million during the resort construction period and annual lease payments of approximately $1.1 million once the development is completed.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entertainment, fine dining and premium retail offerings, to create resorts that appeal to the global customer base.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resorts are designed and built to provide a premium experience for our guests. Our business is dependent on repeat visitation from our guests and we believe superior customer experience and service is the best marketing strategy to attract and retain our customers. Our company heavily emphasizes human resources and staff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training to ensure our employees are prepared to provide the luxury service that our guests expect. In addition,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resorts through various media channels, including social media, television, radio, newspapers, magazines, the internet, direct mail and billboards.</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subsidiary, the senior management of which has significant experience in all major construction disciplines.</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continually seek out new opportunities for additional gaming or related businesses, in the United States, and worldwide. We recently filed gaming applications and plan to participate in the competitive bidding process for a gaming license in both Massachusetts and Pennsylvania as part of our strategy to expand in select markets. We are also exploring various international jurisdictions for expansion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Las Vegas is the largest gaming market in the United States. The casino/hotel industry in Las Vegas is highly competitive. Over the last several years, Las Vegas has been impacted by economic disruptions. In 2012, Las Vegas visitation and gaming statistics stabilized, but uncertainty remains regarding the future gaming, tourism and convention environment. Our Las Vegas Operations are located on the Las Vegas Strip and compete with other high-quality resorts and hotel casinos in Las Vegas. Many competing properties draw a significant number of visitors and directly compete with our operations. Resorts located on or near the Las Vegas Strip compete with other Las Vegas Strip hotels and with other hotel casinos in Las Vegas on the basis of overall atmosphere, range of amenities, level of service, price, location, entertainment, themes and size, among other factors. We seek to differentiate our Las Vegas Operations from other major Las Vegas resorts by concentrating on our fundamental elements of design, atmosphere, personal service and luxury.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Las Vegas Operations also compete, to some extent, with other hotel/casino facilities in Nevada and throughout the United States, casino resorts throughout Asia, and elsewhere in the world. In addition, the legalization of casino gaming in or near metropolitan areas from which we attract customers could have a negative effect on our business. New or renovated casinos in Asia, including two resorts in Singapore, resorts in the Philippines, and our resort in Macau, could draw gaming customers away from Las Vegas.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2012, the economic environment in the gaming and hotel markets in Las Vegas continued to improve with increased levels of gaming revenue, visitation and hotel room demand. While these gaming and hotel statistics have increased from prior year levels, uncertainty still exists in the Las Vegas market. During 2012, the average daily room rate increased 2.8%, visitation increased 2.1% to 39.7 million visitors, and Las Vegas Strip gaming revenues increased 2.3%, all as compared to the year ended December 31, 2011. During 2011, the average daily room rate increased 10.7%, visitation increased 4.3% to 38.9 million visitors, and Las Vegas Strip gaming revenues increased 5.1%, all as compared to the year ended December 31, 2010.</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Macau</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Macau, which was a Portuguese colony for approximately 450 years, was transferred from Portuguese to Chinese political control in December 1999. Macau is governed as a special administrative region of China and is located approximately 37 miles southwest of, and approximately one hour away via ferry from, Hong Kong. Macau, which has been a casino destination for more than 40 years, consists principally of a peninsula on mainland China, and two neighboring islands, Taipa and Coloane. We believe that Macau is located in one of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world’s largest concentrations of potential gaming customers. According to Macau Statistical Information, casinos in Macau, the largest gaming market in the world, generated approximately $38.1 billion in gaming revenue in 2012, a 13.5% increase over the approximately $33.5 billion generated in 2011.</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Macau’s gaming market is primarily dependent on tourists. Tourist arrivals in 2012 were 28.1 million, compared to 28 million in 2011. The Macau market has also experienced tremendous growth in capacity in the last several years. As of December 31, 2012, there were 26,069 hotel rooms and 5,485 table games in Macau, compared to 12,978 hotel rooms and 2,762 table games as of December 31, 2006.</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Gaming customers traveling to Macau have typically come from nearby destinations in Asia including Hong Kong, mainland China, Taiwan, South Korea and Japan. According to the Macau Statistics and Census Service Monthly Bulletin of Statistics, approximately 89% of the tourists who visited Macau in 2012 came from mainland China, Hong Kong and Taiwan. Macau completed construction of an international airport in 1995, which accommodates large commercial aircraft and provides direct air service to major cities in Asia, including Beijing, Shanghai, Jakarta, Taipei, Manila, Singapore and Bangkok. Travel to Macau by citizens of mainland China requires a visa. Chinese government officials have, on occasion, exercised their authority to adjust the visa policy and may do so in the future.</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Prior to 2002, gaming in Macau was permitted as a government-sanctioned monopoly concession awarded to a single concessionaire. However, the government of Macau liberalized the gaming industry in 2002 by granting concessions to operate casinos to three concessionaires (including Wynn Macau), who in turn were permitted, subject to the approval of the government of Macau, to each grant one sub-concession. There is no limit to the number of casinos each concessionaire is permitted to operate, but each facility is subject to government approval. Currently, there are 35 operating casinos in Macau.</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2002, the other two concessions were granted to Sociedade de Jogos de Macau (“SJM”) and Galaxy Entertainment Group Limited (“Galaxy”). SJM, which is controlled by the family of Stanley Ho, operates 20 of the 35 existing casinos, including the Hotel Lisboa and The Grand Lisboa. In addition, an affiliate of SJM owns several of the water ferry services and the only helicopter shuttle service that links Macau to Hong Kong. SJM is a Hong Kong Stock Exchange listed company.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Galaxy owns the Waldo Hotel/Casino located on the Macau peninsula, Galaxy Star World hotel casino located immediately adjacent to Wynn Macau, the Grand Waldo Cotai and Galaxy Cotai. Galaxy is a Hong Kong Stock Exchange listed company.</w:t>
      </w:r>
    </w:p>
    <w:p>
      <w:pPr>
        <w:spacing w:after="0" w:line="13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Las Vegas Sands Corp., the owner and operator of The Venetian and The Palazzo resorts in Las Vegas and a former partner of Galaxy, entered into a sub-concession agreement with Galaxy in 2002 which allows it to independently develop and operate casinos in Macau. An affiliate of Las Vegas Sands Corp. owns and operates the Sands Macao, The Venetian Macao Resort Hotel, the largest casino resort in Macau, and the Four Seasons Hotel Macau, located adjacent to the Venetian Macao. In addition, an affiliate of Las Vegas Sands Corp. opened Sands Cotai Central in 2012, which includes additional hotel properties as well as gaming and retail space. In late 2009, Las Vegas Sands Corp. completed the initial public offering of Sands China, Ltd. on the Hong Kong Stock Exchange.</w:t>
      </w:r>
    </w:p>
    <w:p>
      <w:pPr>
        <w:spacing w:after="0" w:line="10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joint venture consisting of Melco, a Hong Kong Stock Exchange listed company, and Crown, Ltd., an Australian company, is currently operating the Altira hotel in Taipa and the City of Dreams, a large resort in Cotai. This joint venture operates its properties under a subconcession purchased from Wynn Macau in 2006. In December 2011, Melco Crown, a NASDAQ listed company, completed its dual listing and started trading on the Hong Kong Stock Exchange.</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December 2007, a joint venture of MGM Resorts International and Pansy Ho Chiu-king opened the MGM Grand Macau, a resort on the Macau peninsula adjacent to Wynn Macau. The MGM Grand Macau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operated pursuant to a subconcession granted to the joint venture by SJM. In June 2011, MGM Resorts International and Pansy Ho Chiu-king completed the initial public offering of MGM China Holdings Limited on the Hong Kong Stock Exchange.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casino concession agreement currently allows the government to grant additional concessions for the operation of casinos. If the government of Macau awards additional concessions or permits additional sub-concessionaires, Wynn Macau will face increased competition from casino operators in Macau. Resorts located on or near Macau compete with other hotels and with other hotel casinos in Macau on the basis of overall atmosphere, range of amenities, level of service, price, location, entertainment and size, among other factors. In October 2009, Wynn Macau, Limited, an indirect wholly owned subsidiary, listed its ordinary shares of common stock on The Stock Exchange of Hong Kong Limited. Wynn Macau, Limited sold 1,437,500,000 shares (27.7%) of its common stock through an initial public offering.</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 faces competition from casinos located in other areas of Asia, including the Marina Bay Sands and Resorts World Sentosa resorts operating in Singapore, Genting Highlands Resort, a major gaming and resort destination located outside of Kuala Lumpur, Malaysia, and casinos in the Philippines. Wynn Macau also encounters competition from other major gaming centers located around the world, including Australia and Las Vegas, cruise ships in Asia that offer gaming, and other casinos throughout Asia.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Geographic data are reported in the Notes to Consolidated Financial Statements, Note 17 “Segment Information.” Additional financial data about our geographic operations is provided in 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are ever prohibited from operating one of our gaming facilities, we would, to the extent permitted by law, seek to recover our investment by selling the property affected, but we cannot assure you that we could recover full value.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Nevada</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ownership and operation of casino gaming facilities in the State of Nevada are subject to the Nevada Gaming Control Act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made under the Act, as well as to various local ordinances. Our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Our subsidiary, Wynn Las Vegas, LLC, the owner and operator of our Las Vegas Operations,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by 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first mortgage notes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Individual Licensing Requirements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of Securities Owned By an Unsuitable Person. </w:t>
      </w:r>
      <w:r>
        <w:rPr>
          <w:rFonts w:ascii="Arial" w:cs="Arial" w:eastAsia="Arial" w:hAnsi="Arial"/>
          <w:sz w:val="16"/>
          <w:szCs w:val="16"/>
          <w:color w:val="auto"/>
        </w:rPr>
        <w:t>The Company’s articles of incorporation provide that, to the extent required by the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making the determination of unsuitability or to the extent the Board of Directors determines, in its sole discretion, that a person is likely to jeopardize the Company’s or any affiliate’s application for, receipt of, approval for, right to the use of, or entitlement to,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gaming license, shares of Wynn Resorts’ capital stock that are owned or controlled by an unsuitable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 and as set forth in the Company’s articles of incorporation.</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cancelled Aruze USA, Inc.’s 24,549,222 shares of Wynn Resorts’ common stock.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Price Promissory Note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 After authorizing the redemption of the Aruze shares, the Board of Directors took certain actions to protect the Company and its operations from any influence of an unsuitable person, including placing limitations on the provision of certain operating information to unsuitable persons, evaluating whether to seek the removal of Mr. Okada from the Company’s Board of Directors,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On January 3, 2013, the Company filed a definitive proxy statement on Schedule 14A (“Proxy Statement”) for a special meeting of the stockholders to consider and vote upon a proposal to remove 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w:t>
      </w:r>
    </w:p>
    <w:p>
      <w:pPr>
        <w:spacing w:after="0" w:line="12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Wynn Resorts’ voting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Wynn Resorts is required to maintain a current stock ledger in Nevada which may be examined by the Nevada Gaming Authorities at any time. If any securities are held in trust by an agent or by a nominee, the record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2011, the Nevada Gaming Commission granted us and Wynn Las Vegas, LLC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imposed by the Nevada Gaming Control Act. A licensee or registrant is also subject to disciplinary action by the Nevada Gaming Commission if it:</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Macau</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As a casino concessionaire, Wynn Macau, S.A., an indirect subsidiary of the Company, is subject to the regulatory control of the Government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forms the framework for the regulation of the activities of the concessionaire.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1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according to the rate in effect as set by the government, from any commissions paid to games promoters. Such withholding rate may be adjusted from time to time.</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 games promoter, also known as a junket representative, is a person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games promoters must be licensed by the Macau government in order to do business with and receive compensation from concessionaires. For a license to be obtained, direct and indirect owners of 5% or more of a games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DICJ implemented certain instructions in 2009, which have the force of law, relating to commissions paid to and by games promoters. Such instructions also impose certain financial reporting and audit requirements on games promoters.</w:t>
      </w:r>
    </w:p>
    <w:p>
      <w:pPr>
        <w:spacing w:after="0" w:line="12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4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Concession Agreement. </w:t>
      </w:r>
      <w:r>
        <w:rPr>
          <w:rFonts w:ascii="Arial" w:cs="Arial" w:eastAsia="Arial" w:hAnsi="Arial"/>
          <w:sz w:val="18"/>
          <w:szCs w:val="18"/>
          <w:color w:val="auto"/>
        </w:rPr>
        <w:t>The concession agreement between Wynn Macau S.A. and the Macau government required Wynn Macau, S.A. to construct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patacas (approximately US$500 million) in Macau-related projects by June 2009. These obligations were satisfied upon the opening of Wynn Macau in 2006.</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Macau, S.A. was also obligated to obtain, and did obtain, a 700 million pataca (approximately US$87 million) bank guarantee from Banco National Ultramarino, S.A. (“BNU”) that was effective until March 31, 2007. The amount of this guarantee was reduced to 300 million patacas (approximately US$37 million) for the period from April 1, 2007 until 180 days after the end of the term of the concession agreement. This guarantee,</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5.2 million patacas (approximately US$0.7 million).</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concession.</w:t>
      </w:r>
    </w:p>
    <w:p>
      <w:pPr>
        <w:spacing w:after="0" w:line="140" w:lineRule="exact"/>
        <w:rPr>
          <w:sz w:val="20"/>
          <w:szCs w:val="20"/>
          <w:color w:val="auto"/>
        </w:rPr>
      </w:pPr>
    </w:p>
    <w:p>
      <w:pPr>
        <w:ind w:firstLine="456"/>
        <w:spacing w:after="0" w:line="35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abandons or 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2012, we had a total of approximately 16,000 full-time equivalent employees (including approximately 9,000 in Las Vegas and approximately 7,000 in Macau).</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During 2006, we entered into a ten year collective bargaining agreement with the Culinary and Bartenders Union local that covers approximately 5,500 employees at our Las Vegas Operations. We also entered into a ten year collective bargaining agreement with the Transportation Workers Union in November 2010, which covers the table games dealers at our Las Vegas Operations. Certain other unions may seek to organize the workers of our Las Vegas Operations. Unionization, pressure to unionize or other forms of collective bargaining could increase our labor costs.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success of our operations in Macau will be affected by our success in retaining our employees. Wynn Macau competes with the large number of casino resort developments in Macau for limited qualified employees. We seek employees from other countries to adequately staff our Macau resorts, and policies announced publicly by the Macau government have affected our ability to import labor in certain job classifications. We are coordinating with the Macau labor and immigration authorities to ensure that our labor demand is satisfied, but cannot be certain that we will be able to recruit and retain a sufficient number of qualified employees for our Macau operations or that we will be able to obtain required work permits for those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Among our most important marks are our trademarks and service marks that use the name “WYNN.” Wynn Resorts has registered with the U.S. Patent and Trademark Office (“PTO”) a variety of the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w:t>
      </w:r>
    </w:p>
    <w:p>
      <w:pPr>
        <w:spacing w:after="0" w:line="143"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Wynn Resorts has been successful in demonstrating to the PTO such secondary meaning for the Wynn name based upon factors including Mr. Wynn’s prominence as a resort developer.</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MACAU,” “WYNN LAS VEGAS” and “ENCORE.” Some of the applications are based upon ongoing use and others are based upon a bona fide intent to use the marks.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August 6, 2004, we entered into agreements with Mr. Wynn that confirm and clarify our rights to use the “Wynn” name and Mr. Wynn’s persona in connection with our casino resorts. Under a Surname Rights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Agreement, Mr. Wynn has acknowledged our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have also registered various domain names including, but not limited to, </w:t>
      </w:r>
      <w:r>
        <w:rPr>
          <w:rFonts w:ascii="Arial" w:cs="Arial" w:eastAsia="Arial" w:hAnsi="Arial"/>
          <w:sz w:val="18"/>
          <w:szCs w:val="18"/>
          <w:u w:val="single" w:color="auto"/>
          <w:color w:val="auto"/>
        </w:rPr>
        <w:t>www.wynnlasvegas.com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www.wynnmacau.com</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www.wynnmacaulimited.com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www.encorelasvegas.com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www.wynnresorts.com</w:t>
      </w:r>
      <w:r>
        <w:rPr>
          <w:rFonts w:ascii="Arial" w:cs="Arial" w:eastAsia="Arial" w:hAnsi="Arial"/>
          <w:sz w:val="16"/>
          <w:szCs w:val="16"/>
          <w:color w:val="auto"/>
        </w:rPr>
        <w:t>, with various domain registrars around the world. Our domain registrations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extend to various foreign countries such as “.com.cn” and “.com.hk.” We pursue domain related infringement on a case by case basis depending on the infringing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domain in question. The information found on these websites is not a part of this Annual Report on Form 10-K or any other report we file or furnish to the SEC.</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other factors we describe from time to time in our periodic filings with the SEC as well as the following:</w:t>
      </w:r>
    </w:p>
    <w:p>
      <w:pPr>
        <w:spacing w:after="0" w:line="59" w:lineRule="exact"/>
        <w:rPr>
          <w:sz w:val="20"/>
          <w:szCs w:val="20"/>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enforcement actions and probity investigations;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over the development and success of new gaming and resort properties;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which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2020. However, we cannot assure you that Mr. Wynn will remain with Wynn Resorts, Limited. If we lose the services of Mr. Wynn, or if he is unable to devote sufficient attention to our operations for any other reason, our business may be significantly impaired.</w:t>
      </w:r>
    </w:p>
    <w:p>
      <w:pPr>
        <w:spacing w:after="0" w:line="224"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(formerly the largest beneficial owner of our shares) and his affiliates could have adverse consequences to the Company.</w:t>
      </w:r>
    </w:p>
    <w:p>
      <w:pPr>
        <w:spacing w:after="0" w:line="51"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On February 18, 2012, the Board of Directors of Wynn Resorts received a report from Freeh, Sporkin &amp; Sullivan, LLP (the “Freeh Report”) detailing numerous instances of conduct constituting prima facie violations of the FCPA by Kazuo Okada (formerly the largest beneficial owner of our shares) and certain of his affiliates. See Item 3—“Legal Proceedings” and Item 8—“Notes to Consolidated Financial Statements”, Note 16 “Commitments and Contingencies.” The Company has provided the Freeh Report to applicable regulators and has been cooperating with related investigations of such regulators. The conduct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Mr. Okada and his affiliates and the outcome of any resulting regulatory findings could have adverse consequences to the Company. A</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finding by regulatory authorities that Mr. Okada violated the FCPA on Company property and/or otherwise involved the Company in criminal or civil violations could result in actions by regulatory authorities against the Company. Relatedly, regulators could pursue separate investigations into the Company’s compliance with applicable laws, including in response to litigation filed by Mr. Okada suggesting improprieties in connection with the Company’s donation to the University of Macau and a related informal inquiry by the SEC into this donation. While the Company believes that it is in full compliance with all applicable laws, any such investigations could result in actions by regulators against the Company.</w:t>
      </w:r>
    </w:p>
    <w:p>
      <w:pPr>
        <w:spacing w:after="0" w:line="19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Mr. Okada and his affiliates have challenged the redemption of Aruze USA, Inc.’s Shares. An adverse judgment or settlement resulting from the related litigation could reduce our profits or limit our ability to operate our business.</w:t>
      </w:r>
    </w:p>
    <w:p>
      <w:pPr>
        <w:spacing w:after="0" w:line="5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February 18, 2012, after receiving the Freeh Report, the Board of Directors of Wynn Resorts determined that Aruze USA, Inc., Universal Entertainment Corporation and Mr. Okada were “unsuitable” within the meaning of Article VII of Wynn Resorts’ articles of incorporation and redeemed all of Aruze USA, Inc.’s shares of Wynn Resorts’ common stock. See Item 3—“Legal Proceedings” and Item 8—“Notes to Consolidated Financial Statements”, Note 16 “Commitments and Contingencies.” On February 19, 2012, the Company filed a complaint in Nevada state court against Mr. Okada and certain of his affiliates (the “Okada Parties”) alleging, among other things, breach of fiduciary duty in connection with alleged violations of the FCPA and seeking a declaration that the redemption was proper (collectively, the “Redemption Action”). On March 12, 2012, the Okada Parties filed an answer and cross claim against the Company, each of the members of the Company’s Board of Directors (other than Mr. Okada) and Wynn Resorts’ General Counsel seeking, among other things, a declaration that the redemption of Aruze USA , Inc.’s shares was void, an injunction restoring Aruze USA, Inc.’s share ownership, damages in an unspecified amount and rescission of the Amended and Restated Stockholders Agreement, dated as of January 6, 2010, by and among Aruze USA, Inc., Steve Wynn and Elaine Wynn as amended from time to time. In connection with the Redemption Action and Okada Parties cross claim, (1) various Okada Parties filed a complaint in the Tokyo District Court against the Company, all members of the Board (other than Mr. Okada) and the Company’s General Counsel alleging that the press release issued by the Company in connection with the Redemption Action has damaged their social evaluation and credibility and seeking damages and legal fees, (2) four federal derivative actions were commenced against the Company and all members of its Board of Directors and (3) two state derivative actions were commenced against the Company and all members of its Board of Directors. See Item 3—“Legal Proceedings, for a full description of these proceedings and status as of the date of this report. The Company is vigorously pursuing its claims against the Okada Parties, and together with the other counter-defendants vigorously defending against the counterclaims and other actions asserted against them. However, as with all litigation, the outcome of these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valuation of our Redemption Price Promissory Note could have a negative impact on our results of operations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connection with the redemption of the shares previously held by Aruze USA, Inc., we recorded the fair value of the Redemption Note at its estimated present value of approximately $1.94 billion in accordance with applicable accounting guidance. In determining this fair value, we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Item 8—“Notes to Consolidated Financial Statements”, Note 16 “Commitments and Contingencies.”); the outcome of on-going investigations by the Nevada Gaming Control Board; and other potential legal and regulatory actions. In addition, in the furtherance of various future business objectives, we considered our ability, at our sole option, to prepay the Redemption Note at any time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accordance with its terms without penalty. Accordingly, we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we used observable inputs from a range of trading values of financial instruments with terms and lives similar to the estimated life and terms of the Redemption Note. As a result of this analysis, we concluded the Redemption Note’s stated rate of 2% approximated a market rate. A change in any of the assumptions discussed above could result in a change in the fair value of this Redemption Note and significantly impact our results of operations.</w:t>
      </w:r>
    </w:p>
    <w:p>
      <w:pPr>
        <w:spacing w:after="0" w:line="225"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There has been widespread publicity of the findings in the Freeh Report of prima facie violations of law by Mr. Okada and his affiliates, the Board’s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gaming regulators, which could lead to investigations relating to, and possibly a negative impact on, the Company’s gaming licenses, and possibly have a negative impact on the Company’s ability to bid successfully for new gaming market opportunities.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laws or regulations could have a negative impact on us.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significant portion of our revenue is derived from operations outside the United States, which exposes the Company to complex foreign and U.S. regulations inherent in doing business cross-border and in each of the countries in which it transacts business. 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our directors,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Kazuo Okada, one of our directors, has failed to comply with internal training in these matters and has failed to return to the Company an executed Acknowledgment that he agrees to comply with the Company’s Code of Business Conduct and Ethics. For additional information on the Freeh Report, which detailed numerous instances of conduct constituting prima facie violations of the FCPA by Mr. Okada and certain of his affiliates, and the redemption of Aruze USA, Inc.’s shares, see Item 8—“Notes to Consolidated Financial Statements”, Note 16 “Commitments and Contingencies.”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8, 2012, the Company received a letter from the Salt Lake Regional Office of the U.S. Securities and Exchange Commission (“SEC”) requesting that, in connection with an informal inquiry by the SEC, the Company preserve information relating to a donation made by the Company to the University of Macau, any donations by the Company to any other educational charitable institutions, including the University of Macau Development Foundation, and the Company’s casino or concession gaming licenses or renewals in Macau. As previously disclosed, 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 15 of the 16 directors who served on those boards. The sole dissenting vote was Mr. Kazuo Okada whose stated objection was to the length of time over which the donation would occur, not its propriety. The SEC letter was received after Mr. Okada commenced litigation in Nevada on January 11, 2012 against the Company seeking to compel the Company to produce information relating to the donation to the University of Macau, among other things. On February 19, 2012, the Company filed a complaint in Nevada state court against Mr. Okada and other entities alleging, among other things, breach of fiduciary duty in connection with alleged violations of the FCPA. For a detailed description of the legal proceedings between the Company and Mr. Okada and his affiliates, see Item 3—“Legal Proceedings.”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has been fully cooperating with the Salt Lake Regional Office of the SEC. However, any determination that we have violated the FCPA could have a material adverse effect on our business and financial condition.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Compliance with international and U.S. laws and regulations that apply to our international operations also increases our cost of doing business in foreign jurisdictions.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downturns in the economy.</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factors such as perceived or actual general economic conditions, high unemployment, the housing foreclosure crisis, perceived or actual changes in disposable consumer income and wealth, an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u w:val="single" w:color="auto"/>
          <w:color w:val="auto"/>
        </w:rPr>
        <w:t>Competition for our Las Vegas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casino/hotel industry is highly competitive. Resorts located on or near the Las Vegas Strip compete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Las Vegas Strip hotels and with other hotel casinos in Las Vegas on the basis of overall atmosphere, range of amenities, level of service, price, location, entertainment, theme and size, among other factors.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Wynn Las Vegas also competes with other hotel/casino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our Las Vegas Operations.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u w:val="single" w:color="auto"/>
          <w:color w:val="auto"/>
        </w:rPr>
        <w:t>Competition for Macau Operations</w:t>
      </w:r>
      <w:r>
        <w:rPr>
          <w:rFonts w:ascii="Arial" w:cs="Arial" w:eastAsia="Arial" w:hAnsi="Arial"/>
          <w:sz w:val="18"/>
          <w:szCs w:val="18"/>
          <w:color w:val="auto"/>
        </w:rPr>
        <w:t>. Currently there are 35 operating casinos in Macau. We hold a concession under one of only three gaming concessions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three sub-concessions authorized by the Macau government to operate casinos in Macau. The Macau government has had the ability to grant additional gaming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cashflows. Current concessionaries and subconcessionaires can open additional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Macau resort complex also faces competition from casinos located in other areas of Asia, including the Marina Bay Sands and Resorts World Sentosa resorts operating in Singapore, Genting Highlands Resort, a major gaming and resort destination located outside of Kuala Lumpur, Malaysia, and casinos in the Philippines. We also encounter competition from other major gaming centers located around the world, including Australia and Las Vegas, cruise ships in Asia that offer gaming, and other casinos throughout Asia. Further, if current efforts to legalize gaming in other Asian countries are successful, our Wynn Macau resort will face additional regional competition.</w:t>
      </w:r>
    </w:p>
    <w:p>
      <w:pPr>
        <w:spacing w:after="0" w:line="224"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51" w:lineRule="exact"/>
        <w:rPr>
          <w:sz w:val="20"/>
          <w:szCs w:val="20"/>
          <w:color w:val="auto"/>
        </w:rPr>
      </w:pPr>
    </w:p>
    <w:p>
      <w:pPr>
        <w:jc w:val="both"/>
        <w:ind w:right="300" w:firstLine="456"/>
        <w:spacing w:after="0" w:line="357" w:lineRule="auto"/>
        <w:rPr>
          <w:sz w:val="20"/>
          <w:szCs w:val="20"/>
          <w:color w:val="auto"/>
        </w:rPr>
      </w:pPr>
      <w:r>
        <w:rPr>
          <w:rFonts w:ascii="Arial" w:cs="Arial" w:eastAsia="Arial" w:hAnsi="Arial"/>
          <w:sz w:val="15"/>
          <w:szCs w:val="15"/>
          <w:color w:val="auto"/>
        </w:rPr>
        <w:t>We are entirely dependent upon our Las Vegas Operations and our Macau Operations for all of our operating cash flow. As a result, we are subject to a greater degree of risk than a gaming company with more operating properties. The risks to which we have a greater degree of exposure include the following:</w:t>
      </w: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our resorts ;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outbreak of infectious diseases.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efforts to develop gaming and resort properties in other locations may be costly and may not be successful.</w:t>
      </w:r>
    </w:p>
    <w:p>
      <w:pPr>
        <w:spacing w:after="0" w:line="252"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u w:val="single" w:color="auto"/>
          <w:color w:val="auto"/>
        </w:rPr>
        <w: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 significant portion of our table games revenue at our resorts is attributable to the play of a limited number of international customers. The loss</w:t>
      </w:r>
      <w:r>
        <w:rPr>
          <w:rFonts w:ascii="Arial" w:cs="Arial" w:eastAsia="Arial" w:hAnsi="Arial"/>
          <w:sz w:val="18"/>
          <w:szCs w:val="18"/>
          <w:i w:val="1"/>
          <w:iCs w:val="1"/>
          <w:color w:val="auto"/>
        </w:rPr>
        <w:t xml:space="preserve"> </w:t>
      </w:r>
      <w:r>
        <w:rPr>
          <w:rFonts w:ascii="Arial" w:cs="Arial" w:eastAsia="Arial" w:hAnsi="Arial"/>
          <w:sz w:val="18"/>
          <w:szCs w:val="18"/>
          <w:color w:val="auto"/>
        </w:rPr>
        <w:t>or a reduction in the play of the most significant of these customers could have a material adverse effect on our business, financial condition, results of operations and cashflows. A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u w:val="single" w:color="auto"/>
          <w:color w:val="auto"/>
        </w:rPr>
        <w:t>Wynn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While gaming debts evidenced by a credit instrument, including what is commonly referred to as a “marker,” are enforceable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u w:val="single" w:color="auto"/>
          <w:color w:val="auto"/>
        </w:rPr>
        <w:t>Wynn Macau.</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the law in Macau permits casino operators to extend credit to gaming customers, Wynn Macau may not be able to collect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gaming receivables from its credit players. We expect that Wynn Macau will be able to enforce these obligations only in a limited number of jurisdictions, including Macau. To the extent our gaming customers are visitors from other jurisdictions, we may not have access to a forum in which it will be able to collect all of its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188" w:lineRule="exact"/>
        <w:rPr>
          <w:sz w:val="20"/>
          <w:szCs w:val="20"/>
          <w:color w:val="auto"/>
        </w:rPr>
      </w:pPr>
    </w:p>
    <w:p>
      <w:pPr>
        <w:ind w:left="240" w:right="500"/>
        <w:spacing w:after="0" w:line="33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our resorts are contingent upon our obtaining and maintaining all necessary licenses, permits, approvals, registrations, findings</w:t>
      </w:r>
      <w:r>
        <w:rPr>
          <w:rFonts w:ascii="Arial" w:cs="Arial" w:eastAsia="Arial" w:hAnsi="Arial"/>
          <w:sz w:val="16"/>
          <w:szCs w:val="16"/>
          <w:i w:val="1"/>
          <w:iCs w:val="1"/>
          <w:color w:val="auto"/>
        </w:rPr>
        <w:t xml:space="preserve"> </w:t>
      </w:r>
      <w:r>
        <w:rPr>
          <w:rFonts w:ascii="Arial" w:cs="Arial" w:eastAsia="Arial" w:hAnsi="Arial"/>
          <w:sz w:val="16"/>
          <w:szCs w:val="16"/>
          <w:color w:val="auto"/>
        </w:rPr>
        <w:t>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at Wynn Las Vegas on December 22, 2008. We are subject to ongoing regulation to maintain their operations. We opened Wynn Macau on September 6, 2006 and Encore at Wynn Macau on April 21, 2010, and are subject to ongoing regulation to maintain their operations.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u w:val="single" w:color="auto"/>
          <w:color w:val="auto"/>
        </w:rPr>
        <w:t>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The Nevada Gaming Commission may, in its discretion, require the holder of any debt or securities we issue to file applications, be</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investigated and be found suitable to own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regulations applicable to our business or gaming licenses could require us to make substantial expenditures or could otherwise negatively affect our gaming operations.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18, 2012, the Board of Directors of Wynn Resorts received a report from Freeh, Sporkin &amp; Sullivan, LLP (the “Freeh Report”) detailing numerous instances of conduct constituting prima facie violations of the FCPA by Kazuo Okada (formerly the largest beneficial owner of our shares) and certain of his affiliates. See Item 3—“Legal Proceedings”, and Item 8—“Notes to Consolidated Financial Statements”, Note 16 “Commitments and Contingencies.” After receiving the Freeh Report, the Board of Directors of Wynn Resorts determined that Aruze USA, Inc., Universal Entertainment Corporation and Mr. Okada were “unsuitable” within the meaning of Article VII of Wynn Resorts’ articles of incorporation and redeemed all of Aruze USA, Inc.’s shares of Wynn Resorts’ common stock. See Item 3—“Legal Proceedings” and Item 8—“Notes to Consolidated Financial Statements”, Note 16 “Commitments and Contingencies”.</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u w:val="single" w:color="auto"/>
          <w:color w:val="auto"/>
        </w:rPr>
        <w:t>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Wynn Macau’s operations are subject to unique risks, including risks related to Macau’s regulatory framework. Failure to adhere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and gaming environment in Macau could result in the revocation of Wynn Macau, S.A.’s concession or otherwise negatively affect its operations in Macau. Moreover, we would be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22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implemented systems that are designed to meet all requirements of the Payment Card Industry standards for data protection. However, our information and processes are subject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99" w:lineRule="exact"/>
        <w:rPr>
          <w:sz w:val="20"/>
          <w:szCs w:val="20"/>
          <w:color w:val="auto"/>
        </w:rPr>
      </w:pPr>
    </w:p>
    <w:p>
      <w:pPr>
        <w:ind w:left="240" w:right="84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insurance coverage may not be adequate to cover all possible losses that we could suffer, including terrorism, and our insurance costs may increase.</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comprehensive property and liability insurance policies for our properties in operation as well as those in the course of construction with coverage features and insured limits that we believe are customary in their breadth and scope. Market forces beyond our control may nonetheless limit the scope of the insurance coverage we can obtain or our ability to obtain coverage at reasonable rates. Certain types of losses, generally of a catastrophic nature, such as earthquakes, hurricanes and floods, or terrorist acts, or certain liabilities may be uninsurable or too expensive to justify obtaining insurance. As a result, we may not be successful in obtaining insurance without increases in cost or decreases in coverage levels. In addition, in the event of a substantial loss, the insurance coverage we carry may not be sufficient to pay the full market value or replacement cost of our lost investment or in some cases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debt instruments and other material agreements require us to maintain a certain minimum level of insurance. Failure to satisfy these requirements could result in an event of default under these debt instruments or material agreements.</w:t>
      </w:r>
    </w:p>
    <w:p>
      <w:pPr>
        <w:spacing w:after="0" w:line="213"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Our business is particularly sensitive to the willingness of our customers to travel. Acts of terrorism, regional political events and developments in the conflicts in certain countries could cause severe disruptions in air travel that reduce the number of visitors to our facilities, resulting in a material adverse effect on our business and financial condition, results of operations or cash flows.</w:t>
      </w:r>
    </w:p>
    <w:p>
      <w:pPr>
        <w:spacing w:after="0" w:line="5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dependent on the willingness of our customers to travel. Only a small amount of our business is and will be generated by local residents. Most of our customers travel to reach our Las Vegas and Macau properties. Acts of terrorism may severely disrupt domestic and international travel, which would result in a decrease in customer visits to Las Vegas and Macau, including our properties. Regional conflicts could have a similar effect on domestic and international travel. Management cannot predict the extent to which disruptions in air or other forms of travel as a result of any further terrorist act, outbreak of hostilities or escalation of war would have an adverse effect on our business and financial condition, results of operations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a parent company and our primary source of cash is and will be distributions from our subsidiaries.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 in the future.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Our intellectual property assets, especially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are subject to tax by various governments and agencies, both in the U.S. and in Macau. Changes in the rates of taxation, the amount and the time when income is subject to taxation, the ability to claim U.S. foreign tax credits, failure to renew our Macau dividend agreement and Macau income tax exemption after 2015 and the imposition of foreign withholding taxes could increase our overall rate of taxation.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Macau Operations</w:t>
      </w:r>
    </w:p>
    <w:p>
      <w:pPr>
        <w:spacing w:after="0" w:line="96" w:lineRule="exact"/>
        <w:rPr>
          <w:sz w:val="20"/>
          <w:szCs w:val="20"/>
          <w:color w:val="auto"/>
        </w:rPr>
      </w:pPr>
    </w:p>
    <w:p>
      <w:pPr>
        <w:ind w:left="240" w:right="320"/>
        <w:spacing w:after="0" w:line="259" w:lineRule="auto"/>
        <w:rPr>
          <w:sz w:val="20"/>
          <w:szCs w:val="20"/>
          <w:color w:val="auto"/>
        </w:rPr>
      </w:pPr>
      <w:r>
        <w:rPr>
          <w:rFonts w:ascii="Arial" w:cs="Arial" w:eastAsia="Arial" w:hAnsi="Arial"/>
          <w:sz w:val="18"/>
          <w:szCs w:val="18"/>
          <w:b w:val="1"/>
          <w:bCs w:val="1"/>
          <w:i w:val="1"/>
          <w:iCs w:val="1"/>
          <w:color w:val="auto"/>
        </w:rPr>
        <w:t>We depend upon games promoters for a significant portion of our gaming revenue. If we are unable to maintain, or develop additional, successful relationships with reputable games promoters, our ability to maintain or grow our gaming revenues could be adversely affected. Increased competition may result in increased pressure on commission rates.</w:t>
      </w:r>
    </w:p>
    <w:p>
      <w:pPr>
        <w:spacing w:after="0" w:line="5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significant portion of our gaming revenue is generated by clientele of our games promoters. There is intense competition among casino operators in Macau for services provided by games promoters. We anticipate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that this competition will further intensify as additional casinos open in Macau. Other operators in the market have increased commissions and advances to games promoters, in some cases dramatically, in an effort to increase market share. These types of actions by other casino operators have further intensified competition for the services of games promoters. While we believe that we currently maintain good relations with our existing games promoters, there can be no assurance that we will be able to continue to maintain these relationships. If we are unable to maintain, or develop additional, successful relationships with reputable games promoters, or lose a significant number of our games promoters to our competitors, our ability to maintain or grow our gaming revenues will be adversely affected and we will have to seek alternative ways of developing relationships with VIP customers. In addition, if our games promoters are unable to develop or maintain relationships with our VIP customers, our ability to maintain or grow our gaming revenues will be hampered.</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Certain games promoters have significant leverage and bargaining strength in negotiating operational agreements with casino operators. This leverage could result in games promoters negotiating changes to our operational agreements, including higher commissions, or the loss of business to a competitor or the loss of certain relationships with games promoters. If we need to increase our commission rates or otherwise change our practices with respect to games promoters due to competitive forces, our results of operations could be adversely affected.</w:t>
      </w:r>
    </w:p>
    <w:p>
      <w:pPr>
        <w:spacing w:after="0" w:line="11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reputations and probity of the games promoters we deal with are important to our own reputation and to our ability to operate in compliance with our concession, Macau gaming laws and other gaming licenses. While we endeavor, through contractual protections and otherwise, to ensure that our games promoters comply with high standards of probity and integrity, we cannot assure you that our games promoters will always comply with these standards. In addition, if we enter into a business relationship with a games promoter whose probity is in doubt, this may be considered by regulators or investors to reflect negatively on our own probity. If any of our games promoters violate the Macau gaming laws while on our premises, the Macau government may, in its discretion, take enforcement action against us, the games promoter, or each concurrently, and we may be sanctioned and our reputation could be harmed. If our games promoters are unable to maintain required standards of probity and integrity, we may face consequences from gaming regulators with authority over our operations.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financial resources of our games promoters may be insufficient to allow them to continue doing business at our resort.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games promoters may encounter decreased liquidity, for a variety of reasons, limiting their ability to grant credit to their patrons and thereby decreasing gaming volume at Wynn Macau. Furthermore, credit already extended by our games promoters to their patrons may become increasingly difficult for them to collect. This inability to grant credit and collect amounts due can negatively affect our games promoters’ operations, and as a result, our results of operations could be adversely impacted.</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concession agreement expires in June 2022. Unless our concession is extended, in June 2022, all of our gaming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development costs of Cotai are estimates only, and actual development costs may be higher than expected.</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the total development costs of our Cotai project to be in the range of $3.5 billion to $4.0 billion, including the budgeted design and construction costs, cost of the land payments (through opening), capitalized interest, pre-opening expenses and all financing fees. The required cash interest payments and commitment fees on our Wynn Macau credit facilities which will become due through the estimated commencement date of operations of Wynn Macau have been included in our estimate of the total development costs.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we believe that the overall budget for the development costs of Cotai are reasonable, these development costs are estimates and the actual development costs may be higher than expected. Although we have certain owners’ contingencies set aside to cover cost overruns, these contingencies may not be sufficient to cover the full amount of such overruns. If these contingencies are not sufficient to cover these costs, we may not have the funds required to pay the excess costs.</w:t>
      </w:r>
    </w:p>
    <w:p>
      <w:pPr>
        <w:spacing w:after="0" w:line="224"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There are significant risks associated with the construction of Cotai, which could have an adverse effect on our financial condition, results of operations or cash flows from this planned facility.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our Cotai project entail significant risks, including: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71"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Cotai project.</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a subcontractor’s work and payment for all of that subcontractor’s labor and materials. These bonds may not be adequate to ensure completion of the work.</w:t>
      </w:r>
    </w:p>
    <w:p>
      <w:pPr>
        <w:spacing w:after="0" w:line="8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have not yet entered into a final agreement with a general contractor or any trade contractors with respect to the construction of Cotai. We may not agree with general or trade contractors on financial and other terms that will meet our forecasted cost budget and schedule.</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Cotai facility may not commence operations on schedule and construction costs for this project may exceed budgeted amounts. Failure to complete this project on schedule or within budget may have a significant negative effect on us and on our ability to make payments on our debt.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collateral security, and only then would holders of our Macau subsidiaries’ unsecured debt be entitled to payment from their remaining assets.</w:t>
      </w:r>
    </w:p>
    <w:p>
      <w:pPr>
        <w:spacing w:after="0" w:line="252"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Visitation to Macau may decline due to economic disruptions in mainland China as well as increased restrictions on visitations to Macau from citizens of mainland China.</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significant number of our gaming customers at Wynn Macau come from mainland China. Any economic disruption or contraction in China could disrupt the number of patrons visiting our property or the amount they may be willing to spend. In addition, any travel restrictions imposed by China on its citizens could disrupt the number of visitors from mainland China to our property. It is not known when, or if, policies similar to those implemented in 2009 restricting visitation by mainland Chinese citizens to Macau and Hong Kong, will be put in place and travel policies may be adjusted, without notice, in the future.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compete for limited labor resources in Macau and Macau government policies may also affect our ability to employ imported labor.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success of our operations in Macau will be affected by our success in retaining our employees. We compete with a large number of casino resorts in Macau for a limited number of qualified employees. We have to seek employees from other countries to adequately staff our resort and certain Macau government policies affect our ability to import labor in certain job classifications. We coordinate with the Macau labor and immigration authorities to ensure our labor needs are satisfied, but cannot be certain that we will be able to recruit and retain a sufficient number of qualified employees for our operations or that we will be able to obtain required work permits for those employees.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may be affected by adverse political and economic conditions.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success of Wynn Macau will depend on political and economic conditions in Macau and mainland China. In December 1999, after approximately 450 years of Portuguese control, Portugal returned Macau to Chinese administration. The People’s Republic of China 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will affect the business of Wynn Macau.</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operations are subject to significant political, economic and social risks inherent in doing business in an emerging market.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that might impede its ability to repatriate funds.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may not have an adequate transportation infrastructure to accommodate the demand from future development.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Macau’s subtropical climate and location on the South China Sea are subject to extreme weather conditions including typhoons and heavy rainstorms.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Unfavorable weather conditions could negatively affect the profitability of our resort complex and prevent or discourage guests from traveling to Macau.</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The Macau government can terminate our concession under certain circumstances without compensation to us, which would have a material adverse effect on our business and financial condition.</w:t>
      </w:r>
    </w:p>
    <w:p>
      <w:pPr>
        <w:spacing w:after="0" w:line="5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 S.A.:</w:t>
      </w:r>
    </w:p>
    <w:p>
      <w:pPr>
        <w:spacing w:after="0" w:line="59"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(or more than 14 days in a civil year) without justification;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October 2009, Wynn Macau, Limited, an indirect wholly owned subsidiary of Wynn Resorts and the developer, owner and operator of Wynn Macau, listed its ordinary shares of common stock on The Stock Exchange of Hong Kong Limited. Wynn Macau, Limited sold through an initial public offering, 1,437,500,000 shares (27.7%) of this subsidiary’s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Nevada gaming laws apply to Wynn Macau’s gaming activities and associations.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With respect to our Wynn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32"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380" w:hanging="324"/>
        <w:spacing w:after="0" w:line="332"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4" w:lineRule="exact"/>
        <w:rPr>
          <w:rFonts w:ascii="Arial" w:cs="Arial" w:eastAsia="Arial" w:hAnsi="Arial"/>
          <w:sz w:val="16"/>
          <w:szCs w:val="16"/>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its debt.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Wynn Macau.</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Share Ownership and Stockholder Matters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2012, Mr. Wynn and Elaine P. Wynn own 10,026,708 shares and 9,742,150 shares, respectively, or in the aggregate approximately 19.6%, of our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USA, Inc. owned 24,549,222 shares of our outstanding common stock. On February 18, 2012, the Company redeemed all of the shares of the Company’s common stock held by Aruze USA, Inc. For additional information on the redemption, see Item 8—“Notes to the Consolidated Financial Statements”, Note 16 “Commitments and Contingencies”.</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Amended and Restated Stockholders Agreement, dated as of January 6, 2010, by and among Stephen A. Wynn, Elaine P. Wynn and Aruze USA, Inc. (the “Amended and Restated Stockholders Agreement”), Mr. Wynn and Elaine P. Wynn have agreed to vote the shares of the Company’s common stock held by them subject to the terms of the Amended and Restated Stockholders Agreement in a manner so as to elect to our Board of Directors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our Board of Directors. In addition, with stated exceptions, the Amended and Restated Stockholders Agreement requires the written consent of the other party prior to any party selling any shares of the Company’s common stock that it owns.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June 2012, in connection with the pending litigation between the Company and Aruze USA, Inc., Elaine P. Wynn submitted a cross claim against Mr. Wynn and Kazuo Okada seeking to void the Amended and Restated Stockholders Agreement. The Wynn Las Vegas indentures provide that if Mr. Wynn, together with certain related parties, in the aggregate beneficially owns a lesser percentage of the outstanding common stock of the Company than is beneficially owned by any other person, a change of control will have occurred. If Elaine Wynn prevails in her cross claim, Mr. Wynn would not beneficially own or control Elaine Wynn’s shares and a change in control may result under the Indentures. For additional information on the cross claim, see Item 8—“Notes to the Consolidated Financial Statements”, Note 8 “Long-Term Debt” and Note 16 “Commitments and Contingencies”.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Wynn Resorts’ common stock by either Mr. Wynn or Aruze USA, Inc. from Nevada’s acquisition of controlling interest statutes. In light of the determination by the Board of Directors on February 18, 2012 that each of Aruze USA, Inc., Universal Entertainment Corporation and Mr. Kazuo Okada is an “Unsuitable Person” under the Company’s articles of incorporation and the redemption and cancellation of Aruze USA Inc.’s shares of Company common stock, our Fifth Amended and Restated Bylaws amended these provisions to delete the reference to Aruze USA, Inc.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 third, (ii) one-third or more but less than a majority, or (iii) a majority or more, of the voting power in the election of directors. As a result of these bylaws provisions, Mr. Wynn or his affiliates may acquire ownership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outstanding voting shares of Wynn Resorts permitting him or them to exercise more than one-third but less than a majority, or a majority or more, of all of the voting power of the Company in the election of directors, without requiring a resolution of the Company’s stockholders granting voting rights in the control shares acquired.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Substantial Indebtedness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 substantial amount of consolidated debt in relation to our equity. As of December 31, 2012, we had total outstanding debt of approximately $5.8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billion. This amount reflects a portion of the funds we need to construct our Cotai project. However, as our project budget is an estimate only as of the date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 we may require additional financing to complete construction of our Cotai project. The estimated project budget for our Cotai project is in the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billion to $4.0 billion and we expect to enter into a guaranteed maximum price contract for the project construction costs in the first half of 2013. See Item—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“Business”, “Construction and Development Opportunities”. In addition, we may incur additional indebtedness if certain conditions are met,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under our Wynn Macau credit facilities and our Wynn Las Vegas indentures, as applicable, including but not limited to in connection with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development plans in the future. Furthermore, on February 18, 2012, we issued a subordinated promissory note with a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$1.9 billion in redemption of all of the shares of Wynn Resorts common stock held by Aruze USA, Inc. (the “Redemption Note”). For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on the redemption and the Redemption Note, see Item 3—“Legal Proceedings” and Item 8—“Notes to Consolidated Financial Statements”, Note 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Our substantial indebtedness could have important consequences. For example:</w:t>
      </w:r>
    </w:p>
    <w:p>
      <w:pPr>
        <w:spacing w:after="0" w:line="84" w:lineRule="exact"/>
        <w:rPr>
          <w:sz w:val="20"/>
          <w:szCs w:val="20"/>
          <w:color w:val="auto"/>
        </w:rPr>
      </w:pPr>
    </w:p>
    <w:p>
      <w:pPr>
        <w:ind w:left="440" w:right="160" w:hanging="324"/>
        <w:spacing w:after="0" w:line="332"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repossess and foreclose upon any assets that serve as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case of secured debt, initiate judicial foreclosure against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440" w:right="260" w:hanging="324"/>
        <w:spacing w:after="0" w:line="256"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operations of Wynn Las Vegas and Wynn Macau to service and amortize, as applicable, our indebtedness at Wynn Las Vegas and Wynn Macau, respectively, which will reduce the amount of available cash, if any, to fund working capital, other capital expenditures and other general corporate purposes at Wynn Las Vegas and Wynn Macau, respectively, and may give us greater exposure to adverse economic and industry conditions;</w:t>
      </w:r>
    </w:p>
    <w:p>
      <w:pPr>
        <w:spacing w:after="0" w:line="62" w:lineRule="exact"/>
        <w:rPr>
          <w:rFonts w:ascii="Arial" w:cs="Arial" w:eastAsia="Arial" w:hAnsi="Arial"/>
          <w:sz w:val="18"/>
          <w:szCs w:val="18"/>
          <w:color w:val="auto"/>
        </w:rPr>
      </w:pPr>
    </w:p>
    <w:p>
      <w:pPr>
        <w:ind w:left="440" w:hanging="324"/>
        <w:spacing w:after="0" w:line="291"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Aruze USA, Inc., Universal Entertainment Corporation and Kazuo Okada have challenged the redemption of Aruze USA, Inc.’s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3—“Legal Proceedings” and Item 8—“Notes to Consolidated Financial Statements”, Note 16 “Commitments and Contingencies”.</w:t>
      </w:r>
    </w:p>
    <w:p>
      <w:pPr>
        <w:spacing w:after="0" w:line="39" w:lineRule="exact"/>
        <w:rPr>
          <w:rFonts w:ascii="Arial" w:cs="Arial" w:eastAsia="Arial" w:hAnsi="Arial"/>
          <w:sz w:val="16"/>
          <w:szCs w:val="16"/>
          <w:color w:val="auto"/>
        </w:rPr>
      </w:pPr>
    </w:p>
    <w:p>
      <w:pPr>
        <w:ind w:left="440" w:right="160" w:hanging="324"/>
        <w:spacing w:after="0" w:line="255"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and high unemployment due to adverse economic and industry conditions, and could fail to generate sufficient cash to fund our liquidity needs and/or fail to satisfy the financial and other restrictive covenants to which we are subject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440" w:right="44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18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440" w:right="18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the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and such bankruptcy proceedings will delay or impair the repayment of our debt.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subject to certain limitations, we are permitted to incur additional indebtedness, including secured and unsecured senior and subordinated indebtedness. If we incur additional indebtedness, the risks described above will be exacerbated.</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Following the Company’s press release on February 19, 2012 relating to the redemption of Aruze USA, Inc.’s shares of Wynn Resorts’ common stock and the issuance of the Redemption Price Promissory Note, Standard &amp; Poor’s Ratings Services and Fitch Ratings revised their ratings outlooks on Wynn Resorts to stable from positive, although they did not change their ratings of Wynn Resorts. (Moody’s did not revise the ratings or outlook for Wynn Resorts as a result of the announcement.) Such ratings agency actions could make it more difficult for us to obtain additional financing on acceptable terms.</w:t>
      </w:r>
    </w:p>
    <w:p>
      <w:pPr>
        <w:spacing w:after="0" w:line="194" w:lineRule="exact"/>
        <w:rPr>
          <w:sz w:val="20"/>
          <w:szCs w:val="20"/>
          <w:color w:val="auto"/>
        </w:rPr>
      </w:pPr>
    </w:p>
    <w:p>
      <w:pPr>
        <w:ind w:left="240" w:right="64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Some of our debt facilities require us to satisfy various financial covenants, which include requirements for minimum interest coverage ratios and leverage ratios pertaining to total debt to earnings before interest, tax, depreciation and amortization (both currently required for our Wynn Macau credit facilities).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would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59"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and such event also could result in an event of default under other debt. We cannot assure you that our assets or cash flow would be sufficient to fully repay borrowings under our outstanding debt if accelerated upon an event of default, or that we would be able to repay, refinance or restructure the payments on such debt.</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Wynn Macau were to cease to produce cash flow sufficient to service its indebtedness or otherwise become unable to make certain payments or dividends to us which we in turn could use to service our indebtedness, our ability to service the indebtedness at Wynn Macau or Wynn Las Vegas could be negatively impacted.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currently own approximately 238 acres of land on or near the Las Vegas Strip consisting of approximately 75 acres at the northeast corner of the intersection of Las Vegas Boulevard and Sands Avenue on which Wynn Las Vegas is located, the approximately 140-acre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and an office building.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government of Macau owns most of the land in Macau. In most cases, private interests in real property located in Macau are obtained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where Wynn Macau is located. The term of the land concession contract is 25 years from August 2004, and it may be renewed with government approval for successive periods. Wynn Macau, S.A. paid a land concession premium of approximately 319.4 million patacas (approximately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$40 million) for this land concession. In 2009, the Company and the Macau government agreed to modify this land concession as a result of the expansion of Wynn Macau with Encore at Wynn Macau and the additional square footage that was added as a result of such expansion. In November 2009, the Company made an additional one-time land premium payment of approximately 113.4 million patacas (approximately US $14.2 million). Annual rent of approximately 4.2 million patacas (approximately US $525,000) is being paid in accordance with the land concession contract.</w:t>
      </w:r>
    </w:p>
    <w:p>
      <w:pPr>
        <w:spacing w:after="0" w:line="11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September 2011, Palo Real Estate Company Limited (“Palo”) and Wynn Resorts (Macau) S.A.,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Company is constructing a full scale integrated resort containing a casino, luxury hotel, convention, retail, entertainment and food and beverage offerings on this land. The Company estimates the project budget to be in the range of $3.5 billion to $4.0 billion. The Company expects to</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enter into a guaranteed maximum price contract for the project construction costs in the first half of 2013. We expect to open our resort in Cotai during the first half of 2016.</w:t>
      </w:r>
    </w:p>
    <w:p>
      <w:pPr>
        <w:spacing w:after="0" w:line="13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initial term of the Cotai land concession contract is 25 years from May 2, 2012, and it may be renewed with government approval for successive periods. Palo made an initial payment of 500 million patacas (approximately US$62.5 million) in December 2011. Additionally, Palo is obligated to pay, in eight additional semi-annual installments, a total of 938.8 million patacas (approximately US $117.6 million) plus interest at 5%, beginning November 2012. The Company will also be required to make annual lease payments of 6.2 million patacas (approximately US $0.8 million) during the resort construction period and annual payments of 8.6 million patacas (approximately US $1.1 million) once the development is completed.</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1A—“Risk Factors” and Item 8—Notes to Consolidated Financial Statements, Note 16 “Commitments and Contingencies,”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3, 2010, Atlantic-Pacific Capital, Inc. (“APC”) filed an arbitration demand with JAMS, a private alternative dispute resolution provider,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matter is proceeding in arbitration, and an arbitrator recently has been selected. Management believes that APC’s claims against the Company are without merit, and the Company continues to defend this matter vigorously.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February 18, 2012, Wynn Resorts’ Gaming Compliance Committee concluded an investigation after receiving an independent report by Freeh, Sporkin &amp; Sullivan, LLP (the “Freeh Report”) detailing a pattern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misconduct by Aruze USA, Inc., at the time a stockholder of Wynn Resorts, Universal Entertainment Corporation, Aruze USA, Inc.’s parent company, and Kazuo Okada, the majority shareholder of Universal Entertainment Corporation, who, until February 21, 2013, was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 and has refused to participate in the training all other directors have received concerning these policies.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persons”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18"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authorizing the redemption of the Aruze USA, Inc. shares, the Board of Directors took certain actions to protect the Company and its operations from any influence of an unsuitable person, including placing limitations on the provision of certain operating information to unsuitable persons, evaluating whether to seek the removal of Mr. Okada from the Company’s Board of Directors, and the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On February 24, 2012, the Board of Directors of Wynn Macau, Limited removed Mr. Kazuo Okada from the board. On January 3, 2013, the Company filed a definitive proxy statement on Schedule 14A (“Proxy Statement”) for a special meeting of the stockholders to consider and vote upon a proposal to remove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Okada as a director of the Company (“Removal Proposal”). On January 24, 2013, Mr. Okada filed a complaint in the United States District Court, District of Nevada against the Company, alleging that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Mr. Okada, Aruze USA, Inc. and Universal Entertainment Corporation (companies controlled by Mr. Okada) (the “Okada Parties”), alleging breaches of fiduciary duty and related claims. The Company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1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that purports to assert claims against the Company, each of the members of the Company’s Board of Directors (other than Mr. Okada) and Wynn Resorts’ General Counsel (the “Wynn Parties”). As amended, the Okada Parties’ counterclaim alleges, among other things: (1) that the shares of Wynn Resorts common stock owned by Aruze USA, Inc. were exempt from the redemption-for-unsuitability provisions in the Wynn Resorts articles of incorporation pursuant to certain agreements executed in 2002;</w:t>
      </w:r>
    </w:p>
    <w:p>
      <w:pPr>
        <w:spacing w:after="0" w:line="2" w:lineRule="exact"/>
        <w:rPr>
          <w:sz w:val="20"/>
          <w:szCs w:val="20"/>
          <w:color w:val="auto"/>
        </w:rPr>
      </w:pPr>
    </w:p>
    <w:p>
      <w:pPr>
        <w:ind w:firstLine="8"/>
        <w:spacing w:after="0" w:line="285"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that the Wynn Resorts directors who authorized the redemption of Aruze USA, Inc.’s shares acted at the direction of Stephen A. Wynn and did not independently and objectively evaluate Mr. Okada’s, Universal Entertainment Corporation’s, and Aruze USA, Inc.’s suitability, and by so doing, breached their fiduciary duties; (3) that the Wynn Resorts directors violated the terms of the Wynn Resorts articles of incorporation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amended counterclaim seeks a declaration that the redemption of Aruze USA, Inc.’s shares was void, an injunction restoring Aruze USA, Inc.’s share ownership, damages in an unspecified amount and rescission of the Amended and Restated Stockholders Agreement. On August 31, 2012, Aruze USA, Inc. filed a motion for preliminary injunction with the Nevada state court. The motion sought an order that would prohibit Wynn Resorts from barring or preventing Aruze USA, Inc. from exercising rights as a stockholder at the November 2, 2012 annual meeting of Wynn Resorts’ stockholders. On October 2, 2012, the Nevada state court denied Aruze USA, Inc.’s motion for preliminary injunction. On October 19, 2012, Aruze USA, Inc. filed a notice of appeal with the Nevada Supreme Court. The appeal was assigned to the Nevada Supreme Court’s mediation program, has not progressed, and is pending. Wynn Resorts intends to vigorously defend against the appeal and to argue that the Nevada Supreme Court should affirm the state court’s decision denying Aruze USA, Inc.’s motion for a preliminary injunction.</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complaint, as amended, and the Okada Parties’ counterclaim, as amended, were challenged at the pleading stage through motion practice. At a hearing held on November 13, 2012, the Nevada state court denied the Wynn Parties’ motion to dismiss the Okada Parties’ amended counterclaim, but dismissed the Okada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Parties’ claims under the Nevada Racketeer Influenced and Corrupt Organizations Act. At a hearing held on January 15, 2013, the court denied the Okada Parties’ motion to dismiss the Company’s amended complaint.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13, 2013, the Okada Parties filed a motion in the Nevada state court in which they asked the court to establish a “disputed ownership fund” as defined in a federal tax regulation. Specifically, the motion sought an order establishing an escrow account to hold the Redemption Note issued to Aruze USA, Inc. as compensation for the shares of Wynn Resorts common stock redeemed by the board of directors in February 2012 in light of the board’s determination of unsuitability, as well as the redeemed shares themselves (although those shares were previously cancelled in February 2012), pending a resolution of the state court action. The order sought by the Okada Parties would also require the Company to, among other things, make any payments on the Redemption Note into the escrow account. A hearing on the motion has been set for March 22, 2013. The Company believes there is no basis for the relief requested in the motion and intends to oppose the motion vigorously.</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is vigorously pursuing its claims against the Okada Parties, and the Company and the other counter-defendants are vigorously defending against the counterclaims asserted against them.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1A—“Risk Factors” and Item 8—“Notes to Consolidated Financial Statements”, Note 16 “Commitments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Matters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In February 2013, the Nevada Gaming Control Board informed the Company that it has completed its investigation of allegations made by Mr. Okada against the Company regarding the activities of Mr. Wynn and related entities in Macau and found no violations of the Gaming Control Act or the Nevada Gaming Commission Regulations.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19, 2012, Elaine Wynn responded to the Okada Parties’ counterclaim and asserted a cross claim against Steve Wynn and Kazuo Okada seeking a declaration that (1) any and all of Elaine Wynn’s duties under the January 2010 Stockholders Agreement (the “Stockholders Agreement”) by and among Aruze USA, Inc.,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2022 Notes and Existing Notes (the “Indentures”) provide that if Steve Wynn, together with certain related parties,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Books and Records Action:</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January 11, 2012, Mr. Okada, in his role as a Wynn Resorts’ director, commenced a writ proceeding in the Eighth Judicial District Court, Clark County, Nevada, seeking to compel the Company to produce certain books and records relating to a donation to the University of Macau, among other things.</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served on those boards. The sole dissenting vote was cast by Mr. Okada whose stated objection was to the length of time over which the donation would occur, not its propriety.</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the Company, Mr. Okada had the right to make a reasonable inspection of the Company’s corporate books and records. Following the hearing, the Company released certain documents to Mr. Okada for his inspection. At a subsequent hearing on March 8, 2012, the court considered Mr. Okada’s request that the Company’s Board of Directors make additional documents available to him, and ruled that Mr. Okada was entitled to inspect two additional pages of documents. The Company promptly complied with the court’s ruling.</w:t>
      </w:r>
    </w:p>
    <w:p>
      <w:pPr>
        <w:spacing w:after="0" w:line="113"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On May 25, 2012, Mr. Okada amended his petition to request inspection of additional records. Following a hearing held on October 2, 2012, the court ruled that Mr. Okada is entitled to review certain additional Company documents from the 2000 to 2002 time period. The Company promptly complied with the court’s ruling. On November 2, 2012, Mr. Okada filed a motion to compel the production of additional documents and to depose a witness designated by the Company.</w:t>
      </w:r>
    </w:p>
    <w:p>
      <w:pPr>
        <w:spacing w:after="0" w:line="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At the conclusion of a hearing held on November 8, 2012, the court denied Mr. Okada’s motion. The Company has not received any further requests for information by Mr. Okada in relation to this matter as of the date of this report.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 Inquiry:</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is fully cooperating with the Salt Lake Regional Office staff.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Japan Action: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August 28, 2012, Mr. Okada, Universal Entertainment Corporation and Okada Holdings filed a complaint in Tokyo District Court against the Company, all members of the Board of Directors (other than Mr. Okada) and the Company’s General Counsel, alleging that the press release issued by the Company with respect to the redemption has damaged plaintiffs’ social evaluation and credibility. The plaintiffs seek damages and legal fees from the defendants. The Company and the other counter-defendants are vigorously defending against the claims asserted against them in this matter.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Federal Securities Action:</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January 3, 2013, the Company filed a definitive proxy statement on Schedule 14A (“Proxy Statement”) for a special meeting of the stockholders to consider and vote upon a proposal to remove 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Derivative Litigation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140" w:firstLine="8"/>
        <w:spacing w:after="0" w:line="287"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are against the Company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of Directors. The dismissal was without prejudice to the Federal Plaintiffs’ ability to file a motion within 30 days seeking leave to file an amended complaint.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Although the stay has now expired, the State Plaintiffs have agreed to further extend the defendants’ time to respond to the consolidated complaint to allow the State Plaintiffs additional time to consider their plans for the action going forward, including a possible extension by agreement of the stay in the state derivative action.</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left="1040" w:right="4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2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$132.59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104.62</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$138.28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$116.47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90.11</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$123.64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103.34</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Year Ended December 31, 2011</w:t>
            </w: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$132.25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106.08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$151.73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128.15</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282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9"/>
              </w:rPr>
              <w:t>$172.58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shd w:val="clear" w:color="auto" w:fill="CCEEFF"/>
          </w:tcPr>
          <w:p>
            <w:pPr>
              <w:spacing w:after="0"/>
              <w:rPr>
                <w:sz w:val="18"/>
                <w:szCs w:val="18"/>
                <w:color w:val="auto"/>
              </w:rPr>
            </w:pPr>
          </w:p>
        </w:tc>
      </w:tr>
      <w:tr>
        <w:trPr>
          <w:trHeight w:val="222"/>
        </w:trPr>
        <w:tc>
          <w:tcPr>
            <w:tcW w:w="45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82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$142.20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101.02</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199 record holders of our common stock as of February 14,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In addition, the terms of the other loan agreements of Wynn Las Vegas, LLC and Wynn Macau, S.A. contain similar restrictions. Our Company has paid the following dividends:</w:t>
      </w:r>
    </w:p>
    <w:p>
      <w:pPr>
        <w:spacing w:after="0" w:line="37" w:lineRule="exact"/>
        <w:rPr>
          <w:sz w:val="20"/>
          <w:szCs w:val="20"/>
          <w:color w:val="auto"/>
        </w:rPr>
      </w:pPr>
    </w:p>
    <w:p>
      <w:pPr>
        <w:ind w:left="900" w:right="1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November 2012, we paid a cash dividend of $8 per share. In each of March 2012, June 2012 and August 2012, we paid a cash dividend of $0.50 per share.</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December 2011, we paid a cash dividend of $5 per share. In each of May 2011, August 2011 and November 2011, we paid a cash dividend of $0.50 per share.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increased its quarterly dividend to $1.00 per share in 2013. On January 31, 2013, we announced a cash dividend of $1.00 per share, that was paid on February 28, 2013 to stockholders of record as of February 14, 2013. Our Board of Directors will continue to periodically assess the level and appropriateness of any cash dividends.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tables reflect selected consolidated financial data of Wynn Resorts and its subsidiaries. This data should be read together with our Consolidated Financial Statements and Notes thereto, “Item 7. Management’s Discussion and Analysis of Financial Condition and Results of Operations” and the other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information contained in this Annual Report on Form 10-K. Operating results for the periods presented are not indicative of the results that may be expected for future years. Significant events impacting our selected financial data include:</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28, 2005, we opened our Wynn Las Vegas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September 6, 2006, we opened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24, 2007, we opened an expansion of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22, 2008, we opened Encore at Wynn Las Vegas, an expansion of Wynn Las Vegas.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October 9, 2009, Wynn Macau, Limited listed its shares of common stock on The Stock Exchange of Hong Kong Limited. Wynn Macau, Limited sold 27.7% of its common stock through an initial public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21, 2010, we opened Encore at Wynn Macau, an expansion of Wynn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18, 2012, we redeemed and cancelled Aruze USA, Inc.’s 24,549,222 shares of Wynn Resorts common stock.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578"/>
              <w:spacing w:after="0" w:line="142" w:lineRule="exact"/>
              <w:rPr>
                <w:sz w:val="20"/>
                <w:szCs w:val="20"/>
                <w:color w:val="auto"/>
              </w:rPr>
            </w:pPr>
            <w:r>
              <w:rPr>
                <w:rFonts w:ascii="Arial" w:cs="Arial" w:eastAsia="Arial" w:hAnsi="Arial"/>
                <w:sz w:val="14"/>
                <w:szCs w:val="14"/>
                <w:b w:val="1"/>
                <w:bCs w:val="1"/>
                <w:color w:val="auto"/>
              </w:rPr>
              <w:t>2011</w:t>
            </w:r>
          </w:p>
        </w:tc>
        <w:tc>
          <w:tcPr>
            <w:tcW w:w="1280" w:type="dxa"/>
            <w:vAlign w:val="bottom"/>
            <w:tcBorders>
              <w:bottom w:val="single" w:sz="8" w:color="auto"/>
            </w:tcBorders>
            <w:gridSpan w:val="2"/>
          </w:tcPr>
          <w:p>
            <w:pPr>
              <w:jc w:val="center"/>
              <w:ind w:right="274"/>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gridSpan w:val="5"/>
          </w:tcPr>
          <w:p>
            <w:pPr>
              <w:jc w:val="center"/>
              <w:ind w:right="57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revenues</w:t>
            </w:r>
          </w:p>
        </w:tc>
        <w:tc>
          <w:tcPr>
            <w:tcW w:w="1580" w:type="dxa"/>
            <w:vAlign w:val="bottom"/>
            <w:gridSpan w:val="4"/>
          </w:tcPr>
          <w:p>
            <w:pPr>
              <w:jc w:val="right"/>
              <w:ind w:right="32"/>
              <w:spacing w:after="0"/>
              <w:rPr>
                <w:sz w:val="20"/>
                <w:szCs w:val="20"/>
                <w:color w:val="auto"/>
              </w:rPr>
            </w:pPr>
            <w:r>
              <w:rPr>
                <w:rFonts w:ascii="Arial" w:cs="Arial" w:eastAsia="Arial" w:hAnsi="Arial"/>
                <w:sz w:val="18"/>
                <w:szCs w:val="18"/>
                <w:color w:val="auto"/>
              </w:rPr>
              <w:t>$5,154,284</w:t>
            </w:r>
          </w:p>
        </w:tc>
        <w:tc>
          <w:tcPr>
            <w:tcW w:w="1540" w:type="dxa"/>
            <w:vAlign w:val="bottom"/>
            <w:gridSpan w:val="3"/>
          </w:tcPr>
          <w:p>
            <w:pPr>
              <w:jc w:val="right"/>
              <w:ind w:right="298"/>
              <w:spacing w:after="0"/>
              <w:rPr>
                <w:sz w:val="20"/>
                <w:szCs w:val="20"/>
                <w:color w:val="auto"/>
              </w:rPr>
            </w:pPr>
            <w:r>
              <w:rPr>
                <w:rFonts w:ascii="Arial" w:cs="Arial" w:eastAsia="Arial" w:hAnsi="Arial"/>
                <w:sz w:val="18"/>
                <w:szCs w:val="18"/>
                <w:color w:val="auto"/>
              </w:rPr>
              <w:t>$ 5,269,792</w:t>
            </w:r>
          </w:p>
        </w:tc>
        <w:tc>
          <w:tcPr>
            <w:tcW w:w="1280" w:type="dxa"/>
            <w:vAlign w:val="bottom"/>
            <w:gridSpan w:val="2"/>
          </w:tcPr>
          <w:p>
            <w:pPr>
              <w:jc w:val="right"/>
              <w:ind w:right="334"/>
              <w:spacing w:after="0"/>
              <w:rPr>
                <w:sz w:val="20"/>
                <w:szCs w:val="20"/>
                <w:color w:val="auto"/>
              </w:rPr>
            </w:pPr>
            <w:r>
              <w:rPr>
                <w:rFonts w:ascii="Arial" w:cs="Arial" w:eastAsia="Arial" w:hAnsi="Arial"/>
                <w:sz w:val="18"/>
                <w:szCs w:val="18"/>
                <w:color w:val="auto"/>
                <w:w w:val="88"/>
              </w:rPr>
              <w:t>$ 4,184,698</w:t>
            </w:r>
          </w:p>
        </w:tc>
        <w:tc>
          <w:tcPr>
            <w:tcW w:w="1100" w:type="dxa"/>
            <w:vAlign w:val="bottom"/>
            <w:gridSpan w:val="2"/>
          </w:tcPr>
          <w:p>
            <w:pPr>
              <w:jc w:val="right"/>
              <w:ind w:right="175"/>
              <w:spacing w:after="0"/>
              <w:rPr>
                <w:sz w:val="20"/>
                <w:szCs w:val="20"/>
                <w:color w:val="auto"/>
              </w:rPr>
            </w:pPr>
            <w:r>
              <w:rPr>
                <w:rFonts w:ascii="Arial" w:cs="Arial" w:eastAsia="Arial" w:hAnsi="Arial"/>
                <w:sz w:val="18"/>
                <w:szCs w:val="18"/>
                <w:color w:val="auto"/>
                <w:w w:val="86"/>
              </w:rPr>
              <w:t>$ 3,045,611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2,987,324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9,496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1,817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1,029,276</w:t>
            </w:r>
          </w:p>
        </w:tc>
        <w:tc>
          <w:tcPr>
            <w:tcW w:w="440" w:type="dxa"/>
            <w:vAlign w:val="bottom"/>
          </w:tcPr>
          <w:p>
            <w:pPr>
              <w:spacing w:after="0"/>
              <w:rPr>
                <w:sz w:val="18"/>
                <w:szCs w:val="18"/>
                <w:color w:val="auto"/>
              </w:rPr>
            </w:pPr>
          </w:p>
        </w:tc>
        <w:tc>
          <w:tcPr>
            <w:tcW w:w="1100" w:type="dxa"/>
            <w:vAlign w:val="bottom"/>
            <w:gridSpan w:val="2"/>
          </w:tcPr>
          <w:p>
            <w:pPr>
              <w:jc w:val="right"/>
              <w:ind w:right="298"/>
              <w:spacing w:after="0"/>
              <w:rPr>
                <w:sz w:val="20"/>
                <w:szCs w:val="20"/>
                <w:color w:val="auto"/>
              </w:rPr>
            </w:pPr>
            <w:r>
              <w:rPr>
                <w:rFonts w:ascii="Arial" w:cs="Arial" w:eastAsia="Arial" w:hAnsi="Arial"/>
                <w:sz w:val="18"/>
                <w:szCs w:val="18"/>
                <w:color w:val="auto"/>
                <w:w w:val="87"/>
              </w:rPr>
              <w:t>1,008,240</w:t>
            </w:r>
          </w:p>
        </w:tc>
        <w:tc>
          <w:tcPr>
            <w:tcW w:w="1280" w:type="dxa"/>
            <w:vAlign w:val="bottom"/>
            <w:gridSpan w:val="2"/>
          </w:tcPr>
          <w:p>
            <w:pPr>
              <w:jc w:val="right"/>
              <w:ind w:right="334"/>
              <w:spacing w:after="0"/>
              <w:rPr>
                <w:sz w:val="20"/>
                <w:szCs w:val="20"/>
                <w:color w:val="auto"/>
              </w:rPr>
            </w:pPr>
            <w:r>
              <w:rPr>
                <w:rFonts w:ascii="Arial" w:cs="Arial" w:eastAsia="Arial" w:hAnsi="Arial"/>
                <w:sz w:val="18"/>
                <w:szCs w:val="18"/>
                <w:color w:val="auto"/>
              </w:rPr>
              <w:t>625,252</w:t>
            </w:r>
          </w:p>
        </w:tc>
        <w:tc>
          <w:tcPr>
            <w:tcW w:w="24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w w:val="89"/>
              </w:rPr>
              <w:t>234,963</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312,136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728,699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825,113</w:t>
            </w:r>
          </w:p>
        </w:tc>
        <w:tc>
          <w:tcPr>
            <w:tcW w:w="1280" w:type="dxa"/>
            <w:vAlign w:val="bottom"/>
            <w:gridSpan w:val="2"/>
            <w:shd w:val="clear" w:color="auto" w:fill="CCEEFF"/>
          </w:tcPr>
          <w:p>
            <w:pPr>
              <w:jc w:val="right"/>
              <w:ind w:right="334"/>
              <w:spacing w:after="0"/>
              <w:rPr>
                <w:sz w:val="20"/>
                <w:szCs w:val="20"/>
                <w:color w:val="auto"/>
              </w:rPr>
            </w:pPr>
            <w:r>
              <w:rPr>
                <w:rFonts w:ascii="Arial" w:cs="Arial" w:eastAsia="Arial" w:hAnsi="Arial"/>
                <w:sz w:val="18"/>
                <w:szCs w:val="18"/>
                <w:color w:val="auto"/>
              </w:rPr>
              <w:t>316,596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39,107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210,479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8"/>
              </w:rPr>
              <w:t>(226,663)</w:t>
            </w:r>
          </w:p>
        </w:tc>
        <w:tc>
          <w:tcPr>
            <w:tcW w:w="440" w:type="dxa"/>
            <w:vAlign w:val="bottom"/>
          </w:tcPr>
          <w:p>
            <w:pPr>
              <w:spacing w:after="0"/>
              <w:rPr>
                <w:sz w:val="18"/>
                <w:szCs w:val="18"/>
                <w:color w:val="auto"/>
              </w:rPr>
            </w:pPr>
          </w:p>
        </w:tc>
        <w:tc>
          <w:tcPr>
            <w:tcW w:w="1100" w:type="dxa"/>
            <w:vAlign w:val="bottom"/>
            <w:gridSpan w:val="2"/>
          </w:tcPr>
          <w:p>
            <w:pPr>
              <w:jc w:val="right"/>
              <w:ind w:right="258"/>
              <w:spacing w:after="0"/>
              <w:rPr>
                <w:sz w:val="20"/>
                <w:szCs w:val="20"/>
                <w:color w:val="auto"/>
              </w:rPr>
            </w:pPr>
            <w:r>
              <w:rPr>
                <w:rFonts w:ascii="Arial" w:cs="Arial" w:eastAsia="Arial" w:hAnsi="Arial"/>
                <w:sz w:val="18"/>
                <w:szCs w:val="18"/>
                <w:color w:val="auto"/>
                <w:w w:val="95"/>
              </w:rPr>
              <w:t>(211,742)</w:t>
            </w:r>
          </w:p>
        </w:tc>
        <w:tc>
          <w:tcPr>
            <w:tcW w:w="1280" w:type="dxa"/>
            <w:vAlign w:val="bottom"/>
            <w:gridSpan w:val="2"/>
          </w:tcPr>
          <w:p>
            <w:pPr>
              <w:jc w:val="right"/>
              <w:ind w:right="274"/>
              <w:spacing w:after="0"/>
              <w:rPr>
                <w:sz w:val="20"/>
                <w:szCs w:val="20"/>
                <w:color w:val="auto"/>
              </w:rPr>
            </w:pPr>
            <w:r>
              <w:rPr>
                <w:rFonts w:ascii="Arial" w:cs="Arial" w:eastAsia="Arial" w:hAnsi="Arial"/>
                <w:sz w:val="18"/>
                <w:szCs w:val="18"/>
                <w:color w:val="auto"/>
              </w:rPr>
              <w:t>(156,469)</w:t>
            </w:r>
          </w:p>
        </w:tc>
        <w:tc>
          <w:tcPr>
            <w:tcW w:w="240" w:type="dxa"/>
            <w:vAlign w:val="bottom"/>
          </w:tcPr>
          <w:p>
            <w:pPr>
              <w:spacing w:after="0"/>
              <w:rPr>
                <w:sz w:val="18"/>
                <w:szCs w:val="18"/>
                <w:color w:val="auto"/>
              </w:rPr>
            </w:pPr>
          </w:p>
        </w:tc>
        <w:tc>
          <w:tcPr>
            <w:tcW w:w="860" w:type="dxa"/>
            <w:vAlign w:val="bottom"/>
          </w:tcPr>
          <w:p>
            <w:pPr>
              <w:jc w:val="right"/>
              <w:ind w:right="115"/>
              <w:spacing w:after="0"/>
              <w:rPr>
                <w:sz w:val="20"/>
                <w:szCs w:val="20"/>
                <w:color w:val="auto"/>
              </w:rPr>
            </w:pPr>
            <w:r>
              <w:rPr>
                <w:rFonts w:ascii="Arial" w:cs="Arial" w:eastAsia="Arial" w:hAnsi="Arial"/>
                <w:sz w:val="18"/>
                <w:szCs w:val="18"/>
                <w:color w:val="auto"/>
                <w:w w:val="95"/>
              </w:rPr>
              <w:t>(18,453)</w:t>
            </w:r>
          </w:p>
        </w:tc>
        <w:tc>
          <w:tcPr>
            <w:tcW w:w="30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502,036</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613,371</w:t>
            </w:r>
          </w:p>
        </w:tc>
        <w:tc>
          <w:tcPr>
            <w:tcW w:w="1280" w:type="dxa"/>
            <w:vAlign w:val="bottom"/>
            <w:gridSpan w:val="2"/>
            <w:shd w:val="clear" w:color="auto" w:fill="CCEEFF"/>
          </w:tcPr>
          <w:p>
            <w:pPr>
              <w:jc w:val="right"/>
              <w:ind w:right="334"/>
              <w:spacing w:after="0"/>
              <w:rPr>
                <w:sz w:val="20"/>
                <w:szCs w:val="20"/>
                <w:color w:val="auto"/>
              </w:rPr>
            </w:pPr>
            <w:r>
              <w:rPr>
                <w:rFonts w:ascii="Arial" w:cs="Arial" w:eastAsia="Arial" w:hAnsi="Arial"/>
                <w:sz w:val="18"/>
                <w:szCs w:val="18"/>
                <w:color w:val="auto"/>
              </w:rPr>
              <w:t>160,127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20,654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210,479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Basic income per share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4.87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ind w:right="298"/>
              <w:spacing w:after="0"/>
              <w:rPr>
                <w:sz w:val="20"/>
                <w:szCs w:val="20"/>
                <w:color w:val="auto"/>
              </w:rPr>
            </w:pPr>
            <w:r>
              <w:rPr>
                <w:rFonts w:ascii="Arial" w:cs="Arial" w:eastAsia="Arial" w:hAnsi="Arial"/>
                <w:sz w:val="18"/>
                <w:szCs w:val="18"/>
                <w:color w:val="auto"/>
              </w:rPr>
              <w:t>4.94</w:t>
            </w:r>
          </w:p>
        </w:tc>
        <w:tc>
          <w:tcPr>
            <w:tcW w:w="3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4"/>
              <w:spacing w:after="0"/>
              <w:rPr>
                <w:sz w:val="20"/>
                <w:szCs w:val="20"/>
                <w:color w:val="auto"/>
              </w:rPr>
            </w:pPr>
            <w:r>
              <w:rPr>
                <w:rFonts w:ascii="Arial" w:cs="Arial" w:eastAsia="Arial" w:hAnsi="Arial"/>
                <w:sz w:val="18"/>
                <w:szCs w:val="18"/>
                <w:color w:val="auto"/>
              </w:rPr>
              <w:t>1.30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0.17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4.88</w:t>
            </w:r>
          </w:p>
        </w:tc>
        <w:tc>
          <w:tcPr>
            <w:tcW w:w="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351"/>
        </w:trPr>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4"/>
                <w:szCs w:val="14"/>
                <w:b w:val="1"/>
                <w:bCs w:val="1"/>
                <w:color w:val="auto"/>
                <w:w w:val="86"/>
              </w:rPr>
              <w:t>As of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14"/>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gridSpan w:val="5"/>
          </w:tcPr>
          <w:p>
            <w:pPr>
              <w:jc w:val="center"/>
              <w:ind w:right="13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$ 1,725,219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1,262,587</w:t>
            </w:r>
          </w:p>
        </w:tc>
        <w:tc>
          <w:tcPr>
            <w:tcW w:w="1280" w:type="dxa"/>
            <w:vAlign w:val="bottom"/>
            <w:gridSpan w:val="2"/>
          </w:tcPr>
          <w:p>
            <w:pPr>
              <w:jc w:val="right"/>
              <w:ind w:right="94"/>
              <w:spacing w:after="0"/>
              <w:rPr>
                <w:sz w:val="20"/>
                <w:szCs w:val="20"/>
                <w:color w:val="auto"/>
              </w:rPr>
            </w:pPr>
            <w:r>
              <w:rPr>
                <w:rFonts w:ascii="Arial" w:cs="Arial" w:eastAsia="Arial" w:hAnsi="Arial"/>
                <w:sz w:val="18"/>
                <w:szCs w:val="18"/>
                <w:color w:val="auto"/>
              </w:rPr>
              <w:t>$ 1,258,499</w:t>
            </w:r>
          </w:p>
        </w:tc>
        <w:tc>
          <w:tcPr>
            <w:tcW w:w="1100" w:type="dxa"/>
            <w:vAlign w:val="bottom"/>
            <w:gridSpan w:val="2"/>
          </w:tcPr>
          <w:p>
            <w:pPr>
              <w:jc w:val="right"/>
              <w:ind w:right="55"/>
              <w:spacing w:after="0"/>
              <w:rPr>
                <w:sz w:val="20"/>
                <w:szCs w:val="20"/>
                <w:color w:val="auto"/>
              </w:rPr>
            </w:pPr>
            <w:r>
              <w:rPr>
                <w:rFonts w:ascii="Arial" w:cs="Arial" w:eastAsia="Arial" w:hAnsi="Arial"/>
                <w:sz w:val="18"/>
                <w:szCs w:val="18"/>
                <w:color w:val="auto"/>
                <w:w w:val="98"/>
              </w:rPr>
              <w:t>$ 1,991,830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1,133,904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110,490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28,477</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22,901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457,594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221,696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7,276,594</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6,899,496</w:t>
            </w:r>
          </w:p>
        </w:tc>
        <w:tc>
          <w:tcPr>
            <w:tcW w:w="38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w w:val="87"/>
              </w:rPr>
              <w:t>6,674,497</w:t>
            </w:r>
          </w:p>
        </w:tc>
        <w:tc>
          <w:tcPr>
            <w:tcW w:w="240" w:type="dxa"/>
            <w:vAlign w:val="bottom"/>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w w:val="87"/>
              </w:rPr>
              <w:t>7,581,769</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6,755,788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6,041,285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3,096,149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7"/>
              </w:rPr>
              <w:t>3,405,983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7"/>
              </w:rPr>
              <w:t>3,695,821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4,430,436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Stockholders’ equity[3]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103,932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2,223,454</w:t>
            </w:r>
          </w:p>
        </w:tc>
        <w:tc>
          <w:tcPr>
            <w:tcW w:w="38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w w:val="87"/>
              </w:rPr>
              <w:t>2,380,585</w:t>
            </w:r>
          </w:p>
        </w:tc>
        <w:tc>
          <w:tcPr>
            <w:tcW w:w="240" w:type="dxa"/>
            <w:vAlign w:val="bottom"/>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w w:val="87"/>
              </w:rPr>
              <w:t>3,160,363</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1,601,595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declared per common share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9.50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bl>
    <w:p>
      <w:pPr>
        <w:spacing w:after="0" w:line="194" w:lineRule="exact"/>
        <w:rPr>
          <w:sz w:val="20"/>
          <w:szCs w:val="20"/>
          <w:color w:val="auto"/>
        </w:rPr>
      </w:pPr>
    </w:p>
    <w:p>
      <w:pPr>
        <w:ind w:left="460" w:right="200" w:hanging="452"/>
        <w:spacing w:after="0" w:line="252"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Net income attributable to noncontrolling interest represents the noncontrolling interests’ share of our net income of Wynn Macau, Limited.</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long-term debt, the required contract premium payments under our land concession contract at Wynn Macau, future charitable contributions and deferred income taxes.</w:t>
      </w:r>
    </w:p>
    <w:p>
      <w:pPr>
        <w:ind w:left="460" w:right="88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February 2012, in connection with the redemption and cancellation of Aruze USA, Inc.’s 24,549,222 shares of Wynn Resorts common stock, stockholders’ equity was reduced by $1.94 billion,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face amount of the Redemption Note. Aruze USA has challenged the redemption and cancellation of the 24,549,222 shares and legal proceedings are ongoing. Please see Item 3—“Legal Proceedings”.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I Encore, which we refer to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resort as Wynn Macau I Encore or as our Macau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February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1000" w:type="dxa"/>
            <w:vAlign w:val="bottom"/>
          </w:tcPr>
          <w:p>
            <w:pPr>
              <w:spacing w:after="0"/>
              <w:rPr>
                <w:sz w:val="12"/>
                <w:szCs w:val="12"/>
                <w:color w:val="auto"/>
              </w:rPr>
            </w:pPr>
          </w:p>
        </w:tc>
        <w:tc>
          <w:tcPr>
            <w:tcW w:w="22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Approximate Casino</w:t>
            </w:r>
          </w:p>
        </w:tc>
        <w:tc>
          <w:tcPr>
            <w:tcW w:w="23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Approximate Number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760" w:type="dxa"/>
            <w:vAlign w:val="bottom"/>
          </w:tcPr>
          <w:p>
            <w:pPr>
              <w:spacing w:after="0"/>
              <w:rPr>
                <w:sz w:val="14"/>
                <w:szCs w:val="14"/>
                <w:color w:val="auto"/>
              </w:rPr>
            </w:pPr>
          </w:p>
        </w:tc>
        <w:tc>
          <w:tcPr>
            <w:tcW w:w="17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0"/>
              </w:rPr>
              <w:t>Suites</w:t>
            </w:r>
          </w:p>
        </w:tc>
        <w:tc>
          <w:tcPr>
            <w:tcW w:w="22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Square Footage</w:t>
            </w:r>
          </w:p>
        </w:tc>
        <w:tc>
          <w:tcPr>
            <w:tcW w:w="23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6"/>
              </w:rPr>
              <w:t>of Table Games</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of Slots</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2"/>
              </w:rPr>
              <w:t>186,000</w:t>
            </w:r>
          </w:p>
        </w:tc>
        <w:tc>
          <w:tcPr>
            <w:tcW w:w="10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240</w:t>
            </w:r>
          </w:p>
        </w:tc>
        <w:tc>
          <w:tcPr>
            <w:tcW w:w="10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Macau Operations</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1,008</w:t>
            </w:r>
          </w:p>
        </w:tc>
        <w:tc>
          <w:tcPr>
            <w:tcW w:w="2200" w:type="dxa"/>
            <w:vAlign w:val="bottom"/>
            <w:gridSpan w:val="2"/>
          </w:tcPr>
          <w:p>
            <w:pPr>
              <w:ind w:left="640"/>
              <w:spacing w:after="0"/>
              <w:rPr>
                <w:sz w:val="20"/>
                <w:szCs w:val="20"/>
                <w:color w:val="auto"/>
              </w:rPr>
            </w:pPr>
            <w:r>
              <w:rPr>
                <w:rFonts w:ascii="Arial" w:cs="Arial" w:eastAsia="Arial" w:hAnsi="Arial"/>
                <w:sz w:val="18"/>
                <w:szCs w:val="18"/>
                <w:color w:val="auto"/>
              </w:rPr>
              <w:t>275,000</w:t>
            </w:r>
          </w:p>
        </w:tc>
        <w:tc>
          <w:tcPr>
            <w:tcW w:w="2300" w:type="dxa"/>
            <w:vAlign w:val="bottom"/>
            <w:gridSpan w:val="2"/>
          </w:tcPr>
          <w:p>
            <w:pPr>
              <w:ind w:left="1020"/>
              <w:spacing w:after="0"/>
              <w:rPr>
                <w:sz w:val="20"/>
                <w:szCs w:val="20"/>
                <w:color w:val="auto"/>
              </w:rPr>
            </w:pPr>
            <w:r>
              <w:rPr>
                <w:rFonts w:ascii="Arial" w:cs="Arial" w:eastAsia="Arial" w:hAnsi="Arial"/>
                <w:sz w:val="18"/>
                <w:szCs w:val="18"/>
                <w:color w:val="auto"/>
              </w:rPr>
              <w:t>495</w:t>
            </w:r>
          </w:p>
        </w:tc>
        <w:tc>
          <w:tcPr>
            <w:tcW w:w="12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95,000 square feet of high-end, brand-name retail shopping, including stores and boutiques by Alexander McQueen, Brioni, Cartier, Chanel, Chloé, Chopard, Dior, Graff, Hermes, IWC Schaffhausen, Jaeger-Lecoultre, Loro Piana, Louis Vuitton, Manolo Blahnik, Oscar de la Renta, Piaget, Vertu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response to our evaluation of our Las Vegas Operations and the reactions of our guests, we have and expect to continue to make enhancements and refinements to this resort complex. During 2012, we remodeled two of our restaurants, and rebranded several retail outlets.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900" w:right="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275,000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Approximately 55,000 square feet of high-end, brand-name retail shopping, including stores and boutiques by Bvlgari, Cartier, Chanel, Dior, Dunhill, Ferrari, Giorgio Armani, Graff, Gucci, Hermes, Hugo Boss, Jaegar-LeCoultre, Louis Vuitton, Miu Miu, Piaget, Prada, Roger Dubuis, Rolex, Tiffany, Tudor, Vacheron Constantin, Van Cleef &amp; Arpels, Versace, Vertu, Ermenegildo Zegna and others;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 During 2012, we converted certain storage and office areas to two new retail outlets, enhanced our fountain show in the front of the hotel, and converted some of our employee training rooms to gaming space.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May 2, 2012, the land concession contract for approximately 51 acres of land in the Cotai area of Macau was gazetted, evidencing the final step in the granting of the land concession. We are constructing a full scale integrated resort containing a casino, luxury hotel, convention, retail, entertainment and food and beverage offerings on this land. We estimate the project budget to be in the range of $3.5 billion to $4.0 billion. We expect to enter into a guaranteed maximum price contract for the construction costs in the first half of 2013. We expect to open our resort in Cotai during the first half of 2016.</w:t>
      </w:r>
    </w:p>
    <w:p>
      <w:pPr>
        <w:spacing w:after="0" w:line="11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We continually seek out new opportunities for additional gaming or related businesses, in the United States, and worldwide. We recently filed gaming applications and plan to participate in the competitive bidding process for a gaming license in both Massachusetts and Pennsylvania as part of our strategy to expand in select markets. In addition, we are exploring various international jurisdictions for expansion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table below presents our net revenues (amounts in thousands). Our results for the years presented are not comparable as the years ended December 31, 2012 and 2011 includes full year of operations for Encore at Wynn Macau which opened on April 21, 2010.</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6"/>
              </w:rPr>
              <w:t>For the Years Ended 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14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$ 1,486,830</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$ 1,480,719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1,296,064</w:t>
            </w: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3,667,454</w:t>
            </w:r>
          </w:p>
        </w:tc>
        <w:tc>
          <w:tcPr>
            <w:tcW w:w="5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3,789,073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2,888,634</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$ 5,154,284</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$ 5,269,792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4,184,698</w:t>
            </w: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our operational performance for the periods for which a Consolidated Statement of Income is presented. There are two methods used to calculate win percentage in the casino industry. In Las Vegas and in the general casino in Macau, customers usually purchase cash chips at the gaming tables. The cash and net markers used to purchase the cash chips are deposited in the gaming table’s drop box. This is the base of measurement that we use in the casino at our Las Vegas Operations and in the general casino at our Macau Operations for calculating win percentage.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Because of this difference in chip purchase activity, the measurement base used in the general casino is not the same that is used in the VIP casino. It is customary in Macau to measure VIP casino play using this rolling chip method. For 2012, our expected win as a percentage of turnover was 2.7% to 3.0%.</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Las Vegas and the general casino in Macau. As a result, the expected win percentage with the same amount of gaming win is smaller in the VIP casino in Macau when compared to Las Vegas and the general casino in Macau.</w:t>
      </w:r>
    </w:p>
    <w:p>
      <w:pPr>
        <w:spacing w:after="0" w:line="143"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Even though both use the same measurement method, we experience different table games win percentages in Las Vegas and the general casino in Macau. This difference is primarily due to the difference in the mix of table games and customer playing habits between the two casinos. Each type of table game has its own theoretical win percentage. For 2012, our expected table games win percentage in Las Vegas was 21% to 24%. Our expected table games win percentage in the general casino at Wynn Macau, which we have periodically revised based on our experience since the opening of the Encore at Wynn Macau expansion, was 28% to 30%.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2012 compared to the year ended December 31,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2012 are comprised of $4,034.8 million in casino revenues (78.3% of total net revenues) and $1,119.5 million of net non-casino revenues (21.7% of total net revenues). Net revenues for the year ended December 31, 2011 are comprised of $4,190.5 million in casino revenues (79.5% of total net revenues) and $1,079.3 million of net non-casino revenues (20.5% of total net revenues).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Casino revenues are primarily comprised of the net win from our table games and slot machine operations. Casino revenues for the year ended December 31, 2012 of $4,034.8 million represents a $155.7 million (3.7%) decrease from casino revenues of $4,190.5 million for the year ended December 31, 2011. Our Las Vegas Operations experienced a $32.9 million (5.3%) decrease in casino revenues to $592.3 million, compared to the prior year casino revenues of $625.2 million due to a decrease in our table games win percentage (before discounts). Our Macau Operations experienced a $122.8 million (3.4%) decrease in casino revenues to $3,442.5 million for the year ended December 31, 2012, compared to the prior year due to lower turnover and hold percentage in our VIP casino.</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Las Vegas and Macau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416"/>
              <w:spacing w:after="0" w:line="129" w:lineRule="exact"/>
              <w:rPr>
                <w:sz w:val="20"/>
                <w:szCs w:val="20"/>
                <w:color w:val="auto"/>
              </w:rPr>
            </w:pPr>
            <w:r>
              <w:rPr>
                <w:rFonts w:ascii="Arial" w:cs="Arial" w:eastAsia="Arial" w:hAnsi="Arial"/>
                <w:sz w:val="14"/>
                <w:szCs w:val="14"/>
                <w:b w:val="1"/>
                <w:bCs w:val="1"/>
                <w:color w:val="auto"/>
                <w:w w:val="95"/>
              </w:rPr>
              <w:t>Increase/</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r>
      <w:tr>
        <w:trPr>
          <w:trHeight w:val="161"/>
        </w:trPr>
        <w:tc>
          <w:tcPr>
            <w:tcW w:w="3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10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100" w:type="dxa"/>
            <w:vAlign w:val="bottom"/>
          </w:tcPr>
          <w:p>
            <w:pPr>
              <w:jc w:val="right"/>
              <w:ind w:right="376"/>
              <w:spacing w:after="0"/>
              <w:rPr>
                <w:sz w:val="20"/>
                <w:szCs w:val="20"/>
                <w:color w:val="auto"/>
              </w:rPr>
            </w:pPr>
            <w:r>
              <w:rPr>
                <w:rFonts w:ascii="Arial" w:cs="Arial" w:eastAsia="Arial" w:hAnsi="Arial"/>
                <w:sz w:val="14"/>
                <w:szCs w:val="14"/>
                <w:b w:val="1"/>
                <w:bCs w:val="1"/>
                <w:color w:val="auto"/>
                <w:w w:val="86"/>
              </w:rPr>
              <w:t>(Decrease)</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3"/>
          </w:tcPr>
          <w:p>
            <w:pPr>
              <w:jc w:val="right"/>
              <w:ind w:right="896"/>
              <w:spacing w:after="0" w:line="142" w:lineRule="exact"/>
              <w:rPr>
                <w:sz w:val="20"/>
                <w:szCs w:val="20"/>
                <w:color w:val="auto"/>
              </w:rPr>
            </w:pPr>
            <w:r>
              <w:rPr>
                <w:rFonts w:ascii="Arial" w:cs="Arial" w:eastAsia="Arial" w:hAnsi="Arial"/>
                <w:sz w:val="14"/>
                <w:szCs w:val="14"/>
                <w:color w:val="auto"/>
                <w:w w:val="94"/>
              </w:rPr>
              <w:t>(amounts in thousands)</w:t>
            </w: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Las Vegas Operations: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Drop</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2,591,833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2,366,711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6"/>
              <w:spacing w:after="0"/>
              <w:rPr>
                <w:sz w:val="20"/>
                <w:szCs w:val="20"/>
                <w:color w:val="auto"/>
              </w:rPr>
            </w:pPr>
            <w:r>
              <w:rPr>
                <w:rFonts w:ascii="Arial" w:cs="Arial" w:eastAsia="Arial" w:hAnsi="Arial"/>
                <w:sz w:val="18"/>
                <w:szCs w:val="18"/>
                <w:color w:val="auto"/>
              </w:rPr>
              <w:t>225,122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(3.0) pts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Slot machine handle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2,908,678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2,738,261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6"/>
              <w:spacing w:after="0"/>
              <w:rPr>
                <w:sz w:val="20"/>
                <w:szCs w:val="20"/>
                <w:color w:val="auto"/>
              </w:rPr>
            </w:pPr>
            <w:r>
              <w:rPr>
                <w:rFonts w:ascii="Arial" w:cs="Arial" w:eastAsia="Arial" w:hAnsi="Arial"/>
                <w:sz w:val="18"/>
                <w:szCs w:val="18"/>
                <w:color w:val="auto"/>
              </w:rPr>
              <w:t>170,417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177,420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170,027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7,393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322"/>
        </w:trPr>
        <w:tc>
          <w:tcPr>
            <w:tcW w:w="3760" w:type="dxa"/>
            <w:vAlign w:val="bottom"/>
          </w:tcPr>
          <w:p>
            <w:pPr>
              <w:spacing w:after="0"/>
              <w:rPr>
                <w:sz w:val="20"/>
                <w:szCs w:val="20"/>
                <w:color w:val="auto"/>
              </w:rPr>
            </w:pPr>
            <w:r>
              <w:rPr>
                <w:rFonts w:ascii="Arial" w:cs="Arial" w:eastAsia="Arial" w:hAnsi="Arial"/>
                <w:sz w:val="18"/>
                <w:szCs w:val="18"/>
                <w:b w:val="1"/>
                <w:bCs w:val="1"/>
                <w:color w:val="auto"/>
              </w:rPr>
              <w:t>Macau Operations: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VIP Casino</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VIP turnover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w w:val="85"/>
              </w:rPr>
              <w:t>119,251,854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w w:val="85"/>
              </w:rPr>
              <w:t>123,099,838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w w:val="86"/>
              </w:rPr>
              <w:t>(3,847,984)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VIP win as a % of turnover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(0.09) pts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General Casino</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2,764,664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2,769,284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(4,620)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Table games win %</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100" w:type="dxa"/>
            <w:vAlign w:val="bottom"/>
          </w:tcPr>
          <w:p>
            <w:pPr>
              <w:jc w:val="right"/>
              <w:ind w:right="236"/>
              <w:spacing w:after="0"/>
              <w:rPr>
                <w:sz w:val="20"/>
                <w:szCs w:val="20"/>
                <w:color w:val="auto"/>
              </w:rPr>
            </w:pPr>
            <w:r>
              <w:rPr>
                <w:rFonts w:ascii="Arial" w:cs="Arial" w:eastAsia="Arial" w:hAnsi="Arial"/>
                <w:sz w:val="18"/>
                <w:szCs w:val="18"/>
                <w:color w:val="auto"/>
              </w:rPr>
              <w:t>2.1 pts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4,697,463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5,400,697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(703,234)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Slot machine win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247,020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277,124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(30,104)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bl>
    <w:p>
      <w:pPr>
        <w:spacing w:after="0" w:line="14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For the year ended December 31, 2012, room revenues were $480 million, an increase of $7.9 million (1.7%) compared to prior year room revenue of $472.1 million. Room revenue at our Las Vegas Operations increased $8.3 million (2.3%) to $362.3 million compared to the prior year room revenue of $354 million. In Las Vegas, we experienced an increase in room rates during the year ended December 31, 2012, however our occupancy rate decreased 3.2 percentage points, both compared to the prior year. We were able to achieve an increase in ADR as we adjusted rates to attract a higher quality customer who would take advantage of all aspects of our resort. Room revenue at our Macau Operations did not change significantly during the year ended December 31, 2012.</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9"/>
              </w:rPr>
              <w:t>Years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$ 252</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$ 242</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82.9%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93.0%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$ 209</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$ 208</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2012, included food and beverage revenues of $588.4 million, retail revenues of $261.6 million, entertainment revenues of $81.8 million, and other revenues from outlets such as the spa and salon, of $73.8 million. Other non-gaming revenues for the year ended December 31, 2011, included food and beverage revenues of $547.7 million, retail revenues of $260.8 million, entertainment revenues of $82.2 million, and other revenues from outlets, including the spa and salon, of $71.8 million. Food and beverage revenues at our Las Vegas Operations increased $36.3 million (8%), while our Macau Operations increased $4.4 million (4.8%), as compared to the prior year. The increase in Las Vegas is due primarily to strong business in our beach club and nightclubs. Retail revenues at our Macau Operations increased $2.6 million (1.5%), while retail at our Las Vegas Operations decreased by $1.8 million (2.1%). The increase at Wynn Macau is due primarily to strong same-store sales growth combined with new stores from the first half of 2012. Retail revenues at our Las Vegas Operations decreased as we reconfigured the Encore retail area and rebranded several retail outlets. Entertainment revenues decreased $0.4 million (0.5%) from the prior year primarily due to a Las Vegas show that ended its run in November 2012 and another Las Vegas show that ended in April 2011.</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the year ended December 31, 2012, departmental expenses included casino expenses of $2,626.8 million, room expenses of $126.5 million, food and beverage expenses of $308.4 million, and entertainment, retail and other expenses of $189.8 million. Also included are general and administrative expenses of approximately $441.7 million and $18.1 million charged as a provision for doubtful accounts receivable. For the year ended December 31, 2011, departmental expenses included casino expenses of $2,686.4 million, room expenses of $125.3 million, food and beverage expenses of $283.9 million, and entertainment, retail and other expenses of $214.4 million. Also included are general and administrative expenses of approximately $389.1 million and approximately $33.8 million charged as a provision for doubtful accounts receivable. Casino expenses have decreased during the year ended December 31, 2012 due to lower volume which caused lower junket commission expense and lower gaming taxes at our Macau Operations (where we incur a gaming tax and other levies at a rate totaling 39% in accordance with the concession agreement). Although our room revenues increased $7.9 million (1.7%), room expenses increased only $1.2 million (1%) as the revenue increase was driven primarily by increased ADR. Food and beverage expenses increased over the prior year primarily due to additional nightclub promotional costs in Las Vegas. The decrease in entertainment, retail and other expenses was driven by the conversion of certain owned retail stores to leased outlets in Macau resulting in lower cost of sales. General and administrative expense increased primarily due to legal and other costs incurred related to the share redemption and litigation with a former stockholder, higher advertising costs, development and other activities. The provision for doubtful accounts decreased during the year ended December 31, 2012 as we recorded an adjustment of $30.9 million that benefitted our reserve estimates for casino accounts receivable based on the results of historical collection patterns and current collection trends.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began to incur pre-opening costs during October 2012 related to the design and planning for our resort in the Cotai area of Macau. We expect our pre-opening costs to increase in the future as construction and development of our resort in Cotai continues toward the expected completion in the first half of 2016. There were no pre-opening expenses incurred during the year ended December 31,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2012, was $373.2 million compared to $398 million for the year ended December 31, 2011. Depreciation expense decreased due to assets with a 5-year life being fully depreciated as of September 2011 at our Macau Operations and assets with a three and six year life becoming fully depreciated throughout 2011 at our Las Vegas Operations.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Property charges and other for the year ended December 31, 2012, were $40 million compared to $130.6 million for the year ended December 31, 2011. Property charges and other for the year ended December 31, 2012 include a remodel of two Las Vegas restaurants, charges associated with the termination of a Las Vegas show that ended its run in November 2012, charges associated with the reconfiguration of Las Vegas retail areas and miscellaneous renovations and abandonments at our resorts.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Property charges and other for the year ended December 31, 2011 include a charge of $109.6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Consolidated Statements of Income has been discounted using our then estimated borrowing rate over the time period of the remaining committed payments. Also included are the write off of certain off-site golf memberships by Wynn Las Vegas, miscellaneous renovations and abandonments at our resorts, including modifications of the Encore at Wynn Las Vegas and Wynn Macau retail esplanades, closure of the Blush nightclub and the write off of certain costs related to a show that ended its run in Las Vegas in April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income was $12.5 million and $7.7 million for the years ended December 31, 2012 and 2011, respectively. This increase in mainly due to higher cash balances during 2012. During 2012 and 2011, our short-term investment strategy has been to preserve capital while retaining sufficient liquidity. Beginning in April 2011, we have invested in certain corporate bond securities and commercial paper, in addition to holding money-market accounts, U.S. Treasury Bills and bank time deposits with a maturity of three months or less, which has contributed to the increase in interest income.</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Interest expense was $288.8 million, net of capitalized interest of $2 million for the year ended December 31, 2012, compared to $229.9 million, net of capitalized interest of $0, for the year 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December 31, 2011. Our interest expense increased compared to the prior year primarily due to the issuance of the $1.94 billion Redemption Note by Wynn Resorts, the issuance of the Wynn Las Vegas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and the increase in the Wynn Macau term loan offset by the reduction of $370.9 million in Wynn Las Vegas term loan borrowings, all as described in Notes to Consolidated Financial Statements, Note 8—“Long-Term Debt”.</w:t>
      </w:r>
    </w:p>
    <w:p>
      <w:pPr>
        <w:spacing w:after="0" w:line="143" w:lineRule="exact"/>
        <w:rPr>
          <w:sz w:val="20"/>
          <w:szCs w:val="20"/>
          <w:color w:val="auto"/>
        </w:rPr>
      </w:pPr>
    </w:p>
    <w:p>
      <w:pPr>
        <w:ind w:right="480" w:firstLine="456"/>
        <w:spacing w:after="0" w:line="323" w:lineRule="auto"/>
        <w:rPr>
          <w:sz w:val="20"/>
          <w:szCs w:val="20"/>
          <w:color w:val="auto"/>
        </w:rPr>
      </w:pPr>
      <w:r>
        <w:rPr>
          <w:rFonts w:ascii="Arial" w:cs="Arial" w:eastAsia="Arial" w:hAnsi="Arial"/>
          <w:sz w:val="15"/>
          <w:szCs w:val="15"/>
          <w:color w:val="auto"/>
        </w:rPr>
        <w:t>Changes in the fair value of our interest rate swaps are recorded as an increase (decrease) in swap fair value in each period. We recorded a gain of $1 million for the year ended December 31, 2012, resulting from the changes in the fair value of our interest rate swaps during the year. For the year ended December 31, 2011, we recorded a gain of $14.2 million resulting from the increase in the fair value of interest rate swaps between December 31, 2010 and December 31, 2011. For further information on our interest rate swaps, see Item 7A—“Quantitative and Qualitative Disclosures about Market Risk.”</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60" w:firstLine="456"/>
        <w:spacing w:after="0" w:line="287" w:lineRule="auto"/>
        <w:rPr>
          <w:sz w:val="20"/>
          <w:szCs w:val="20"/>
          <w:color w:val="auto"/>
        </w:rPr>
      </w:pPr>
      <w:r>
        <w:rPr>
          <w:rFonts w:ascii="Arial" w:cs="Arial" w:eastAsia="Arial" w:hAnsi="Arial"/>
          <w:sz w:val="16"/>
          <w:szCs w:val="16"/>
          <w:color w:val="auto"/>
        </w:rPr>
        <w:t>For the year ended December 31, 2012, we recorded a tax expense of $4.3 million. Our income tax expense is primarily related to the timing of the payment of dividends from Macau, stock option exercises and capital expenditures. Since June 30, 2010, we have no longer considered our portion of the tax earnings and profits of Wynn Macau, Limited to be permanently reinvested. No additional U.S. tax provision has been made with respect to amounts not considered permanently reinvested as we anticipate that U.S. foreign tax credits should be sufficient to eliminate any U.S. tax provision relating to such repatriation. We have not provided deferred U.S. income taxes or foreign withholding taxes on temporary differences which are considered indefinitely reinvested. On November 30, 2010, Wynn Macau, S.A. received a second 5-year exemption from Macau’s 12% Complementary Tax on casino gaming profits, thereby exempting the casino gaming profits of Wynn Macau, S.A. through December 31, 2015. Accordingly, we were exempted from the payment of approximately $87.1 million and $82.7 million in such taxes for the years ended December 31, 2012 and 2011, respectively. Our non-gaming profits remain subject to the Macau Complementary Tax and casino winnings remain subject to the Macau Special Gaming tax and other levies at a rate totaling 39% in accordance with our concession agreement.</w:t>
      </w:r>
    </w:p>
    <w:p>
      <w:pPr>
        <w:spacing w:after="0" w:line="12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April 2012, the Company reached an agreement with the Appellate division of the Internal Revenue Service (“IRS”) regarding issues raised during the examination of the 2006 through 2009 U.S. income tax returns. The settlement with the Appellate division did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December 2012, the IRS completed an examination of the Company’s 2010 U.S. income tax return and had no changes. For tax years 2011 and 2012, the Company is participating in the IRS Compliance Assurance Program (“CAP”). Under the CAP program, the IRS and the taxpayer work together in a pre-filing environment to examine transactions and issues and thus complete the tax examination before the tax return is filed. In February 2013, the Company received notification that it had been accepted into the IRS CAP for the 2013 tax year. The Company believes the IRS will complete their examination of the 2011 tax year in the next 12 months. The Company does not expect a change in its unrecognized tax benefits as a result of the completion of the examination.</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In November 2012, the Company received the results of the examination. While no additional tax was due, adjustments were made to the Company’s foreign net operating loss carryforwards.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January 2013, the Macau Finance Bureau examined the 2009 and 2010 Macau income tax returns of Palo Real Estate Company Limited, which is a co-holder of the land concession for the resort in Cotai. The exam resulted in no change to the tax returns.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October 2009, Wynn Macau, Limited, an indirect wholly owned subsidiary, listed its ordinary shares of common stock on The Stock Exchange of Hong Kong Limited. Wynn Macau, Limited sold 1,437,500,000 shares (27.7%) of its common stock through an initial public offering. We recorded net income attributable to noncontrolling interests of $226.7 million for the year ended December 31, 2012, compared to $211.7 million for the year ended December 31, 2011. This represents the noncontrolling interests’ share of net income from Wynn Macau, Limited for each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2011 compared to the year ended December 31,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for the year ended December 31, 2011 are comprised of $4,190.5 million in casino revenues (79.5% of total net revenues) and $1,079.3 million of net non-casino revenues (20.5% of total net revenues). Net revenues for the year ended December 31, 2010 are comprised of $3,245.1 million in casino revenues (77.5% of total net revenues) and $939.6 million of net non-casino revenues (22.5% of total net revenues).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Casino revenues are primarily comprised of the net win from our table games and slot machine operations. Casino revenues for the year ended December 31, 2011 of $4,190.5 million represents a $945.4 million (29.1%) increase from casino revenues of $3,245.1 million for the year ended December 31, 2010. Our Las Vegas Operations experienced a $90.9 million (17%) increase in casino revenues to $625.2 million, compared to the prior year casino revenues of $534.3 million due to a 9.9% increase in drop and an increase in our average table games win percentage. Our Macau Operations experienced a $854.5 million (31.5%) increase in casino revenues to $3,565.3 million for the year ended December 31, 2011, compared to the prior year casino revenue of $2,710.8 million due a 34.9% increase in turnover in our VIP casino offset by a lower win percentage.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Las Vegas and Macau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796"/>
              <w:spacing w:after="0"/>
              <w:rPr>
                <w:sz w:val="20"/>
                <w:szCs w:val="20"/>
                <w:color w:val="auto"/>
              </w:rPr>
            </w:pPr>
            <w:r>
              <w:rPr>
                <w:rFonts w:ascii="Arial" w:cs="Arial" w:eastAsia="Arial" w:hAnsi="Arial"/>
                <w:sz w:val="14"/>
                <w:szCs w:val="14"/>
                <w:b w:val="1"/>
                <w:bCs w:val="1"/>
                <w:color w:val="auto"/>
                <w:w w:val="88"/>
              </w:rPr>
              <w:t>Years Ended 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516"/>
              <w:spacing w:after="0" w:line="129" w:lineRule="exact"/>
              <w:rPr>
                <w:sz w:val="20"/>
                <w:szCs w:val="20"/>
                <w:color w:val="auto"/>
              </w:rPr>
            </w:pPr>
            <w:r>
              <w:rPr>
                <w:rFonts w:ascii="Arial" w:cs="Arial" w:eastAsia="Arial" w:hAnsi="Arial"/>
                <w:sz w:val="14"/>
                <w:szCs w:val="14"/>
                <w:b w:val="1"/>
                <w:bCs w:val="1"/>
                <w:color w:val="auto"/>
                <w:w w:val="95"/>
              </w:rPr>
              <w:t>Increase/</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1"/>
                <w:szCs w:val="11"/>
                <w:color w:val="auto"/>
              </w:rPr>
            </w:pPr>
          </w:p>
        </w:tc>
      </w:tr>
      <w:tr>
        <w:trPr>
          <w:trHeight w:val="16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w w:val="86"/>
              </w:rPr>
              <w:t>(Decrease)</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3"/>
          </w:tcPr>
          <w:p>
            <w:pPr>
              <w:jc w:val="right"/>
              <w:ind w:right="896"/>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Las Vegas Operations: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Drop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2,366,711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w w:val="97"/>
              </w:rPr>
              <w:t>2,152,846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6"/>
              <w:spacing w:after="0"/>
              <w:rPr>
                <w:sz w:val="20"/>
                <w:szCs w:val="20"/>
                <w:color w:val="auto"/>
              </w:rPr>
            </w:pPr>
            <w:r>
              <w:rPr>
                <w:rFonts w:ascii="Arial" w:cs="Arial" w:eastAsia="Arial" w:hAnsi="Arial"/>
                <w:sz w:val="18"/>
                <w:szCs w:val="18"/>
                <w:color w:val="auto"/>
              </w:rPr>
              <w:t>213,865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2.7 pts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Slot machine handle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2,738,261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w w:val="97"/>
              </w:rPr>
              <w:t>2,734,912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6"/>
              <w:spacing w:after="0"/>
              <w:rPr>
                <w:sz w:val="20"/>
                <w:szCs w:val="20"/>
                <w:color w:val="auto"/>
              </w:rPr>
            </w:pPr>
            <w:r>
              <w:rPr>
                <w:rFonts w:ascii="Arial" w:cs="Arial" w:eastAsia="Arial" w:hAnsi="Arial"/>
                <w:sz w:val="18"/>
                <w:szCs w:val="18"/>
                <w:color w:val="auto"/>
              </w:rPr>
              <w:t>3,349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170,027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158,912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11,115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Macau Operations: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VIP Casino</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VIP turnover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85"/>
              </w:rPr>
              <w:t>123,099,838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w w:val="86"/>
              </w:rPr>
              <w:t>91,283,674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6"/>
              <w:spacing w:after="0"/>
              <w:rPr>
                <w:sz w:val="20"/>
                <w:szCs w:val="20"/>
                <w:color w:val="auto"/>
              </w:rPr>
            </w:pPr>
            <w:r>
              <w:rPr>
                <w:rFonts w:ascii="Arial" w:cs="Arial" w:eastAsia="Arial" w:hAnsi="Arial"/>
                <w:sz w:val="18"/>
                <w:szCs w:val="18"/>
                <w:color w:val="auto"/>
                <w:w w:val="84"/>
              </w:rPr>
              <w:t>31,816,164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VIP win as a % of turnover</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(0.07) pts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General Casino</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2,769,284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7"/>
              </w:rPr>
              <w:t>2,344,706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424,578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Table games win %</w:t>
            </w:r>
          </w:p>
        </w:tc>
        <w:tc>
          <w:tcPr>
            <w:tcW w:w="10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28.4%</w:t>
            </w:r>
          </w:p>
        </w:tc>
        <w:tc>
          <w:tcPr>
            <w:tcW w:w="40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1200" w:type="dxa"/>
            <w:vAlign w:val="bottom"/>
          </w:tcPr>
          <w:p>
            <w:pPr>
              <w:jc w:val="right"/>
              <w:ind w:right="336"/>
              <w:spacing w:after="0"/>
              <w:rPr>
                <w:sz w:val="20"/>
                <w:szCs w:val="20"/>
                <w:color w:val="auto"/>
              </w:rPr>
            </w:pPr>
            <w:r>
              <w:rPr>
                <w:rFonts w:ascii="Arial" w:cs="Arial" w:eastAsia="Arial" w:hAnsi="Arial"/>
                <w:sz w:val="18"/>
                <w:szCs w:val="18"/>
                <w:color w:val="auto"/>
              </w:rPr>
              <w:t>4.8%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5,400,697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7"/>
              </w:rPr>
              <w:t>4,206,886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4"/>
              </w:rPr>
              <w:t>1,193,811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Slot machine win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277,124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218,486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6"/>
              <w:spacing w:after="0"/>
              <w:rPr>
                <w:sz w:val="20"/>
                <w:szCs w:val="20"/>
                <w:color w:val="auto"/>
              </w:rPr>
            </w:pPr>
            <w:r>
              <w:rPr>
                <w:rFonts w:ascii="Arial" w:cs="Arial" w:eastAsia="Arial" w:hAnsi="Arial"/>
                <w:sz w:val="18"/>
                <w:szCs w:val="18"/>
                <w:color w:val="auto"/>
              </w:rPr>
              <w:t>58,638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year ended December 31, 2011, room revenues were $472.1 million, an increase of $71.8 million (17.9%) compared to prior year room revenue of $400.3 million. Room revenue at our Las Vegas Operations increased $45.6 million (14.8%) compared to the prior year. In Las Vegas, we experienced an increase in room rates during the year ended December 31, 2011, compared to the prior year, with a 1.9 percentage point decrease in occupancy rate. We were able to achieve an increase in ADR as we adjusted rates to attract a higher quality customer who would take advantage of all aspects of our resort. Room revenue at our Macau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increased $26.2 million (28.5%) due to increases in both occupancy rate and room rates compared to the prior year, as well as the inclusion of a full year of the 414 additional suites added with the opening of Encore at Wynn Macau in April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9"/>
              </w:rPr>
              <w:t>Years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$ 242</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$ 210</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86.1%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91.8%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$ 208</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Other non-casino revenues for the year ended December 31, 2011, included food and beverage revenues of $547.7 million, retail revenues of $260.8 million, entertainment revenues of $82.2 million, and other revenues from outlets such as the spa and salon, of $71.8 million. Other non-gaming revenues for the year ended December 31, 2010, included food and beverage revenues of $488.1 million, retail revenues of $214.6 million, entertainment revenues of $72 million, and other revenues from outlets, including the spa and salon, of $67.7 million. Food and beverage revenues at our Las Vegas Operations increased $37.5 million (9.0%), while our Macau Operations increased $22.1 million (31.3%), as compared to the prior year. The increase in Las Vegas is due primarily to business in our nightclubs including the full year of operations for the Encore Beach Club and Surrender Nightclub (which opened in May 2010) and increases in our catering and restaurant business. The increase in Macau is due to increased visitation to our resort and a full year of operations from Encore at Wynn Macau which opened in April 2010. Retail revenues at our Macau Operations increased $42.6 million (32.3%), while retail at our Las Vegas Operations increased by $3.6 million (4.3%). The increase at Wynn Macau is due primarily to strong same-store sales growth and the addition of three new boutiques at Encore at Wynn Macau. Entertainment revenues increased $10.2 million (14.1%) over the prior year primarily due to increased revenue from Garth Brooks, who performs in the Encore Theater, and the Sinatra “Dance with Me” show, both in Las Vegas. The Sinatra “Dance with Me” show ended its run on April 23, 2011.</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year ended December 31, 2011, departmental expenses included casino expenses of $2,686.4 million, room expenses of $125.3 million, food and beverage expenses of $283.9 million, and entertainment, retail and other expenses of $214.4 million. Also included are general and administrative expenses of approximately $389.1 million and $33.8 million charged as a provision for doubtful accounts receivable. For the year ended December 31, 2010, departmental expenses included casino expenses of $2,100.1 million, room expenses of $122.3 million, food and beverage expenses of $272.7 million, and entertainment, retail and other expenses of $204.6 million. Also included are general and administrative expenses of approximately $391.3 million and approximately $28.3 million charged as a provision for doubtful accounts receivable. Casino expenses have increased during the year ended December 31, 2011 due to an increase in casino revenues at both of our Las Vegas Operations and at our Macau Operations (where we incur a gaming tax and other levies at a rate totaling 39% in accordance with the concession agreement). Although our room revenues increased 17.9%, room expenses increased only 2.5% as the revenue increase was driven primarily by increased ADR. Food and beverage and entertainment, retail and other expenses increased commensurate with the increase in revenues. The increase in the provision for doubtful accounts relates primarily to Wynn Las Vegas and is a result of the higher casino revenue base experienced during the year ended December 31, 2011, compared to the prior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incurred no pre-opening costs during the year ended December 31, 2011. For the year ended December 31, 2010, we incurred $9.5 million of pre-opening costs primarily related to Encore at Wynn Macau which opened on April 21, 2010 and the Encore Beach Club and Surrender Nightclub which opened in Las Vegas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Depreciation and amortization for the year ended December 31, 2011, was $398 million compared to $405.6 million for the year ended December 31, 2010. While there was little change between periods, depreciation expense decreased due to assets with a 5-year life being fully depreciated as of September 2011 at Wynn Macau and assets with a 5-year life being fully depreciated as of April 2010 at Wynn Las Vegas. These decreases were offset by additional depreciation for the assets of Encore at Wynn Macau which were placed into service in April 2010 and the assets of the Encore Beach Club and Surrender Nightclub in Las Vegas which were placed into service in May 2010.</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Property charges and other for the year ended December 31, 2011, were $130.6 million compared to $25.2 million for the year ended December 31, 2010. Property charges and other for the year ended December 31, 2011 include a charge of $109.6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Consolidated Statements of Income has been discounted using our then estimated borrowing rate over the time period of the remaining committed payments. Also included are the write off of certain off-site golf memberships by Wynn Las Vegas, miscellaneous renovations and abandonments at our resorts, including modifications of the Encore at Wynn Las Vegas and Wynn Macau retail esplanades, closure of the Blush nightclub and the write off of certain costs related to a show that ended its run in Las Vegas in April 2011.</w:t>
      </w:r>
    </w:p>
    <w:p>
      <w:pPr>
        <w:spacing w:after="0" w:line="118"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and miscellaneous renovations, abandonments and gain/loss on sale of equipment at our resorts.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Interest income was $7.7 million and $2.5 million for the years ended December 31, 2011 and 2010, respectively. During 2011 and 2010, our short-term investment strategy has been to preserve capital while retaining sufficient liquidity. While the majority of our short-term investments were primarily in money market accounts, U.S. Treasury Bills and time deposits with a maturity of three months or less, beginning in April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have invested in certain corporate bond securities and commercial paper which contributed to the increase in interest income.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was $229.9 million, net of capitalized interest of $0, for the year ended December 31, 2011, compared to $222.9 million, net of capitalized interest of $7.2 million, for the year ended December 31, 2010. Our interest expense increased compared to the prior year primarily due to a decrease in interest capitalized and an increase in interest rates on our first mortgage notes, offset by a decrease in amounts outstanding under our Wynn Las Vegas and Wynn Macau bank credit revolving facilities compared to the prior year.</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We recorded a gain of $14.2 million for the year ended December 31, 2011, resulting from the increase in the fair value of our interest rate swaps from December 31, 2010 to December 31, 2011. For the year ended December 31, 2010, we recorded an expense of $0.9 million resulting from the decrease in the fair value of interest rate swaps between December 31, 2009 and December 31, 2010. For further information on our interest rate swaps, see Item 7A—“Quantitative and Qualitative Disclosures about Market Risk.”</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April 2010, we completed an exchange offer for a portion of our outstanding 6 5/8% First Mortgage Notes (the “2014 Notes”). In connection with that exchange offer, the direct costs incurred with third parties of $4.4 million were expensed. In August 2010, we completed a tender offer for the then outstanding 2014 Notes and subsequent call of all the remaining amounts once the tender was completed. In connection with this transaction, we recorded a loss on extinguishment of debt of $63 million. This included the tender offer consideration, the call premium and the related write off of the unamortized debt issue costs and original issue discount.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 year ended December 31, 2011, we recorded a tax benefit of $19.5 million. Our income tax benefit was primarily related to tax benefits resulting from an increase in our deferred tax assets, a decrease in our liability for uncertain tax positions as the result of the statute of limitations lapse reduced by foreign taxes assessable on the dividends of Wynn Macau, S.A. and foreign tax provisions related to our international marketing offices. Since June 30, 2010, we have no longer considered our portion of the tax earnings and profits of Wynn Macau, Limited to be permanently reinvested. No additional U.S. tax provision was made with respect to amounts not considered permanently reinvested as we anticipated that U.S. foreign tax credits would be sufficient to eliminate any U.S. tax provision relating to such repatriation. To the extent that book earnings exceed the tax earnings and profits of Wynn Macau, Limited, such excess was considered permanently reinvested.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On November 30, 2010, Wynn Macau, S.A. received an additional 5-year exemption through December 31, 2015. Accordingly, we were exempted from the payment of approximately $82.7 million and $64.4 million in such taxes for the years ended December 31, 2011 and 2010, respectively. Our non-gaming profits remain subject to the Macau Complementary Tax and casino winnings remain subject to the Macau Special Gaming tax and other levies at a rate totaling 39% in accordance with our concession agreement.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2011, Wynn Macau, S.A. received the results of the Macau Finance Bureau’s examination of its 2006 and 2007 Macau Complementary Tax returns and filed an appeal related to the examination’s disallowance of certain deductions claimed in its 2006 Macau Complementary Tax Return. In August 2011, the 2006 Macau tax issues under appeal were resolved. As part of the settlement, the Company paid $1.1 million in Macau Complementary tax substantially all of which was provided for in prior years. As the result of the resolution of these Macau tax issues and expiration of the statute of limitations for 2006 Macau</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Complementary tax assessments on December 31, 2011, the total amount of unrecognized tax benefits decreased $10.8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October 2009, Wynn Macau, Limited, an indirect wholly owned subsidiary, listed its ordinary shares of common stock on The Stock Exchange of Hong Kong Limited. Wynn Macau, Limited sold 1,437,500,000 shares (27.7%) of its common stock through an initial public offering. We recorded net income attributable to noncontrolling interests of $211.7 million for the year ended December 31, 2011, compared to $156.5 million for the year ended December 31, 2010. This represents the noncontrolling interests’ share of net income from Wynn Macau, Limited for each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(amounts in thousands) summarizes adjusted property EBITDA for our Las Vegas and Macau Operations as reviewed by management and summarized in Item 8—“Notes to Consolidated Financial Statements “– Note 17” Segment Information.” That footnote also presents a reconciliation of adjusted property EBITDA to net income.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Las Vegas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408,472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270,299</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Macau</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1,167,340</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1,196,232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892,686</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1,575,812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1,635,268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1,162,985</w:t>
            </w:r>
          </w:p>
        </w:tc>
      </w:tr>
      <w:tr>
        <w:trPr>
          <w:trHeight w:val="20"/>
        </w:trPr>
        <w:tc>
          <w:tcPr>
            <w:tcW w:w="4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2012, our Macau Operations were negatively impacted by lower turnover and hold percentage in the VIP casino. Our Las Vegas Operations were negatively impacted by lower table games win percentage (before discounts) when compared to 2011. Results for both Las Vegas and Macau were positively impacted by a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taken to the provision for doubtful accounts as we recorded an adjustment to our reserve estimates based on the results of historical collection patterns and current collection trends. Refer to the discussions above regarding the specific details of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Net cash provided from operations for the year ended December 31, 2012 was $1.2 billion compared to $1.5 billion provided by operations for the year ended December 31, 2011. This decrease is primarily due to lower casino department profitability and changes in ordinary working capital accounts such as accounts payable and accrued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Capital expenditures were approximately $241 million, $184.1 million and $283.8 million for the years ended December 31, 2012, 2011 and 2010, respectively. During 2012, our capital expenditures included a one-time payment of $50 million in consideration of an unrelated third party’s relinquishment of certain rights in and to any future development on the Cotai land as well as approximately $70 million of site preparation costs for our Cotai land and various renovations at our resorts including the remodel of two Las Vegas restaurants and the conversion of certain storage and office areas in Macau to two new retail outlets. During 2011, our capital expenditures primarily related to the room and suite remodel at Wynn Las Vegas, a new high limit slot salon, new Las Vegas Tower Suites lobby and lounge and other property remodels. In addition, 2011 includes a $62.5 million initial payment pursuant to the terms of a land concession in Macau. For the year ended December 31, 2010 our capital expenditures related primarily to the construction cost associated with Encore at Wynn Macau, which opened in April 2010, and the Encore Beach Club and Surrender Nightclub, which opened in May 2010.</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years ended December 31, 2012 and 2011, we invested $183.5 million and $316.5 million in corporate debt securities and commercial paper,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March 12, 2012, Wynn Las Vegas, LLC and Wynn Las Vegas Capital Corp. (together the “Issuers”) issued, in a private offering, $900 million aggregate principal amount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2022 (the “2022 Notes”) pursuant to an Indenture, dated as of March 12, 2012 (the “2022 Indenture”). A portion of the proceeds were used to repay all amounts outstanding under the Wynn Las Vegas term loan facilities. In October 2012, the Issuers commenced an offer to exchange all of the 2012 notes for notes registered under the Securities Act of 1933, as amended. The exchange offer closed on November 6, 2012.</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per annum. The Issuers may redeem all or a portion of the 2022 Notes at any time on or after March 15, 2017, at a premium decreasing ratably to zero, plus accrued and unpaid interest. In addition, prior to March 15, 2015, the Issuers may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The 2022 Notes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2017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together with the 2017 Notes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the “Existing Notes”).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Wynn Las Vegas expensed deferred financing costs of $4.8 million.</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On September 17, 2012, Wynn Las Vegas terminated the Wynn Las Vegas Credit Agreement and, in accordance with the respective Indentures, the liens (other than the Holdings pledge) on the assets of Wynn Las Vegas, LLC and its subsidiaries securing, and the subsidiary guarantees of,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2022 Notes were released.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termination, the Company expensed $2.6 million of previously deferred financing costs and third party fees related to the Wynn Las Vegas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more information on our outstanding first mortgage notes, see Item 8—“Notes to Consolidated Financial Statements”, Note 8 “Long Term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During the year ended December 31, 2012, Wynn Macau, S.A. repaid $150.4 million of borrowings under the Wynn Macau Senior Revolving Credit Facility. On June 27, 2012, the Wynn Macau Senior Revolving Credit Facility matured with an outstanding balance of $0.</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July 31, 2012, Wynn Macau,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took effect on July 31, 2012 and expand availability under Wynn Macau’s senior secured bank facility to US$2.3 billion equivalent, consisting of a US$750 million equivalent fully funded senior secured term loan facility and a US$1.55 billion equivalent senior secured revolving credit facility. Wynn Macau also has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ability to upsize the total senior secured facilities by an additional US$200 million pursuant to the terms and provisions of the Amended Wynn Macau Credit Facilities. Borrowings under the Amended Wynn Macau Credit Facilities, which consist of both Hong Kong Dollar and United States Dollar tranches, were used to refinance Wynn Macau’s existing indebtedness, and will be used to fund the design, development, construction and pre-opening expenses of Wynn Cotai, and for general corporate purposes.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 loan facility matures in July 2018, and the revolving credit facility matures in July 2017. The principal amount of the term loan is required to be repaid in two equal installments in July 2017 and July 2018. The senior secured facilities will bear interest for the first six months after closing at LIBOR or HIBOR plus a margin of 2.50% and thereafter will be subject to LIBOR or HIBOR plus a margin of between 1.75% to 2.50% based on Wynn Macau’s leverage ratio.</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Borrowings under the Amended Wynn Macau Credit Facilities are guaranteed by Palo Real Estate Company Limited (“Palo”), a subsidiary of Wynn Macau, S.A., and by certain subsidiaries of the Company that own equity interests in Wynn Macau, S.A., and are secured by substantially all of the assets of Wynn Macau, S.A., the equity interests in Wynn Macau, S.A. and substantially all of the assets of Palo.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amending the Wynn Macau credit facilities, we expensed $17.7 million and capitalized $33.2 million of financing costs.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Amended Wynn Macau Credit Facilities contain a requirement that the Company must make mandatory repayments of indebtedness from specified percentages of excess cash flow. If the Wynn Macau subsidiary has a Consolidated Leverage Ratio, as defined in the Amended Wynn Macau Credit Facilities, of greater than 4.0 to 1, such repayment is defined as 50% of Excess Cash Flow, as defined in the Amended Wynn Macau Credit Facilities. If the Consolidated Leverage Ratio is equal or less than 4.0 to 1, then no excess cash flow prepayment is required. Based on current estimates the Company does not believe that the Wynn Macau Consolidated Leverage Ratio during the year ending December 31, 2013 will exceed 4.0 to 1. Accordingly, the Company does not expect to make any mandatory repayments pursuant to this requirement during 2013.</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Amended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Wynn Macau was required by the financial covenants to maintain a Leverage Ratio, as defined in the Amended Wynn Macau Credit Facilities, of not greater than 3.75 to 1 as of December 31, 2012, and an Interest Coverage Ratio, as defined, of not less than 2.00 to 1. Management believes that Wynn Macau was in compliance with all covenants at December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December 31, 2012, we had approximately $1.7 billion of cash and cash equivalents and $180.1 million of available-for-sale investments in foreign and domestic debt securities with maturities of up to 2 years. Our cash is available for operations, debt service and retirement, development activities, general corporate purposes and enhancements to our resorts. In addition, we had $99.2 million of restricted cash for Cotai related construction and development costs. Of these amounts, Wynn Macau, Limited and its subsidiaries held $1,351.4 million and $54.5 million in cash and available-for-sale investments, respectively, of which we own 72.3%. If our portion of this cash was repatriated to the U.S. on December 31, 2012, approximately one-third of this amount would be subject to U.S. tax in the year of repatriation. Wynn Resorts, Limited, which is not a guarantor of the debt of its subsidiaries, held $225.4 million (including cash of its subsidiaries other than those of Wynn Las Vegas and Wynn Macau) and $125.6 million of cash and available-for-sale investments, respectively. Wynn Las Vegas LLC held cash balances of $148.4 million.</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September 17, 2012, Wynn Las Vegas terminated its Amended and Restated Credit Agreement. No loans were outstanding at the time of termination. On September 18, 2012, Wynn Las Vegas distributed to Wynn Resorts, Limited, the Wynn Las Vegas golf course land, the related water rights, and $700 million in cash.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31, 2012, Wynn Macau expanded its availability under the senior secured bank facility to US$2.3 billion equivalent, consisting of a US$750 million equivalent fully funded senior secured term loan facility and a US$1.55 billion equivalent senior secured revolving credit facility. Wynn Macau also has the ability to upsize the total senior secured facilities by an additional US$200 million pursuant to the terms and provisions of the Amended Wynn Macau Credit Facilities. These borrowings were used to refinance Wynn Macau’s existing indebtedness, and will be used to fund the design, development, construction and pre-opening expenses of Wynn Cotai, and for general corporate purposes.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believe that cash flow from operations, availability under our Wynn Macau credit facility and our existing cash balances will be adequate to satisfy our anticipated uses of capital during 2013. If any additional financing became necessary, we cannot provide assurance that future borrowings will be available.</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Cash and cash equivalents include cash in bank and fixed deposits, investments in money market funds, domestic and foreign bank time deposits and commercial paper, all with maturities of less than 90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Based on the Board of Directors’ finding of “unsuitability,” on February 18, 2012, we redeemed and cancelled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we issued the Redemption Price Promissory Note (the “Redemption Note”) to Aruze USA, Inc.,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 Aruze USA, Inc., Universal Entertainment Corporation and Kazuo Okada have challenged the redemption of Aruze USA, Inc.’s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1A—“Risk Factors”, Item 3—“Legal Proceedings” and Item 8—“Notes to Consolidated Financial Statements”, Note 16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During the years ended December 31, 2012, 2011 and 2010, we paid cash dividends totaling $9.50 per share, $6.50 per share and $8.50 per share, respectively.</w:t>
      </w:r>
    </w:p>
    <w:p>
      <w:pPr>
        <w:spacing w:after="0" w:line="13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As of December 31, 2012, we had repurchased a cumulative total of 12,863,730 shares of our common stock for a net cost of $1.1 billion under the program, with no repurchases made during the years ended December 31, 2012, 2011, and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During 2012 and 2011, the Company repurchased a total of 7,640 (no shares were purchased during the fourth quarter 2012) and 51,136 shares, respectively, in satisfaction of tax withholding obligations on vested restricted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2012, we had unsecured outstanding letters of credit totaling $15.8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2012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auto"/>
                <w:w w:val="92"/>
              </w:rPr>
              <w:t>Payments Due By Period</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Less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1"/>
              </w:rPr>
              <w:t>1 to 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4 to 5</w:t>
            </w:r>
          </w:p>
        </w:tc>
        <w:tc>
          <w:tcPr>
            <w:tcW w:w="6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rPr>
              <w:t>After</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1 Year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78"/>
              </w:rPr>
              <w:t>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rPr>
              <w:t>5 Years</w:t>
            </w:r>
          </w:p>
        </w:tc>
        <w:tc>
          <w:tcPr>
            <w:tcW w:w="4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$4,885.0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$5,795.6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513.0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506.4</w:t>
            </w:r>
          </w:p>
        </w:tc>
        <w:tc>
          <w:tcPr>
            <w:tcW w:w="620" w:type="dxa"/>
            <w:vAlign w:val="bottom"/>
          </w:tcPr>
          <w:p>
            <w:pPr>
              <w:jc w:val="right"/>
              <w:spacing w:after="0"/>
              <w:rPr>
                <w:sz w:val="20"/>
                <w:szCs w:val="20"/>
                <w:color w:val="auto"/>
              </w:rPr>
            </w:pPr>
            <w:r>
              <w:rPr>
                <w:rFonts w:ascii="Arial" w:cs="Arial" w:eastAsia="Arial" w:hAnsi="Arial"/>
                <w:sz w:val="18"/>
                <w:szCs w:val="18"/>
                <w:color w:val="auto"/>
              </w:rPr>
              <w:t>696.8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Leasehold interest in land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Other[2]</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1,545.4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5,727.9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or HIBOR rates at December 31, 2012. Such rates are at historical lows as of December 31, 2012. Actual rates will vary.</w:t>
      </w:r>
    </w:p>
    <w:p>
      <w:pPr>
        <w:ind w:left="460" w:right="30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includes open purchase orders, future charitable contributions, land rent payments, fixed gaming tax payments in Macau and other contracts. As further discussed in Item 8—“Financial Statements”, Note 15 “Income Taxes”, of this report, we had $84.3 million of unrecognized tax benefits as of December 31, 2012. Due to the inherent uncertainty of the underlying tax positions, it is not practicable to assign this liability to any particular year and therefore it is not included in the table above as of December 31, 2012.</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2017 Notes, the 2020 Notes, the New 2020 Notes and the 2022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Amended Wynn Macau Credit Facilities contains similar restrictions, Wynn Macau is currently in compliance with all requirements, namely satisfaction of its leverage ratio, which must be met in order to pay dividends and is presently able to pay dividends in accordance with the Amended Wynn Macau Credit Facilities.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Wynn Las Vegas, LLC intends to fund its operations and capital requirements from operating cash flow. We cannot assure you; however, that our Las Vegas Operations will generate sufficient cash flow from operations to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0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18, 2012, we issued a subordinated promissory note with a principal amount of approximately $1.9 billion in redemption of all of the shares of Wynn Resorts common stock held by Aruze USA, Inc. (the “Redemption Price Promissory Note”). For additional information on the redemption and the Redemption Price Promissory Note, see Item 8—“Notes to Consolidated Financial Statements”, Note 8 “Long Term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Note 2 to the Consolidated Financial Statements.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resorts, including applicable portions of interest, are capitalized. Accordingly, the recorded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amounts of property and equipment increase significantly during construction periods. Depreciation expense related to capitalized construction costs is recognized when the related assets are placed in service. Upon the opening of our resorts, we began recognizing depreciation expense on the resort’s fixed assets. The remaining estimated useful lives of assets are periodically reviewed.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leasehold interest in land in Macau under the land concession contract entered into in June 2004 is being amortized over 25 years, to the initial term of the concession contract, which currently terminates in August 2029. Depreciation on a majority of the assets comprising Wynn Macau commenced in September of 2006, when Wynn Macau opened. The maximum useful life of assets at Wynn Macau is deemed to be the remaining life of the land concession which currently expires in August 2029, or the gaming concession which currently expires in June 2022. Consequently, depreciation related to Wynn Macau will generally be charged over shorter periods when compared to Wynn Las Vegas.</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w:t>
      </w:r>
    </w:p>
    <w:p>
      <w:pPr>
        <w:spacing w:after="0" w:line="8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recorded the fair value of the Redemption Note at its estimated present value of approximately $1.94 billion in accordance with applicable accounting guidance. In determining this fair value, we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Item 8—“Notes to Consolidated Financial Statements”, Note 16 “Commitments and Contingencies.”); the outcome of on-going investigations by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we used observable inputs from a range of trading values of financial instruments with terms and lives similar to the estimated life and terms of the Redemption Note. As a result of this analysis, we concluded the Redemption Note’s stated rate of 2% approximated a market rate. A change in any of the assumptions discussed above could result in a change in the fair value of this Redemption Note and significantly impact our results of operations.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and Fair Value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made investments in domestic and foreign corporate debt securities and commercial paper. Our investment policy requires investments to be investment grade and limits the amount of exposure to any one issuer with the objective of minimizing the potential risk of principal loss. We determine the appropriate classification (held-to-maturity/available-for-sale) of our investments at the time of purchase and reevaluate such designation as of each balance sheet date. Our investments are reported at fair value, with unrealized gains and losses, net of tax,</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reported in other comprehensive income (loss).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measure certain of our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obtain pricing information in determining the fair value of our available-for-sale securities from independent pricing vendors. Based on our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We have not made adjustments to such prices. Each quarter, we validate the fair value pricing methodology to determine the fair value consistent with applicable accounting guidance and to confirm that the securities are classified properly in the fair value hierarchy. We also compare the pricing received from our vendors to independent sources for the same or similar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December 31, 2012 and 2011, approximately 84% of our casino accounts receivable were owed by customers from foreign countries, primarily in Asia. In addition to enforceability issues, the collectability of markers given by foreign customers is affected by a number of factors including changes in currency exchange rates and economic conditions in the customers’ home countries.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each account with a balance over a specified dollar amount, based upon the age, the customer’s financial condition, collection history and any other known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3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275,302</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264,034</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101,548</w:t>
            </w:r>
          </w:p>
        </w:tc>
        <w:tc>
          <w:tcPr>
            <w:tcW w:w="5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91,251</w:t>
            </w:r>
          </w:p>
        </w:tc>
        <w:tc>
          <w:tcPr>
            <w:tcW w:w="2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w w:val="96"/>
              </w:rPr>
              <w:t>Percentage of casino accounts receivable outstanding over 180 days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37.5%</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reserve for doubtful casino accounts receivable is based on our estimates of amounts collectible and depends on the risk assessments and judgments by management regarding realizability, the state of the economy and our credit policy. In June 2012, the Company recorded an adjustment to its reserve estimates for casino accounts receivable based on the results of historical collection patterns and current collection trends. For the year ended December 31, 2012, this adjustment benefitted operating income by $30.9 million and net income attributable to Wynn Resorts, Limited by $23.3 million (or $0.22 per share on a fully diluted basis). Our reserve methodology is applied similarly to credit extended at each of our resorts. As of December 31, 2012 and 2011, approximately 30.8% and 40.7%, respectively, of our outstanding casino account receivable balance originated at our Macau Operations.</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2012, a 100 basis-point change in the allowance for doubtful accounts as a percentage of casino accounts receivable would change the provision for doubtful accounts by approximately $2.8 million.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As of December 31, 2012, changes in our interest rate swap fair values are being recorded in our Consolidated Statements of Income, as the swaps do not qualify for hedge accounting.</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measure the fair value of our interest rate swaps on a recurring basis. We categorize our interest rate swap contracts as Level 2 in the hierarchy as described above.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Accounting standards for stock-based payments establish standards for the accounting for transactions in which an entity exchanges its equity instruments for goods and services or incurs a liability in exchange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For example, a 10% change in the volatility assumption for the 173,830 options granted in 2012 would have resulted in an approximate $598,000 change in fair value. Expected term represents the estimated average time between the option’s grant date and its exercise date. A 10% change in the expected term assumption for the 173,830 options granted in 2012 would have resulted in an approximate $65,000 change in fair value. These assumed changes in fair value would have been recognized over the vesting schedule of such awards.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December 31, 2012, we have a foreign tax credit carryover of $1,844 million and we have recorded a valuation allowance of $1,786 million against this asset based on our estimate of future realization. The foreign tax credits are attributable to the Macau special gaming tax which is 35% of gross gaming revenue in Macau. The U.S. taxing regime only allows a credit for 35% of “net” foreign source income. Due to our current operating history of U.S. losses, we currently do not rely on forecasted taxable income in order to support the utilization of the foreign tax credits. The estimated future foreign tax credit realization was based upon the estimated future taxable income from the reversal of “net” U.S. taxable temporary differences that we expect will reverse during the 10-year foreign tax credit carryover period. The amount of the valuation allowance is subject to change based upon the actual reversal of temporary differences and future taxable income exclusive of reversing temporary differences.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we recognize accrued penalties and interest related to unrecognized tax benefits in the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This update is not expected to have a material impact on the Company’s financial statements.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2011,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was for years, and the interim periods within those years, beginning after December 15, 2011. The adoption of this guidance did not have a material effect on the Company’s financial statements.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2011, the FASB issued an accounting standards update that requires items of net income, items of other comprehensive income (“OCI”) and total comprehensive income to be presented in one continuous statement or two separate but consecutive statements. This updated presentation makes the items within OCI more prominent. Companies are no longer allowed to present OCI in the statement of stockholders’ equity. The effective date for this update was for the years, and the interim periods within those years, beginning after December 15, 2011. The Company has adopted this guidance and Consolidated Statements of Comprehensive Income are included in the Company’s financial statements.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 – Liquidity and Capital Resources—Financing Activities.”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2012 of our expected long-term indebtedness and related weighted average interest rates by expected maturity dates. However, we cannot predict the LIBOR or HIBOR rates that will be in effect in the future. As of December 31, 2012, such rates remain at historic lows. Actual rates will vary. The one-month LIBOR and HIBOR rates at December 31, 2012 of 0.2087% and 0.2775%, respectively were used for all variable rate calculations in the table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77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4"/>
          <w:szCs w:val="14"/>
          <w:b w:val="1"/>
          <w:bCs w:val="1"/>
          <w:color w:val="auto"/>
        </w:rPr>
        <w:t>Expected Maturity Date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3"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w w:val="87"/>
              </w:rPr>
              <w:t>Thereafter</w:t>
            </w: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Long-term debt:</w:t>
            </w:r>
          </w:p>
        </w:tc>
        <w:tc>
          <w:tcPr>
            <w:tcW w:w="1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Fixed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76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4,508.5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5,008.5</w:t>
            </w: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7.875%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540" w:type="dxa"/>
            <w:vAlign w:val="bottom"/>
            <w:gridSpan w:val="3"/>
          </w:tcPr>
          <w:p>
            <w:pPr>
              <w:jc w:val="right"/>
              <w:ind w:right="760"/>
              <w:spacing w:after="0"/>
              <w:rPr>
                <w:sz w:val="20"/>
                <w:szCs w:val="20"/>
                <w:color w:val="auto"/>
              </w:rPr>
            </w:pPr>
            <w:r>
              <w:rPr>
                <w:rFonts w:ascii="Arial" w:cs="Arial" w:eastAsia="Arial" w:hAnsi="Arial"/>
                <w:sz w:val="18"/>
                <w:szCs w:val="18"/>
                <w:color w:val="auto"/>
              </w:rPr>
              <w:t>$405.3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376.5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787.1</w:t>
            </w: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2"/>
              </w:rPr>
              <w:t>1.46%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1.46%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1.46%</w:t>
            </w: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Consolidated Statements of Income, as the swaps do not qualify for hedge accounting.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2012, we terminated our only Wynn Las Vegas swap for a payment of $2.4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2012, the Wynn Macau swap matured. As of December 31, 2011, the liability fair value of this interest rate swap was approximately $2.7 million.</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Effective, September 28, 2012, we entered into two interest rate swap agreements intended to hedge a portion of the underlying interest rate risk on borrowings under the Amended Wynn Macau Credit Facilities. Under the two swap agreements, the Company pays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Effective October 31, 2012, we entered into a third interest rate swap agreement intended to hedge a portion of the underlying interest rate risk on borrowings under the Amended Wynn Macau Credit Facilities. Under this swap agreement, the Company pays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as of December 31, 2012 and 2011, of our interest rate swap arrangements (amounts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Interest</w:t>
            </w:r>
          </w:p>
        </w:tc>
      </w:tr>
      <w:tr>
        <w:trPr>
          <w:trHeight w:val="149"/>
        </w:trPr>
        <w:tc>
          <w:tcPr>
            <w:tcW w:w="3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Las Vegas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1"/>
              </w:rPr>
              <w:t>Macau</w:t>
            </w:r>
          </w:p>
        </w:tc>
        <w:tc>
          <w:tcPr>
            <w:tcW w:w="7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r>
      <w:tr>
        <w:trPr>
          <w:trHeight w:val="161"/>
        </w:trPr>
        <w:tc>
          <w:tcPr>
            <w:tcW w:w="3420" w:type="dxa"/>
            <w:vAlign w:val="bottom"/>
          </w:tcPr>
          <w:p>
            <w:pPr>
              <w:spacing w:after="0"/>
              <w:rPr>
                <w:sz w:val="14"/>
                <w:szCs w:val="14"/>
                <w:color w:val="auto"/>
              </w:rPr>
            </w:pPr>
          </w:p>
        </w:tc>
        <w:tc>
          <w:tcPr>
            <w:tcW w:w="2560" w:type="dxa"/>
            <w:vAlign w:val="bottom"/>
            <w:gridSpan w:val="3"/>
          </w:tcPr>
          <w:p>
            <w:pPr>
              <w:ind w:left="1900"/>
              <w:spacing w:after="0"/>
              <w:rPr>
                <w:sz w:val="20"/>
                <w:szCs w:val="20"/>
                <w:color w:val="auto"/>
              </w:rPr>
            </w:pPr>
            <w:r>
              <w:rPr>
                <w:rFonts w:ascii="Arial" w:cs="Arial" w:eastAsia="Arial" w:hAnsi="Arial"/>
                <w:sz w:val="14"/>
                <w:szCs w:val="14"/>
                <w:b w:val="1"/>
                <w:bCs w:val="1"/>
                <w:color w:val="auto"/>
                <w:w w:val="86"/>
              </w:rPr>
              <w:t>Operations</w:t>
            </w:r>
          </w:p>
        </w:tc>
        <w:tc>
          <w:tcPr>
            <w:tcW w:w="1380" w:type="dxa"/>
            <w:vAlign w:val="bottom"/>
            <w:gridSpan w:val="3"/>
          </w:tcPr>
          <w:p>
            <w:pPr>
              <w:ind w:left="720"/>
              <w:spacing w:after="0"/>
              <w:rPr>
                <w:sz w:val="20"/>
                <w:szCs w:val="20"/>
                <w:color w:val="auto"/>
              </w:rPr>
            </w:pPr>
            <w:r>
              <w:rPr>
                <w:rFonts w:ascii="Arial" w:cs="Arial" w:eastAsia="Arial" w:hAnsi="Arial"/>
                <w:sz w:val="14"/>
                <w:szCs w:val="14"/>
                <w:b w:val="1"/>
                <w:bCs w:val="1"/>
                <w:color w:val="auto"/>
                <w:w w:val="86"/>
              </w:rPr>
              <w:t>Operations</w:t>
            </w:r>
          </w:p>
        </w:tc>
        <w:tc>
          <w:tcPr>
            <w:tcW w:w="7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Swaps</w:t>
            </w: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Liability fair value at:</w:t>
            </w:r>
          </w:p>
        </w:tc>
        <w:tc>
          <w:tcPr>
            <w:tcW w:w="1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December 31, 2012</w:t>
            </w:r>
          </w:p>
        </w:tc>
        <w:tc>
          <w:tcPr>
            <w:tcW w:w="208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3,938</w:t>
            </w:r>
          </w:p>
        </w:tc>
        <w:tc>
          <w:tcPr>
            <w:tcW w:w="1220" w:type="dxa"/>
            <w:vAlign w:val="bottom"/>
            <w:gridSpan w:val="2"/>
          </w:tcPr>
          <w:p>
            <w:pPr>
              <w:jc w:val="center"/>
              <w:ind w:left="632"/>
              <w:spacing w:after="0"/>
              <w:rPr>
                <w:sz w:val="20"/>
                <w:szCs w:val="20"/>
                <w:color w:val="auto"/>
              </w:rPr>
            </w:pPr>
            <w:r>
              <w:rPr>
                <w:rFonts w:ascii="Arial" w:cs="Arial" w:eastAsia="Arial" w:hAnsi="Arial"/>
                <w:sz w:val="18"/>
                <w:szCs w:val="18"/>
                <w:color w:val="auto"/>
                <w:w w:val="90"/>
              </w:rPr>
              <w:t>$3,938</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0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4,628</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2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90"/>
              </w:rPr>
              <w:t>$7,298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fair value approximates the amount we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2012 and using estimated future LIBOR and HIBOR rates based upon implied forward rates in the yield curve. The information is presented in U.S. dollar equivalents, which is our reporting currency: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w w:val="85"/>
              </w:rPr>
              <w:t>Years Ending December 31,</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2"/>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Expected Maturity Date</w:t>
            </w: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3980" w:type="dxa"/>
            <w:vAlign w:val="bottom"/>
          </w:tcPr>
          <w:p>
            <w:pPr>
              <w:spacing w:after="0"/>
              <w:rPr>
                <w:sz w:val="14"/>
                <w:szCs w:val="14"/>
                <w:color w:val="auto"/>
              </w:rPr>
            </w:pPr>
          </w:p>
        </w:tc>
        <w:tc>
          <w:tcPr>
            <w:tcW w:w="27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jc w:val="right"/>
              <w:ind w:right="201"/>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Thereafter</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42"/>
        </w:trPr>
        <w:tc>
          <w:tcPr>
            <w:tcW w:w="3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center"/>
              <w:ind w:right="99"/>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7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900" w:type="dxa"/>
            <w:vAlign w:val="bottom"/>
            <w:gridSpan w:val="4"/>
            <w:shd w:val="clear" w:color="auto" w:fill="CCEEFF"/>
          </w:tcPr>
          <w:p>
            <w:pPr>
              <w:jc w:val="right"/>
              <w:ind w:right="199"/>
              <w:spacing w:after="0"/>
              <w:rPr>
                <w:sz w:val="20"/>
                <w:szCs w:val="20"/>
                <w:color w:val="auto"/>
              </w:rPr>
            </w:pPr>
            <w:r>
              <w:rPr>
                <w:rFonts w:ascii="Arial" w:cs="Arial" w:eastAsia="Arial" w:hAnsi="Arial"/>
                <w:sz w:val="18"/>
                <w:szCs w:val="18"/>
                <w:color w:val="auto"/>
                <w:w w:val="90"/>
              </w:rPr>
              <w:t>$—$—$—$753.2</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Average pay rate</w:t>
            </w:r>
          </w:p>
        </w:tc>
        <w:tc>
          <w:tcPr>
            <w:tcW w:w="218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0.71%</w:t>
            </w:r>
          </w:p>
        </w:tc>
        <w:tc>
          <w:tcPr>
            <w:tcW w:w="1000" w:type="dxa"/>
            <w:vAlign w:val="bottom"/>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2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0.60%</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essentially all of our debt was based on fixed rates, including the notional amounts related to interest rate swaps.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Approximately 70% of our cash balances are denominated in foreign currencies, primarily the Hong Kong Dollar. Based on our balances at December 31, 2012, an assumed 1% change in the US dollar/Hong Kong dollar exchange rate would cause a foreign currency transaction gain/loss of approximately $9.7 million.</w:t>
      </w:r>
    </w:p>
    <w:p>
      <w:pPr>
        <w:spacing w:after="0" w:line="118"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As of December 31, 2012, in addition to Hong Kong dollars, Wynn Macau also holds other foreign currencies, primarily CNH (offshore renminbi). 70</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9"/>
            <w:vMerge w:val="restart"/>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Report of Independent Registered Public Accounting</w:t>
              </w:r>
            </w:hyperlink>
          </w:p>
        </w:tc>
        <w:tc>
          <w:tcPr>
            <w:tcW w:w="940" w:type="dxa"/>
            <w:vAlign w:val="bottom"/>
            <w:vMerge w:val="restart"/>
          </w:tcPr>
          <w:p>
            <w:pPr>
              <w:spacing w:after="0"/>
              <w:rPr>
                <w:sz w:val="14"/>
                <w:szCs w:val="14"/>
                <w:color w:val="auto"/>
              </w:rPr>
            </w:pPr>
          </w:p>
        </w:tc>
        <w:tc>
          <w:tcPr>
            <w:tcW w:w="63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740" w:type="dxa"/>
            <w:vAlign w:val="bottom"/>
            <w:tcBorders>
              <w:bottom w:val="single" w:sz="8" w:color="0000EE"/>
            </w:tcBorders>
            <w:gridSpan w:val="9"/>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7"/>
          </w:tcPr>
          <w:p>
            <w:pPr>
              <w:spacing w:after="0" w:line="18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Firm on Internal Control over Financial Reporting</w:t>
              </w:r>
            </w:hyperlink>
          </w:p>
        </w:tc>
        <w:tc>
          <w:tcPr>
            <w:tcW w:w="1140" w:type="dxa"/>
            <w:vAlign w:val="bottom"/>
            <w:gridSpan w:val="3"/>
          </w:tcPr>
          <w:p>
            <w:pPr>
              <w:spacing w:after="0"/>
              <w:rPr>
                <w:sz w:val="17"/>
                <w:szCs w:val="17"/>
                <w:color w:val="auto"/>
              </w:rPr>
            </w:pPr>
          </w:p>
        </w:tc>
        <w:tc>
          <w:tcPr>
            <w:tcW w:w="6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Report of Independent Registered Public Accounting</w:t>
              </w:r>
            </w:hyperlink>
          </w:p>
        </w:tc>
        <w:tc>
          <w:tcPr>
            <w:tcW w:w="9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80" w:type="dxa"/>
            <w:vAlign w:val="bottom"/>
            <w:gridSpan w:val="10"/>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Firm on the Consolidated Financial Statements</w:t>
              </w:r>
            </w:hyperlink>
          </w:p>
        </w:tc>
        <w:tc>
          <w:tcPr>
            <w:tcW w:w="6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3300" w:type="dxa"/>
            <w:vAlign w:val="bottom"/>
            <w:tcBorders>
              <w:top w:val="single" w:sz="8" w:color="0000EE"/>
            </w:tcBorders>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Balance Sheets</w:t>
              </w:r>
            </w:hyperlink>
          </w:p>
        </w:tc>
        <w:tc>
          <w:tcPr>
            <w:tcW w:w="1380" w:type="dxa"/>
            <w:vAlign w:val="bottom"/>
            <w:gridSpan w:val="5"/>
          </w:tcPr>
          <w:p>
            <w:pPr>
              <w:spacing w:after="0"/>
              <w:rPr>
                <w:sz w:val="18"/>
                <w:szCs w:val="18"/>
                <w:color w:val="auto"/>
              </w:rPr>
            </w:pP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Income</w:t>
              </w:r>
            </w:hyperlink>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Comprehensive Income</w:t>
              </w:r>
            </w:hyperlink>
          </w:p>
        </w:tc>
        <w:tc>
          <w:tcPr>
            <w:tcW w:w="1020" w:type="dxa"/>
            <w:vAlign w:val="bottom"/>
            <w:gridSpan w:val="2"/>
          </w:tcPr>
          <w:p>
            <w:pPr>
              <w:spacing w:after="0"/>
              <w:rPr>
                <w:sz w:val="17"/>
                <w:szCs w:val="17"/>
                <w:color w:val="auto"/>
              </w:rPr>
            </w:pPr>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Consolidated Statements of Stockholders’ Equity</w:t>
              </w:r>
            </w:hyperlink>
          </w:p>
        </w:tc>
        <w:tc>
          <w:tcPr>
            <w:tcW w:w="1200" w:type="dxa"/>
            <w:vAlign w:val="bottom"/>
            <w:gridSpan w:val="4"/>
          </w:tcPr>
          <w:p>
            <w:pPr>
              <w:spacing w:after="0"/>
              <w:rPr>
                <w:sz w:val="17"/>
                <w:szCs w:val="17"/>
                <w:color w:val="auto"/>
              </w:rPr>
            </w:pPr>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468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Cash Flows</w:t>
              </w:r>
            </w:hyperlink>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1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60" w:type="dxa"/>
            <w:vAlign w:val="bottom"/>
          </w:tcPr>
          <w:p>
            <w:pPr>
              <w:jc w:val="right"/>
              <w:ind w:right="5152"/>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have audited Wynn Resorts, Limited and subsidiaries’ (the “Company”) internal control over financial reporting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2012, based on the COSO criteria.</w:t>
      </w:r>
    </w:p>
    <w:p>
      <w:pPr>
        <w:spacing w:after="0" w:line="132"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2012 consolidated financial statements of Wynn Resorts, Limited and subsidiaries and our report dated March 1, 2013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Wynn Resorts, Limited and subsidiaries (the “Company”) as of December 31, 2012 and 2011, and the related consolidated statements of income, comprehensive income, stockholders’ equity, and cash flows for each of the three years in the period ended December 31, 2012.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Resorts, Limited and subsidiaries at December 31, 2012 and 2011, and the consolidated results of their operations and their cash flows for each of the three years in the period ended December 31, 2012, in conformity with U.S. generally accepted accounting principles. Also, in our opinion, the related financial statement schedules referred to above, when considered in relation to the basic financial statements taken as a whole, present fairly in all material respects the information set forth therein.</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1, 2013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ind w:left="3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1,725,219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138,887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63,799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2,202,378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1,726,452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4,727,899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4,865,332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Restricted cash and 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140,334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7,276,594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164,858</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27,937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163,092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100,562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1,131,377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1,579,893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5,781,770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2,809,785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Land concession obligation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137,830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7,172,662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4,676,042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7"/>
              </w:rPr>
              <w:t>Common stock, par value $0.01; 400,000,000 shares authorized; 113,730,442 and 137,937,088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100,866,712 and 125,080,998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12,863,730 and 12,856,090 shares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(1,127,947)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818,821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3,177,471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 (deficit)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2,089,022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362,969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2,223,454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7,276,594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4,034,759</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4,190,507</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3,245,104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472,074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588,437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547,735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414,786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5,520,388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5,625,102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4,487,835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(366,104)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(355,310)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(303,137)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5,154,284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5,269,792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4,184,698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Casino</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2,626,822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2,686,372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2,100,050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283,940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441,699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389,053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4,125,008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4,261,552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3,559,446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1,029,276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1,008,240</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(288,759)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(229,918)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14,151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(296,278)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(202,673)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805,567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1280"/>
              <w:spacing w:after="0"/>
              <w:rPr>
                <w:sz w:val="20"/>
                <w:szCs w:val="20"/>
                <w:color w:val="auto"/>
              </w:rPr>
            </w:pPr>
            <w:r>
              <w:rPr>
                <w:rFonts w:ascii="Arial" w:cs="Arial" w:eastAsia="Arial" w:hAnsi="Arial"/>
                <w:sz w:val="18"/>
                <w:szCs w:val="18"/>
                <w:color w:val="auto"/>
              </w:rPr>
              <w:t>(Provision) benefit for income taxes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(4,299)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(226,663)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(211,742)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(156,469)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502,036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613,371</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Basic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4.94</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125,667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Years Ended December 31,</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11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80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$ 728,699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$ 825,113</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$ 316,596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2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Unrealized gain (loss) on available-for-sale securities, net of tax</w:t>
            </w: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733,228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825,145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(227,855)</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(211,823)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(155,872)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 Limited</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$ 505,373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$ 613,322</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$ 158,570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116"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116"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Wynn Resorts,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other</w:t>
            </w:r>
          </w:p>
        </w:tc>
        <w:tc>
          <w:tcPr>
            <w:tcW w:w="10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Par</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earnings</w:t>
            </w:r>
          </w:p>
        </w:tc>
        <w:tc>
          <w:tcPr>
            <w:tcW w:w="10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1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value</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(deficit)</w:t>
            </w: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equity (deficit)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January 1, 2010</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123,293,456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$1,361</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 (1,119,407)</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4,239,497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2,446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(89,559)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3,034,338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126,025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3,160,363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160,127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160,127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156,469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316,596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1,308,052</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66,173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66,186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Issuance of restricted stock</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Cancellation of restricted stock</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(52,000)</w:t>
            </w:r>
          </w:p>
        </w:tc>
        <w:tc>
          <w:tcPr>
            <w:tcW w:w="7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7"/>
              </w:rPr>
              <w:t>Forfeited cash dividends upon cancellation of</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nonvested stock</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Cash dividends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(996,473)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(61,778)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(1,058,251)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(140,672)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(1,198,923)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compensation</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26,373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26,373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27,785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2010</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124,599,508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1,374</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(1,119,407)</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3,346,050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889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9,042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2,237,948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142,637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2,380,585</w:t>
            </w:r>
          </w:p>
        </w:tc>
        <w:tc>
          <w:tcPr>
            <w:tcW w:w="0" w:type="dxa"/>
            <w:vAlign w:val="bottom"/>
          </w:tcPr>
          <w:p>
            <w:pPr>
              <w:spacing w:after="0"/>
              <w:rPr>
                <w:sz w:val="1"/>
                <w:szCs w:val="1"/>
                <w:color w:val="auto"/>
              </w:rPr>
            </w:pPr>
          </w:p>
        </w:tc>
      </w:tr>
      <w:tr>
        <w:trPr>
          <w:trHeight w:val="156"/>
        </w:trPr>
        <w:tc>
          <w:tcPr>
            <w:tcW w:w="3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5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613,371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613,371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211,742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825,113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Net unrealized loss on investments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431,126</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Purchase of Treasury stock</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(51,136)</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(7,629)</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Issuance of restricted stock</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101,500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Cash dividends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(226,755)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(586,045)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(812,800)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(221,649)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(1,034,449)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compensation</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23,165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23,165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2011</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125,080,998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1,379</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(1,127,036)</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3,177,471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840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36,368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2,089,022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134,432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2,223,454</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redemption</w:t>
            </w: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3"/>
              </w:rPr>
              <w:t>(24,549,222)</w:t>
            </w:r>
          </w:p>
        </w:tc>
        <w:tc>
          <w:tcPr>
            <w:tcW w:w="72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(245)</w:t>
            </w:r>
          </w:p>
        </w:tc>
        <w:tc>
          <w:tcPr>
            <w:tcW w:w="9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6"/>
              </w:rPr>
              <w:t>(1,936,198)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(1,936,443)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(1,936,443)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502,036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502,036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226,663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728,699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762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unrealized gain on investments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332,576</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Cancellation of restricted stock</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(31,500)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Purchase of Treasury stock</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(7,640)</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(911)</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Issuance of restricted stock</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41,500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Cash dividends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(462,730)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(493,629)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(956,359)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(956,359)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compensation</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w w:val="76"/>
              </w:rPr>
              <w:t>682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2012</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100,866,712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1,137</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(1,127,947)</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818,821</w:t>
            </w:r>
          </w:p>
        </w:tc>
        <w:tc>
          <w:tcPr>
            <w:tcW w:w="2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4,177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44,775</w:t>
            </w:r>
          </w:p>
        </w:tc>
        <w:tc>
          <w:tcPr>
            <w:tcW w:w="280" w:type="dxa"/>
            <w:vAlign w:val="bottom"/>
            <w:gridSpan w:val="2"/>
            <w:shd w:val="clear" w:color="auto" w:fill="CCEEFF"/>
          </w:tcPr>
          <w:p>
            <w:pPr>
              <w:jc w:val="right"/>
              <w:ind w:right="57"/>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(259,037)</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362,969</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103,932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728,699</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825,113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373,199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398,039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23,881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23,965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18,091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(84,653)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11,168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1,185,718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1,515,835</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1,057,312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(240,985)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(184,146)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purchase of corporate debt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(316,533)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sale or maturity of 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216,051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(60,135)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(344,854)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(459,100)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(296,123)</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11,052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(955,493)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(1,033,447)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(1,192,138)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1,648,643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150,483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2,246,361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(1,022,847)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(201,901)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(2,551,561)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settlement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(13,449)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(382,479)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(1,057,641)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(1,492,636)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462,632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1,262,587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1,258,499</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1,991,830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1,725,219</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1,262,587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1,258,499</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debt related to the redemption of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1,936,443</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225,499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221,123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property and equipment included in accounts and construction payables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liability for dividends declared on nonvested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currently owns and operates casino hotel resort properties in Las Vegas, Nevada and Macau.</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Las Vegas operations feature two luxury hotel towers with a total of 4,750 spacious hotel rooms, suites and villas, approximately 186,000 square feet of casino space, 35 food and beverage outlets featuring signature chefs, an on-site 18-hole golf course, meeting space, a Ferrari and Maserati dealership, approximately 95,000 square feet of retail space as well as two showrooms; three nightclubs and a beach club.</w:t>
      </w:r>
    </w:p>
    <w:p>
      <w:pPr>
        <w:spacing w:after="0" w:line="10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Macau resort is a resort destination casino located in the Macau Special Administrative Region of the People’s Republic of China with two luxury hotel towers with a total of 1,008 spacious rooms and suites, approximately 275,000 square feet of casino space, casual and fine dining in eight restaurants, approximately 55,000 square feet of retail space, recreation and leisure facilities, including two health clubs and spas and a pool.</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October 2009, Wynn Macau, Limited, an indirect wholly owned subsidiary of the Company, listed its ordinary shares of common stock on The Stock Exchange of Hong Kong Limited. Through an initial public offering, including the over allotment, Wynn Macau, Limited sold 1,437,500,000 shares (27.7%) of this subsidiary’s common stock.</w:t>
      </w:r>
    </w:p>
    <w:p>
      <w:pPr>
        <w:spacing w:after="0" w:line="215" w:lineRule="exact"/>
        <w:rPr>
          <w:sz w:val="20"/>
          <w:szCs w:val="20"/>
          <w:color w:val="auto"/>
        </w:rPr>
      </w:pPr>
    </w:p>
    <w:p>
      <w:pPr>
        <w:ind w:right="7920" w:firstLine="8"/>
        <w:spacing w:after="0" w:line="347" w:lineRule="auto"/>
        <w:tabs>
          <w:tab w:leader="none" w:pos="17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 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consolidated financial statements for the previous years have been reclassified to be consistent with the current year presentation. These reclassifications had no effect on the previously reported net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recorded the fair value of the Redemption Price Promissory Note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Note 16—“Commitments and Contingencies”); the outcome of on-going investigations by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$969.2 million and $545 million at December 31, 2012 and 2011, respectively, were invested in bank time deposits, money market accounts, U.S. treasuries and commercial paper. In addition, the Company held bank deposits and cash on hand of approximately $756 million and $717.5 million as of December 31, 2012 and 2011,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Investment Securities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Restricted cash consists primarily of certain proceeds of the Company’s financing activities that are restricted by the agreements governing the Company’s debt instruments for the payment of certain Cotai related construction and development costs. Restricted cash balances totaled approximately $99.2 million at December 31, 2012, substantially all of which were invested in time deposits. There was no restricted cash at December 31, 2011.</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 securities consist of short-term and long-term investments in domestic and foreign corporate debt securities and commercial paper.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2012 and 2011, approximately 84% of the Company’s markers were due from customers residing outside the United States, primarily in Asia. Business or economic conditions or other significant events in these countries could affect the collectability of such receivables.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collection trends in the casino industry and current economic and business conditions. In June 2012, the Company recorded an adjustment to its reserve estimates for casino accounts receivable based on the results of historical collection patterns and current collection trends. For the year ended December 31, 2012, this adjustment benefitted operating income by $30.9 million and net income attributable to Wynn Resorts, Limited by $23.3 million (or $0.22 per share on a fully diluted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ectPr>
          <w:pgSz w:w="11900" w:h="16838" w:orient="portrait"/>
          <w:cols w:equalWidth="0" w:num="1">
            <w:col w:w="11400"/>
          </w:cols>
          <w:pgMar w:left="240" w:top="459" w:right="259" w:bottom="1440" w:gutter="0" w:footer="0" w:header="0"/>
        </w:sectPr>
      </w:pPr>
    </w:p>
    <w:p>
      <w:pPr>
        <w:spacing w:after="0" w:line="25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Buildings and improvements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Land improvements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interest in land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Airplanes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 to 20 years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 to 20 years</w:t>
      </w:r>
    </w:p>
    <w:p>
      <w:pPr>
        <w:spacing w:after="0" w:line="188" w:lineRule="exact"/>
        <w:rPr>
          <w:sz w:val="20"/>
          <w:szCs w:val="20"/>
          <w:color w:val="auto"/>
        </w:rPr>
      </w:pPr>
    </w:p>
    <w:p>
      <w:pPr>
        <w:sectPr>
          <w:pgSz w:w="11900" w:h="16838" w:orient="portrait"/>
          <w:cols w:equalWidth="0" w:num="2">
            <w:col w:w="7400" w:space="720"/>
            <w:col w:w="3280"/>
          </w:cols>
          <w:pgMar w:left="240" w:top="459" w:right="259" w:bottom="1440" w:gutter="0" w:footer="0" w:header="0"/>
          <w:type w:val="continuous"/>
        </w:sectPr>
      </w:pPr>
    </w:p>
    <w:p>
      <w:pPr>
        <w:ind w:right="1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$2 million, $0 and $7.2 million was capitalized for the years ended December 31, 2012,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of a Macau gaming concession and show production rights. Finite-lived intangible assets are amortized over the shorter of their contractual terms or estimated useful lives.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Long-lived assets, which are to be held and used, including intangibles and property and equipment, are periodically reviewed by management for impairment whenever events or changes in circumstances indicate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$11 million, $11.6 million and $13.2 million were amortized to interest expense during the years ended December 31, 2012, 2011 and 2010, respectively. Debt discounts incurred in connection with the issuance of debt have been capitalized and are being amortized to interest expense using the effective interest method.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as the Company’s current interest rate swaps do not qualify for hedge accounting. Accordingly, changes in the fair value of the interest rate swaps are presented as an increase (decrease) in swap fair value in the accompanying Consolidated Statements of Income. The differentials paid or received on interest rate swap agreements are recognized as adjustments to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commissions and points earned in the player’s club loyalty program.</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 of providing such promotional allowances is primarily included in casino expenses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52,017</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107,882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104,413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94,220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178,891</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173,449</w:t>
            </w: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167,328</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Slot Machine Jackpots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Income. These taxes totaled $1.8 billion, $1.9 billion and $1.4 billion for the years ended December 31, 2012,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$23 million, $19.5 million and $19 million for the years ended December 31, 2012, 2011 and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Pre-opening costs consist primarily of direct salaries and wages, legal and consulting fees, insurance, utilities and advertising, and are expensed as incurred. During the year ended December 31, 2012, the Company incurred pre-opening costs in connection with the design and construction of the Company’s planned resort in the Cotai area of Macau. There were no pre-opening costs during the year ended December 31, 2011. During the year ended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December 31, 2010, the Company incurred pre-opening costs in connection with the Encore Beach Club and Surrender Nightclub which opened in May 2010, and Encore at Wynn Macau prior to its opening in April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income taxes in the United States and other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Company’s income tax returns are subject to examination by the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the Company will recognize accrued penalties and interest related to unrecognized tax benefits in the provision for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Gains or losses from foreign currency remeasurements are included in other income/expense in the accompanying Consolidated Statements of Income. The results of operations and the balance sheet of Wynn Macau, Limited and its subsidiaries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Components of the Company’s comprehensive income are reported in the accompanying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Consolidated Statements of Stockholders’ Equity and Consolidated Statements of Comprehensive Income. The cumulative balance of other comprehensive income consists solely of currency translation adjustments and unrealized gain (loss) on available-for-sale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assets and liabilities carried at fair value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540"/>
              <w:spacing w:after="0"/>
              <w:rPr>
                <w:sz w:val="20"/>
                <w:szCs w:val="20"/>
                <w:color w:val="auto"/>
              </w:rPr>
            </w:pPr>
            <w:r>
              <w:rPr>
                <w:rFonts w:ascii="Arial" w:cs="Arial" w:eastAsia="Arial" w:hAnsi="Arial"/>
                <w:sz w:val="14"/>
                <w:szCs w:val="14"/>
                <w:b w:val="1"/>
                <w:bCs w:val="1"/>
                <w:color w:val="auto"/>
              </w:rPr>
              <w:t>Fair Value Measurements Using:</w:t>
            </w:r>
          </w:p>
        </w:tc>
      </w:tr>
      <w:tr>
        <w:trPr>
          <w:trHeight w:val="129"/>
        </w:trPr>
        <w:tc>
          <w:tcPr>
            <w:tcW w:w="5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
              <w:spacing w:after="0" w:line="129" w:lineRule="exact"/>
              <w:rPr>
                <w:sz w:val="20"/>
                <w:szCs w:val="20"/>
                <w:color w:val="auto"/>
              </w:rPr>
            </w:pPr>
            <w:r>
              <w:rPr>
                <w:rFonts w:ascii="Arial" w:cs="Arial" w:eastAsia="Arial" w:hAnsi="Arial"/>
                <w:sz w:val="14"/>
                <w:szCs w:val="14"/>
                <w:b w:val="1"/>
                <w:bCs w:val="1"/>
                <w:color w:val="auto"/>
                <w:w w:val="85"/>
              </w:rPr>
              <w:t>Quoted</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Market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w w:val="82"/>
              </w:rPr>
              <w:t>Prices in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Total</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Active</w:t>
            </w:r>
          </w:p>
        </w:tc>
        <w:tc>
          <w:tcPr>
            <w:tcW w:w="4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4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r>
      <w:tr>
        <w:trPr>
          <w:trHeight w:val="149"/>
        </w:trPr>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Carrying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w w:val="90"/>
              </w:rPr>
              <w:t>Markets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Inputs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Inputs</w:t>
            </w:r>
          </w:p>
        </w:tc>
      </w:tr>
      <w:tr>
        <w:trPr>
          <w:trHeight w:val="161"/>
        </w:trPr>
        <w:tc>
          <w:tcPr>
            <w:tcW w:w="5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Value</w:t>
            </w:r>
          </w:p>
        </w:tc>
        <w:tc>
          <w:tcPr>
            <w:tcW w:w="440" w:type="dxa"/>
            <w:vAlign w:val="bottom"/>
          </w:tcPr>
          <w:p>
            <w:pPr>
              <w:spacing w:after="0"/>
              <w:rPr>
                <w:sz w:val="14"/>
                <w:szCs w:val="14"/>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8"/>
              </w:rPr>
              <w:t>(Level 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2012</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Redemption Price Promissory Note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1,936,443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1,936,443</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969,166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888,732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rate swaps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available-for-sale securities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As of December 31, 2011</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363,104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181,941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rate swaps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7,298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As of December 31, 2012 and 2011, approximately 77% and 100% of the Company’s cash equivalents categorized as level 2 were deposits held in foreign currencies,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Basic earnings per share (“EPS’) is computed by dividing net income attributable to Wynn Resorts by the weighted average number of shares outstanding during the year. Diluted EPS reflects the addition of potentially dilutive securities which for the Company include stock options and nonvested stock.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number of common and common equivalent shares used in the calculation of basic and diluted EPS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consisted of the following (amounts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Weighted average common shares outstanding (used in calculation of basic earnings per</w:t>
            </w: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103,092</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124,039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122,787</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660" w:type="dxa"/>
            <w:vAlign w:val="bottom"/>
          </w:tcPr>
          <w:p>
            <w:pPr>
              <w:jc w:val="right"/>
              <w:spacing w:after="0"/>
              <w:rPr>
                <w:sz w:val="20"/>
                <w:szCs w:val="20"/>
                <w:color w:val="auto"/>
              </w:rPr>
            </w:pPr>
            <w:r>
              <w:rPr>
                <w:rFonts w:ascii="Arial" w:cs="Arial" w:eastAsia="Arial" w:hAnsi="Arial"/>
                <w:sz w:val="18"/>
                <w:szCs w:val="18"/>
                <w:color w:val="auto"/>
              </w:rPr>
              <w:t>1,157</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and common equivalent shares outstanding (used in calculation</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of diluted earnings per share)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104,249</w:t>
            </w:r>
          </w:p>
        </w:tc>
        <w:tc>
          <w:tcPr>
            <w:tcW w:w="3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125,667</w:t>
            </w:r>
          </w:p>
        </w:tc>
        <w:tc>
          <w:tcPr>
            <w:tcW w:w="3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w w:val="99"/>
              </w:rPr>
              <w:t>Anti-dilutive stock options excluded from the calculation of diluted earnings per share</w:t>
            </w: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Accounting standards require the Company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stock-based compensation arrangements is included in Note 14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This update is not expected to have a material impact on the Company’s financial statements.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2011,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The adoption of this guidance did not have a material effect on the Company’s financial statements.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2011, the FASB issued an accounting standards update that requires items of net income, items of other comprehensive income (“OCI”) and total comprehensive income to be presented in one continuous statement or two separate but consecutive statements. This updated presentation makes the items within OCI more prominent. Companies are no longer allowed to present OCI in the statement of stockholders’ equity. The effective date for this update was for the years, and the interim periods within those years, beginning after December 15, 2011. The Company has adopted this guidance and Consolidated Statements of Comprehensive Income are included in the Company’s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by component in Accumulated Other Comprehensive Income of the Company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87"/>
              </w:rPr>
              <w:t>Unrealized</w:t>
            </w:r>
          </w:p>
        </w:tc>
        <w:tc>
          <w:tcPr>
            <w:tcW w:w="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Foreign</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6"/>
          </w:tcPr>
          <w:p>
            <w:pPr>
              <w:jc w:val="center"/>
              <w:ind w:right="880"/>
              <w:spacing w:after="0" w:line="149" w:lineRule="exact"/>
              <w:rPr>
                <w:sz w:val="20"/>
                <w:szCs w:val="20"/>
                <w:color w:val="auto"/>
              </w:rPr>
            </w:pPr>
            <w:r>
              <w:rPr>
                <w:rFonts w:ascii="Arial" w:cs="Arial" w:eastAsia="Arial" w:hAnsi="Arial"/>
                <w:sz w:val="14"/>
                <w:szCs w:val="14"/>
                <w:b w:val="1"/>
                <w:bCs w:val="1"/>
                <w:color w:val="auto"/>
                <w:w w:val="79"/>
              </w:rPr>
              <w:t>gain/loss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currency</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86"/>
              </w:rPr>
              <w:t>translation</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82"/>
              </w:rPr>
              <w:t>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(1,569)</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Current period other comprehensive income</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1,350</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Investment Securities</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gridSpan w:val="2"/>
          </w:tcPr>
          <w:p>
            <w:pPr>
              <w:ind w:left="460"/>
              <w:spacing w:after="0"/>
              <w:rPr>
                <w:sz w:val="20"/>
                <w:szCs w:val="20"/>
                <w:color w:val="auto"/>
              </w:rPr>
            </w:pPr>
            <w:r>
              <w:rPr>
                <w:rFonts w:ascii="Arial" w:cs="Arial" w:eastAsia="Arial" w:hAnsi="Arial"/>
                <w:sz w:val="18"/>
                <w:szCs w:val="18"/>
                <w:color w:val="auto"/>
                <w:w w:val="92"/>
              </w:rPr>
              <w:t>Investment securities consisted of the following (amounts in thousands):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84"/>
              </w:rPr>
              <w:t>Available-for-sale securities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Fair value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(net carrying</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2012</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$161,631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(369)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180,335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(374)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$196,986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(2,070)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(2,091)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For investments with unrealized losses as of December 31, 2012,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00"/>
          </w:cols>
          <w:pgMar w:left="24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amortized cost and estimated fair value of these investment securities at December 31, 2012, by contractual maturity are shown below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7"/>
              </w:rPr>
              <w:t>Amortized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 securities</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$138,992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two years</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$180,335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Receivables, net</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2"/>
          </w:tcPr>
          <w:p>
            <w:pPr>
              <w:ind w:left="460"/>
              <w:spacing w:after="0"/>
              <w:rPr>
                <w:sz w:val="20"/>
                <w:szCs w:val="20"/>
                <w:color w:val="auto"/>
              </w:rPr>
            </w:pPr>
            <w:r>
              <w:rPr>
                <w:rFonts w:ascii="Arial" w:cs="Arial" w:eastAsia="Arial" w:hAnsi="Arial"/>
                <w:sz w:val="18"/>
                <w:szCs w:val="18"/>
                <w:color w:val="auto"/>
              </w:rPr>
              <w:t>Receivables, net consisted of the following (amounts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58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$275,302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$264,034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Hotel</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18,227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34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47,257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340,786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330,344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340" w:type="dxa"/>
            <w:vAlign w:val="bottom"/>
            <w:gridSpan w:val="2"/>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(102,213)</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(91,854)</w:t>
            </w: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238,573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$238,490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4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7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$732,209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3,837,215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3,777,612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135,392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1,646,506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1,655,655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316,658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110,490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6,778,470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6,585,952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(2,050,571)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(1,720,620)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$4,727,899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$4,865,332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440" w:right="260"/>
        <w:spacing w:after="0" w:line="440" w:lineRule="auto"/>
        <w:rPr>
          <w:sz w:val="20"/>
          <w:szCs w:val="20"/>
          <w:color w:val="auto"/>
        </w:rPr>
      </w:pPr>
      <w:r>
        <w:rPr>
          <w:rFonts w:ascii="Arial" w:cs="Arial" w:eastAsia="Arial" w:hAnsi="Arial"/>
          <w:sz w:val="18"/>
          <w:szCs w:val="18"/>
          <w:color w:val="auto"/>
        </w:rPr>
        <w:t>Depreciation expense for the years ended December 31, 2012, 2011 and 2010, was $367.1 million, $389.8 million and $394.9 million, respectively. 88</w:t>
      </w:r>
    </w:p>
    <w:p>
      <w:pPr>
        <w:sectPr>
          <w:pgSz w:w="11900" w:h="16838" w:orient="portrait"/>
          <w:cols w:equalWidth="0" w:num="1">
            <w:col w:w="11080"/>
          </w:cols>
          <w:pgMar w:left="240" w:top="459" w:right="5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Macau</w:t>
            </w:r>
          </w:p>
        </w:tc>
        <w:tc>
          <w:tcPr>
            <w:tcW w:w="12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Show</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Gaming</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26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Water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0"/>
              </w:rPr>
              <w:t>Concession</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Rights</w:t>
            </w:r>
          </w:p>
        </w:tc>
        <w:tc>
          <w:tcPr>
            <w:tcW w:w="2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2011</w:t>
            </w:r>
          </w:p>
        </w:tc>
        <w:tc>
          <w:tcPr>
            <w:tcW w:w="2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$ 27,401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(2,071)</w:t>
            </w:r>
          </w:p>
        </w:tc>
        <w:tc>
          <w:tcPr>
            <w:tcW w:w="2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25,018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2,934</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(2,071)</w:t>
            </w:r>
          </w:p>
        </w:tc>
        <w:tc>
          <w:tcPr>
            <w:tcW w:w="2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2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$ 22,635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6,400</w:t>
            </w:r>
          </w:p>
        </w:tc>
        <w:tc>
          <w:tcPr>
            <w:tcW w:w="5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Macau gaming concession intangible is being amortized over the 20-year life of the concession. The Company expects that amortization of the Macau gaming concession will be $2.4 million each year from 2013 through 2021, and $1.2 million in 2022.</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Show production rights represent amounts paid to purchase the rights to the “Le Rêve” production show, which is performed at Wynn Las Vegas. The Company expects show production rights amortization of $0.9 million in 2013, which is the final year of amortization.</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88"/>
        </w:trPr>
        <w:tc>
          <w:tcPr>
            <w:tcW w:w="92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3"/>
              </w:rPr>
              <w:t>7 7/8% Wynn Las Vegas First Mortgage Notes, due November 1, 2017, net of original issue discount of $7,384 at December</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31, 2012 and $8,578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492,616</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120" w:type="dxa"/>
            <w:vAlign w:val="bottom"/>
            <w:shd w:val="clear" w:color="auto" w:fill="CCEEFF"/>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5"/>
              </w:rPr>
              <w:t>7 7/8% Wynn Las Vegas First Mortgage Notes, due May 1, 2020,net of original issue discount of $1,632 at December 31,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2012 and $1,789 at December 31, 2011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350,378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350,221</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7 3/4% Wynn Las Vegas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5 3/8% Wynn Las Vegas First Mortgage Notes, due March 15, 2022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tcPr>
          <w:p>
            <w:pPr>
              <w:spacing w:after="0"/>
              <w:rPr>
                <w:sz w:val="18"/>
                <w:szCs w:val="18"/>
                <w:color w:val="auto"/>
              </w:rPr>
            </w:pP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2"/>
              </w:rPr>
              <w:t>Wynn Macau Senior Term Loan Facilities (as amended July 2012), due July 31, 2017 and July 31, 2018; interest at LIBOR 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HIBOR plus 1.75%—2.50%, net of original issue discount of $3,737 at December 31, 2012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749,433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5"/>
              </w:rPr>
              <w:t>Wynn Macau Senior Term Loan Facilities (as amended June 2007), due June 27, 2014; interest at LIBOR or HIBOR plus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1.25%—1.75% at December 31, 2011</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477,251</w:t>
            </w:r>
          </w:p>
        </w:tc>
        <w:tc>
          <w:tcPr>
            <w:tcW w:w="120" w:type="dxa"/>
            <w:vAlign w:val="bottom"/>
          </w:tcPr>
          <w:p>
            <w:pPr>
              <w:spacing w:after="0"/>
              <w:rPr>
                <w:sz w:val="19"/>
                <w:szCs w:val="19"/>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6"/>
              </w:rPr>
              <w:t>Wynn Macau Senior Revolving Credit Facilities, (as amended July 2012) due July 31, 2017; interest at LIBOR or HIBOR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1.75%—2.50%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3"/>
              </w:rPr>
              <w:t>Wynn Macau Senior Revolving Credit Facility, due June 27, 2012; interest at LIBOR or HIBOR plus 1.25% at December 31,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150,400</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9"/>
              </w:rPr>
              <w:t>Redemption Price Promissory Note with former stockholder and related party, due February 18, 2022; interest at 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1,936,443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35,350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12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5,782,820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3,217,719</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(407,934)</w:t>
            </w:r>
          </w:p>
        </w:tc>
      </w:tr>
      <w:tr>
        <w:trPr>
          <w:trHeight w:val="222"/>
        </w:trPr>
        <w:tc>
          <w:tcPr>
            <w:tcW w:w="9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5,781,770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2,809,785</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Wynn Las Vegas First Mortgage Notes due 2017</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October 2009, Wynn Las Vegas, LLC and Wynn Las Vegas Capital Corp. (together, the “Issuers”) issued, in a private offering, $500 million aggregate principal amount of 7 7/8% first mortgage notes due November 1, 2017 (the “2017 Notes”) at a price of 97.823% of the principal amount. Interest is due on the 2017 Notes on May 1st and November 1st of each year. Commencing November 1, 2013, the 2017 Notes are redeemable at the Issuers’ option at a price equal to 103.938% of the principal amount redeemed and the premium over the principal amount declines ratably on November 1st of each year thereafter to zero on or after November 1, 2015. The 2017 Notes are senior obligations of the Issuers and are unsecured (except by the first priority pledge by Wynn Resorts Holdings, LLC of its equity interests in Wynn Las Vegas, LLC (the “Holdings pledge”)). The Issuers’ obligations under the 2017 Notes rank pari passu in right of payment with the 7 7/8% 2020 Notes (as defined below), the 7 3/4% 2020 Notes (as defined below) and the 2022 Notes (as defined below). The 2017 Notes are not guaranteed by any of the Company’s subsidiaries. If the Issuers undergo a change of control, they must offer to repurchase the 2017 Notes at 101% of the principal amount, plus accrued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and unpaid interest. The indenture governing the 2017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Wynn Las Vegas First Mortgage Notes due 2020</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April 2010, the Issuers issued, in a private offering, $352 million aggregate principal amount of 7 7/8% first mortgage notes due May 1, 2020 (the “7 7/8% 2020 Notes”). The 7 7/8% 2020 Notes were issued pursuant to an exchange offer for previously issued notes that were to mature in December 2014. Interest is due on the 7 7/8% 2020 Notes on May 1st and November 1st of each year. Commencing May 1, 2015, the 7 7/8% 2020 Notes are redeemable at the Issuers’ option at a price equal to 103.938% of the principal amount redeemed and the premium over the principal amount declines ratably on May 1st of each year thereafter to zero on or after May 1, 2018. The 7 7/8% 2020 Notes are senior obligations of the Issuers and are unsecured (except by the Holdings pledge). The Issuers’ obligations under the 7 7/8% 2020 Notes rank pari passu in right of payment with the 2017 Notes, the 7 3/4% 2020 Notes (as defined below) and the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2022 Notes (as defined below). The 7 7/8% 2020 Notes are not guaranteed by any of the Company’s subsidiaries. If the Issuers undergo a change of control, they must offer to repurchase the 7 7/8% 2020 Notes at 101% of the principal amount, plus accrued and unpaid interest. The indenture governing the 7 7/8%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August 2010, the Issuers issued $1.32 billion aggregate principal amount of 7 3/4% first mortgage notes due August 15, 2020 (the “7 3/4% 2020 Notes”). The 7 3/4% 2020 Notes were issued at par. The 7 3/4% 2020 Notes refinanced a previous notes issue that was to mature in December 2014. Interest is due on the 7 3/4% 2020 Notes on February 15th and August 15th of each year. Commencing August 15, 2015, the 7 3/4% 2020 Notes are redeemable at the Issuers’ option at a price equal to 103.875% of the principal amount redeemed and the premium over the principal amount declines ratably on August 15th of each year thereafter to zero on or after August 15, 2018. The 7 3/4% 2020 Notes are senior obligations of the Issuers and are unsecured (except by the Holdings pledge). The Issuers’ obligations under the 7 3/4% 2020 Notes rank pari passu in right of payment with the 2017 Notes, the 7 7/8% 2020 Notes and the 2022 Notes (as defined below). The 7 3/4% 2020 Notes are not guaranteed by any of the Company’s subsidiaries. If the Issuers undergo a change of control, they must offer to repurchase the 7 3/4% 2020 Notes at 101% of the principal amount, plus accrued and unpaid interest. The indenture governing the 7 3/4%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3/8</w:t>
      </w:r>
      <w:r>
        <w:rPr>
          <w:rFonts w:ascii="Arial" w:cs="Arial" w:eastAsia="Arial" w:hAnsi="Arial"/>
          <w:sz w:val="18"/>
          <w:szCs w:val="18"/>
          <w:color w:val="auto"/>
        </w:rPr>
        <w:t>%</w:t>
      </w:r>
      <w:r>
        <w:rPr>
          <w:rFonts w:ascii="Arial" w:cs="Arial" w:eastAsia="Arial" w:hAnsi="Arial"/>
          <w:sz w:val="18"/>
          <w:szCs w:val="18"/>
          <w:i w:val="1"/>
          <w:iCs w:val="1"/>
          <w:color w:val="auto"/>
        </w:rPr>
        <w:t xml:space="preserve"> Wynn Las Vegas First Mortgage Notes due 2022</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March 2012, the Issuers issued, in a private offering, $900 million aggregate principal amount of 5 3/8% first mortgage notes due 2022 (the “2022 Notes”). A portion of the proceeds were used to repay all amounts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outstanding under the Wynn Las Vegas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2020. The 2022 Notes are senior obligations of the Issuers and are unsecured (except by the Holdings pledge). The Issuers’ obligations under the 2022 Notes rank pari passu in right of payment with the 2017 Notes, the 7 7/8% 2020 Notes and the 7 3/4% 2020 Notes. The 2022 Notes are not guaranteed by any of the Company’s subsidiaries. If the Issuers undergo a change of control, they must offer to repurchase the 2022 Notes at 101% of the principal amount, plus accrued and unpaid interest. The indenture governing the 2022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described in Note 16 of the Consolidated Financial Statements, Elaine Wynn has submitted a cross claim against Steve Wynn and Kazuo Okada. The indentures for the 2017 Notes, the 7 7/8% 2020 Notes, the 7 3/4% 2020 Notes and the 2022 Notes (collectively,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Indentures and the Company’s other debt documents.</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September 2012, as discussed below, the Wynn Las Vegas Credit Agreement (as defined below) was terminated, and in accordance with the respective Indentures, the liens (other than the Holdings pledge) on the assets of Wynn Las Vegas, LLC and its subsidiaries securing, and the subsidiary guarantees of, the 2017 Notes, the 7 7/8% 2020 Notes, the 7 3/4% 2020 Notes and the 2022 Notes were released.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March 2012, Wynn Las Vegas entered into an eighth amendment (“Amendment No. 8”) to its Amended and Restated Credit Agreement, dated as of August 15, 2006 (as amended, the “Wynn Las Vegas Credit Agreement”). Amendment No. 8 amended the Wynn Las Vegas Credit Agreement to, among other things, permit the issuance of the 2022 Notes. Concurrently with the issuance of the 2022 Notes, Wynn Las Vegas, LLC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September 2012, Wynn Las Vegas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related to the termination.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the termination, the Company expensed $2.6 million of previously deferred financing costs and third party fees related to the Wynn Las Vegas Credit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During the year ended December 31, 2012, Wynn Macau, S.A. repaid $150.4 million of borrowings under the Wynn Macau Senior Revolving Credit Facility. On June 27, 2012, the Wynn Macau Senior Revolving Credit Facility matured with an outstanding balance of $0.</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31, 2012, Wynn Macau, S.A.,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and related agreements took effect on July 31, 2012 and expand availability under Wynn Macau S.A.’s senior secured bank facility to US$2.3 billion equivalent, consisting of a US$750 million equivalent fully funded senior secured term loan facility and a US$1.55 billion equivalent senior secured revolving credit facility. Wynn Macau, S.A. also has the ability to upsize the total senior secured facilities by an additional US$200 million pursuant to the terms and provisions of the Amended Wynn Macau Credit Facilities. Borrowings under the Amended Wynn Macau Credit Facilities, which consist of both Hong Kong Dollar and United States Dollar tranches, were used to refinance Wynn Macau S.A.’s existing indebtedness, and will be used to fund the design, development, construction and pre-opening expenses of Wynn Cotai and for general corporate purposes.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 loan facility matures in July 2018, and the revolving credit facility matures in July 2017. The principal amount of the term loan is required to be repaid in two equal installments in July 2017 and July 2018. The senior secured facilities bear interest for the first six months after closing at LIBOR or HIBOR plus a margin of 2.50% and thereafter will be subject to LIBOR or HIBOR plus a margin of between 1.75% to 2.50% based on Wynn Macau, S.A.’s leverage ratio.</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Borrowings under the Amended Wynn Macau Credit Facilities are guaranteed by Palo Real Estate Company Limited (“Palo”), a subsidiary of Wynn Macau, S.A., and by certain subsidiaries of the Company that own equity interests in Wynn Macau, S.A., and are secured by substantially all of the assets of Wynn Macau, S.A., the equity interests in Wynn Macau, S.A. and substantially all of the assets of Palo.</w:t>
      </w:r>
    </w:p>
    <w:p>
      <w:pPr>
        <w:spacing w:after="0" w:line="107" w:lineRule="exact"/>
        <w:rPr>
          <w:sz w:val="20"/>
          <w:szCs w:val="20"/>
          <w:color w:val="auto"/>
        </w:rPr>
      </w:pPr>
    </w:p>
    <w:p>
      <w:pPr>
        <w:ind w:left="460" w:right="360"/>
        <w:spacing w:after="0" w:line="391" w:lineRule="auto"/>
        <w:rPr>
          <w:sz w:val="20"/>
          <w:szCs w:val="20"/>
          <w:color w:val="auto"/>
        </w:rPr>
      </w:pPr>
      <w:r>
        <w:rPr>
          <w:rFonts w:ascii="Arial" w:cs="Arial" w:eastAsia="Arial" w:hAnsi="Arial"/>
          <w:sz w:val="16"/>
          <w:szCs w:val="16"/>
          <w:color w:val="auto"/>
        </w:rPr>
        <w:t>In connection with amending the Wynn Macau credit facilities, the Company expensed $17.7 million and capitalized $33.2 million of financing costs. The Amended Wynn Macau Credit Facilities contain a requirement that Wynn Macau, S.A. must make mandatory repayments of indebtedness from</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specified percentages of excess cash flow. If Wynn Macau, S.A. meets a Consolidated Leverage Ratio, as defined in the Amended Wynn Macau Credit Facilities, of greater than 4.0 to 1, such repayment is defined as 50% of Excess Cash Flow, as defined in the Amended Wynn Macau Credit Facilities. If the Consolidated Leverage Ratio is equal or less than 4.0 to 1, then no repayment is required. Based on current estimates the Company does not believe that the Wynn Macau Consolidated Leverage Ratio during the year ending December 31, 2013 will exceed 4.0 to 1. Accordingly, Wynn Macau, S.A. does not expect to make any mandatory repayments pursuant to this requirement during 2013.</w:t>
      </w:r>
    </w:p>
    <w:p>
      <w:pPr>
        <w:spacing w:after="0" w:line="11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Amended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was required by the financial covenants to maintain a Leverage Ratio, as defined in the Amended Wynn Macau Credit Facilities, of not greater than 3.75 to 1 as of December 31, 2012, and an Interest Coverage Ratio, as defined in the Amended Wynn Macau Credit Facilities, of not less than 2.00 to 1. Management believes that Wynn Macau was in compliance with all covenants at December 31, 2012.</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connection with the initial financing of Wynn Macau,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As of December 31, 2012, the guarantee was in the amount of 300 million Macau Patacas (approximately US$37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Amended Wynn Macau Credit Facilities, Wynn Macau, S.A. is obligated to promptly, upon demand by BNU, repay any claim made on the guarantee by the Macau government. BNU is paid an annual fee for the guarantee of approximately 5.2 million Macau Patacas (approximately US$0.7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the Company issued the Redemption Note to Aruze USA, Inc., a former stockholder and related party,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Note 16); the outcome of on-going investigations by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 Aruze USA, Inc., Universal Entertainment Corporation and Kazuo Okada have challenged the redemption of Aruze USA, Inc.’s shares and we are currently involved in litigation with those parties as well as related shareholder derivative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litigation. The outcome of these various proceedings cannot be predicted. Any adverse judgments or settlements involving payment of a material sum of money could cause a material adverse effect on our financial condition and results of operations and could expose the Company to additional claims by third parties, including current or former investors or regulators. Any adverse judgments or settlements would reduce the Company’s profits and could limit the Company’s ability to operate its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 Million Note Payable for Aircraft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$32.5 Million Note Payable for Aircraft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May 10, 2007, World Travel G-IV, LLC, a subsidiary of Wynn Resorts, entered into a $32.5 million term loan credit facility to finance the purchase of an aircraft. Principal payments of $542,000 plus interest were made quarterly with a balloon payment of $21.1 million made on August 10, 2012. Interest was calculated at LIBOR plus 115 basis points. There were no amounts outstanding on this note as of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net book value of the Company’s outstanding first mortgage notes was $3.1 billion and $2.2 billion at December 31, 2012 and 2011, respectively. The estimated fair value of the Company’s outstanding first mortgage notes, based on recent trades (using level 2 inputs), was approximately $3.4 billion and $2.4 billion as of December 31, 2012 and 2011, respectively. The net book value of the Company’s other debt instruments, excluding the Redemption Note, was approximately $783.4 million and $1.1 billion as of December 31, 2012 and 2011, respectively. The estimated fair value of the Company’s other debt instruments was approximately $760.8 million and $1 billion as of December 31, 2012 and 2011, respectively. The estimated fair value of the Redemption Note (using level 2 inputs) was approximately $1.94 billion at December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$12.8 million, are as follows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2014</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905,285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4,885,038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5,795,573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Income, as the interest rate swaps do not qualify for hedge accounting.</w:t>
      </w:r>
    </w:p>
    <w:p>
      <w:pPr>
        <w:spacing w:after="0" w:line="10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following table presents the historical fair value of the interest rate swaps recorded in the accompanying Consolidated Balance Sheets as of December 31, 2012 and 2011. The Company utilized Level 2 inputs as described in Note 2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2012, the interest rate swaps are included in other long term liabilities. As of December 31, 2011, the interest rate swap liabilities were included in other current accrued liabilities.</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3220" w:type="dxa"/>
            <w:vAlign w:val="bottom"/>
          </w:tcPr>
          <w:p>
            <w:pPr>
              <w:spacing w:after="0"/>
              <w:rPr>
                <w:sz w:val="20"/>
                <w:szCs w:val="20"/>
                <w:color w:val="auto"/>
              </w:rPr>
            </w:pPr>
            <w:r>
              <w:rPr>
                <w:rFonts w:ascii="Arial" w:cs="Arial" w:eastAsia="Arial" w:hAnsi="Arial"/>
                <w:sz w:val="14"/>
                <w:szCs w:val="14"/>
                <w:b w:val="1"/>
                <w:bCs w:val="1"/>
                <w:color w:val="auto"/>
              </w:rPr>
              <w:t>Liability fair value:</w:t>
            </w:r>
          </w:p>
        </w:tc>
        <w:tc>
          <w:tcPr>
            <w:tcW w:w="18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4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4"/>
                <w:szCs w:val="14"/>
                <w:b w:val="1"/>
                <w:bCs w:val="1"/>
                <w:color w:val="auto"/>
              </w:rPr>
              <w:t>(amounts in thousands)</w:t>
            </w:r>
          </w:p>
        </w:tc>
        <w:tc>
          <w:tcPr>
            <w:tcW w:w="18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1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3,938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00" w:type="dxa"/>
            <w:vAlign w:val="bottom"/>
            <w:shd w:val="clear" w:color="auto" w:fill="CCEEFF"/>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December 31, 2011</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4,628</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40"/>
              <w:spacing w:after="0"/>
              <w:rPr>
                <w:sz w:val="20"/>
                <w:szCs w:val="20"/>
                <w:color w:val="auto"/>
              </w:rPr>
            </w:pPr>
            <w:r>
              <w:rPr>
                <w:rFonts w:ascii="Arial" w:cs="Arial" w:eastAsia="Arial" w:hAnsi="Arial"/>
                <w:sz w:val="18"/>
                <w:szCs w:val="18"/>
                <w:color w:val="auto"/>
              </w:rPr>
              <w:t>2,670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June 2012, the Company terminated its Wynn Las Vegas swap for a payment of $2.4 million. As of December 31, 2011, the liability fair value of this interest rate swap was approximately $4.6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2012, the Wynn Macau swap matured. As of December 31, 2011, the liability fair value of this interest rate swap was approximately $2.7 million.</w:t>
      </w:r>
    </w:p>
    <w:p>
      <w:pPr>
        <w:spacing w:after="0" w:line="19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Effective September 28, 2012, the Company entered into two interest rate swap agreements intended to hedge a portion of the underlying interest rate risk on borrowings under the Amended Wynn Macau Credit Facilities. Under the two swap agreements, the Company pays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Effective October 31, 2012, the Company entered into a third interest rate swap agreement intended to hedge a portion of the underlying interest rate risk on borrowings under the Amended Wynn Macau Credit Facilities. Under this swap agreement, the Company pays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both"/>
        <w:ind w:right="9080" w:firstLine="8"/>
        <w:spacing w:after="0" w:line="417" w:lineRule="auto"/>
        <w:tabs>
          <w:tab w:leader="none" w:pos="263"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Related Party Share Redemption</w:t>
      </w:r>
    </w:p>
    <w:p>
      <w:pPr>
        <w:spacing w:after="0" w:line="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authorizes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the Company issued the Redemption Price Promissory Note to Aruze USA, Inc., a former stockholder and related party, in redemption of the shares. Aruze USA, Inc., Universal Entertainment Corporation and Kazuo Okada have challenged the redemption of Aruze USA, Inc.’s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the Company to additional claims by third parties, including current or former investors or regulators. Any adverse judgments or settlements would reduce the Company’s profits and could limit the Company’s ability to operate its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December 31, 2012 and 2011, Mr. Wynn and the other officers and directors had a net deposit balance with the Company of $1.0 million and $0.4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Purchase</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May 2010, the Company entered into an employment agreement with Linda Chen, who is the Chief Operating Officer of Wynn Macau. The term of the employment agreement is through February 24, 2020. Under the terms of the employment agreement, the Company purchased a home in Macau for use by</w:t>
      </w:r>
    </w:p>
    <w:p>
      <w:pPr>
        <w:spacing w:after="0" w:line="261" w:lineRule="auto"/>
        <w:rPr>
          <w:sz w:val="20"/>
          <w:szCs w:val="20"/>
          <w:color w:val="auto"/>
        </w:rPr>
      </w:pPr>
      <w:r>
        <w:rPr>
          <w:rFonts w:ascii="Arial" w:cs="Arial" w:eastAsia="Arial" w:hAnsi="Arial"/>
          <w:sz w:val="18"/>
          <w:szCs w:val="18"/>
          <w:color w:val="auto"/>
        </w:rPr>
        <w:t>Ms. Chen and has made renovations to the home with total costs of $9.3 million through December 31, 2012. The employment agreement also provides Ms. Chen the use of an automobile in Macau. Upon the occurrence of certain events set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Plane Option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the termination of a previously granted option to purchase an approximately two acre tract of land located on the Wynn Las Vegas golf course and in consideration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2"/>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on assets abandoned/retired for remodel or sold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19,708</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Donation to University of Macau Foundation</w:t>
            </w:r>
          </w:p>
        </w:tc>
        <w:tc>
          <w:tcPr>
            <w:tcW w:w="580" w:type="dxa"/>
            <w:vAlign w:val="bottom"/>
          </w:tcPr>
          <w:p>
            <w:pPr>
              <w:jc w:val="right"/>
              <w:spacing w:after="0"/>
              <w:rPr>
                <w:sz w:val="20"/>
                <w:szCs w:val="20"/>
                <w:color w:val="auto"/>
              </w:rPr>
            </w:pPr>
            <w:r>
              <w:rPr>
                <w:rFonts w:ascii="Arial" w:cs="Arial" w:eastAsia="Arial" w:hAnsi="Arial"/>
                <w:sz w:val="18"/>
                <w:szCs w:val="18"/>
                <w:color w:val="auto"/>
              </w:rPr>
              <w:t>4,083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109,563</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on contract termination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Loss on show cancellation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56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39,978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130,649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25,219</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Property charges and other generally include costs related to the retirement of assets for remodels and asset abandonments. Property charges and other for the year ended December 31, 2012 include a remodel of two Las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Vegas restaurants, charges associated with the termination of a Las Vegas show that ended its run in November 2012, and miscellaneous renovations and abandonments at our resorts.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Property charges and other for the year ended December 31, 2011 include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Consolidated Statements of Income has been discounted using the Company’s estimated borrowing rate over the time period of the remaining committed payments. In accordance with accounting standards for contributions, subsequent accretion of the discount is being recorded as additional donation expense and included in Property charges and other. Also included are the write off of certain off-site golf memberships by Wynn Las Vegas, miscellaneous renovations and abandonments at the Company’s resorts, including modifications of the Encore at Wynn Las Vegas retail esplanade, closure of the Blush nightclub and the write off of certain costs related to a show that ended its run in Las Vegas in April 2011.</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at Wynn Las Vegas and Wynn Macau.</w:t>
      </w:r>
    </w:p>
    <w:p>
      <w:pPr>
        <w:spacing w:after="0" w:line="215" w:lineRule="exact"/>
        <w:rPr>
          <w:sz w:val="20"/>
          <w:szCs w:val="20"/>
          <w:color w:val="auto"/>
        </w:rPr>
      </w:pPr>
    </w:p>
    <w:p>
      <w:pPr>
        <w:ind w:right="9460" w:firstLine="8"/>
        <w:spacing w:after="0" w:line="347" w:lineRule="auto"/>
        <w:tabs>
          <w:tab w:leader="none" w:pos="26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i w:val="1"/>
          <w:iCs w:val="1"/>
          <w:color w:val="auto"/>
        </w:rPr>
        <w:t>Common Stock</w:t>
      </w:r>
    </w:p>
    <w:p>
      <w:pPr>
        <w:spacing w:after="0" w:line="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2012 and 2011, 100,866,712 shares and 125,080,998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Board of Directors of Wynn Resorts has authorized an equity repurchase program of up to $1.7 billion. The repurchase program may include repurchases from time to time through open market purchases or negotiated transactions, depending upon market conditions. As of December 31, 2012, the Company had repurchased a cumulative total of 12,863,730 shares of the Company’s Common Stock for a net cost of $1.1 billion under the program. Under the repurchase program, there were no repurchases made during the years ended December 31, 2012, 2011 and 2010.</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2012 and 2011, the Company repurchased a total of 7,640 and 51,136 shares, respectively, in satisfaction of tax withholding obligations on vested restricted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is authorized to issue up to 40,000,000 shares of undesignated preferred stock, $0.01 par value per share (the “Preferred Stock”). As of December 31, 2012, the Company had not issued any Preferred Stock.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20"/>
          </w:cols>
          <w:pgMar w:left="24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cancelled Aruze USA, Inc.’s 24,549,222 shares of Wynn Resorts’ common stock. For more information, refer to Note 16—“Commitments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this subsidiary’s common stock (the “Wynn Macau Limited IPO”). Proceeds to the Company as a result of this transaction were approximately $1.8 billion, net of transaction costs of approximately $84 million. The shares of Wynn Macau, Limited were not and will not be registered under the Securities Act and may not be offered or sold in the United States absent a registration under the Securities Act, or an applicable exception from such registration requirements. Net income attributable to noncontrolling interest was $226.7 million, $211.7 million and $156.5 million for the years ended December 31, 2012, 2011 and 2010, respectively.</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November 16, 2011, the Wynn Macau, Limited Board of Directors approved a HK$1.20 per share dividend. The total dividend amount was approximately $800 million and the Company’s share of this dividend was $578.3 million. A reduction of $221.6 million was made to noncontrolling interest in the accompanying Consolidated Balance Sheets to reflect the payment of this dividend.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2, 2010, the Wynn Macau, Limited Board of Directors approved a HK$0.76 per share dividend. The total dividend amount was approximately $508 million and the Company’s share of this dividend was $367 million. A reduction of $140.7 million was made to noncontrolling interest in the accompanying Consolidated Balance Sheets to reflect the payment of this dividend.</w:t>
      </w:r>
    </w:p>
    <w:p>
      <w:pPr>
        <w:spacing w:after="0" w:line="215" w:lineRule="exact"/>
        <w:rPr>
          <w:sz w:val="20"/>
          <w:szCs w:val="20"/>
          <w:color w:val="auto"/>
        </w:rPr>
      </w:pPr>
    </w:p>
    <w:p>
      <w:pPr>
        <w:ind w:right="9720" w:firstLine="8"/>
        <w:spacing w:after="0" w:line="417" w:lineRule="auto"/>
        <w:tabs>
          <w:tab w:leader="none" w:pos="263"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Company established a retirement savings plan under Section 401(k) of the Internal Revenue Code covering its U.S. non-union employees in</w:t>
      </w:r>
    </w:p>
    <w:p>
      <w:pPr>
        <w:spacing w:after="0" w:line="3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July 2000. The plan allows employees to defer, within prescribed limits, a percentage of their income on a pre-tax basis through contributions to this plan. The Company suspended matching contributions to this plan effective March 2009 and did not record any expense for matching contributions for the years ended December 31, 2012, 2011 and 2010, respectively.</w:t>
      </w:r>
    </w:p>
    <w:p>
      <w:pPr>
        <w:spacing w:after="0" w:line="144"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years. Forfeitures of unvested contributions are used to reduce the Company’s liability for its contributions payable. For the period from March 1, 2009 through April 30, 2010, the Company suspended its matching contributions. The contributions were reinstated effective May 1, 2010. During the years ended December 31, 2012, 2011 and 2010, the Company recorded an expense for matching contributions of $7.1 million, $6.6 million and $3.3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$8.6 million, $7.6 million and $6.8 million for contributions to the Plan for the years ended December 31, 2012, 2011 and 2010, respectively. For the 2011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2011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established the 2002 Stock Incentive Plan (the “WRL Stock Plan”) to provide for the grant of (i) incentive stock options, (ii) compensatory (i.e., nonqualified) stock options, and (iii) nonvested shares of Common Stock of Wynn Resorts, Limited. Employees, directors (whether employee or nonemployee)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independent contractors or consultants of the Company are eligible to participate in the WRL Stock Plan. However, only employees of the Company are eligible to receive incentive stock options.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maximum of 12,750,000 shares of Common Stock are reserved for issuance under the WRL Stock Plan. As of December 31, 2012, 4,087,064 shares remain available for the grant of stock options or nonvested shares of Common Stock.</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Options are granted at the current market price at the date of grant. The WRL Stock Plan provides for a variety of vesting schedules all determined at the time of grant. All options expire ten years from the date of grant.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WRL Stock Plan as of December 31, 2012, and the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2,729,124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173,830</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101.60</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(332,576)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46.86</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Canceled/Expired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(172,558)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86.65</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2,397,820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110,155,465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Fully vested and expected to vest at December 31, 2012</w:t>
            </w: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66.60</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6.07</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5"/>
              </w:rPr>
              <w:t>105,717,827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2,285,904</w:t>
            </w:r>
          </w:p>
        </w:tc>
        <w:tc>
          <w:tcPr>
            <w:tcW w:w="30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311,290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15,907,396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stock options of the WRL Stock Plan (amounts in thousands, except weighted average grant date fair value):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Intrinsic value of stock options exercised</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22,416</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36,776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15,583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w w:val="97"/>
              </w:rPr>
              <w:t>Tax benefits realized from the exercise of stock options and vesting of restricted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5,537</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2012, there was a total of $53.4 million of unamortized compensation related to stock options, which is expected to be recognized over the vesting period of the related grants through May 2019.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status of the WRL Stock Plan’s nonvested shares as of December 31, 2012 and changes during the year then ended is presented below:</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756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January 1,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41,500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110.04</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(153,000)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Canceled</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(31,500)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109.34</w:t>
            </w:r>
          </w:p>
        </w:tc>
        <w:tc>
          <w:tcPr>
            <w:tcW w:w="10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2012</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651,500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103.27</w:t>
            </w:r>
          </w:p>
        </w:tc>
        <w:tc>
          <w:tcPr>
            <w:tcW w:w="10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nonvested stock of the WRL Stock Plan (amounts in thousands, except weighted average grant date fair value):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110.04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129.55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Fair value of shares vested</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15,653</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24,865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Approximately $42.5 million of unamortized compensation cost relating to nonvested shares of Common Stock at December 31, 2012 will be recognized as compensation over the vesting period of the related grants through October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 Stock Incentive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majority owned subsidiary Wynn Macau, Limited adopted a stock incentive plan effective September 16, 2009 (the “WML Stock Plan”). The purpose of the WML Stock Plan is to reward participants, which may include directors and employees of Wynn Macau, Limited who have contributed towards enhancing the value of Wynn Macau and its shares. A maximum of 518,750,000 shares have been reserved for issuance under the WML Stock Plan. As of December 31, 2012, 2.2 million options have been granted.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summary of option activity under the WML Stock Plan as of December 31, 2012, and the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1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1,350,000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Granted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760,000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2.46</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6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2620" w:type="dxa"/>
            <w:vAlign w:val="bottom"/>
            <w:gridSpan w:val="3"/>
          </w:tcPr>
          <w:p>
            <w:pPr>
              <w:jc w:val="right"/>
              <w:ind w:right="240"/>
              <w:spacing w:after="0"/>
              <w:rPr>
                <w:sz w:val="20"/>
                <w:szCs w:val="20"/>
                <w:color w:val="auto"/>
              </w:rPr>
            </w:pPr>
            <w:r>
              <w:rPr>
                <w:rFonts w:ascii="Arial" w:cs="Arial" w:eastAsia="Arial" w:hAnsi="Arial"/>
                <w:sz w:val="18"/>
                <w:szCs w:val="18"/>
                <w:color w:val="auto"/>
              </w:rPr>
              <w:t>2,110,000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2.15</w:t>
            </w: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1,416,513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9"/>
              </w:rPr>
              <w:t>Fully vested and expected to vest at December 31, 2012</w:t>
            </w:r>
          </w:p>
        </w:tc>
        <w:tc>
          <w:tcPr>
            <w:tcW w:w="16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2,110,000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Exercisable at December 31, 2012</w:t>
            </w: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1.77</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452,880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20" w:type="dxa"/>
            <w:vAlign w:val="bottom"/>
            <w:vMerge w:val="restart"/>
          </w:tcPr>
          <w:p>
            <w:pPr>
              <w:jc w:val="right"/>
              <w:ind w:right="672"/>
              <w:spacing w:after="0"/>
              <w:rPr>
                <w:sz w:val="20"/>
                <w:szCs w:val="20"/>
                <w:color w:val="auto"/>
              </w:rPr>
            </w:pPr>
            <w:r>
              <w:rPr>
                <w:rFonts w:ascii="Arial" w:cs="Arial" w:eastAsia="Arial" w:hAnsi="Arial"/>
                <w:sz w:val="18"/>
                <w:szCs w:val="18"/>
                <w:color w:val="auto"/>
              </w:rPr>
              <w:t>103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stock options of the WML Stock Plan (amounts in thousands, except weighted average grant date fair value):</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1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Intrinsic value of stock options exercised</w:t>
            </w: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1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2012, there was a total of $1.0 million of unamortized compensation related to stock options, which is expected to be recognized over the vesting period of the related grants through June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The risk-free interest rate used for each period presented is based on the U.S. Treasury yield curve for WRL Stock Plan options or the Hong Kong Exchange Fund rates for the WML Stock Plan options at the time of grant for the period equal to the expected term.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stock options granted under the WRL Stock Plan was estimated on the date of grant using the following weighted-average assumptions: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2060" w:type="dxa"/>
            <w:vAlign w:val="bottom"/>
            <w:gridSpan w:val="3"/>
          </w:tcPr>
          <w:p>
            <w:pPr>
              <w:jc w:val="right"/>
              <w:ind w:right="740"/>
              <w:spacing w:after="0"/>
              <w:rPr>
                <w:sz w:val="20"/>
                <w:szCs w:val="20"/>
                <w:color w:val="auto"/>
              </w:rPr>
            </w:pPr>
            <w:r>
              <w:rPr>
                <w:rFonts w:ascii="Arial" w:cs="Arial" w:eastAsia="Arial" w:hAnsi="Arial"/>
                <w:sz w:val="18"/>
                <w:szCs w:val="18"/>
                <w:color w:val="auto"/>
              </w:rPr>
              <w:t>49.7%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stock options granted under the WML Stock Plan was estimated on the date of grant using the following assumptions: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2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040" w:type="dxa"/>
            <w:vAlign w:val="bottom"/>
            <w:gridSpan w:val="3"/>
          </w:tcPr>
          <w:p>
            <w:pPr>
              <w:jc w:val="right"/>
              <w:ind w:right="120"/>
              <w:spacing w:after="0"/>
              <w:rPr>
                <w:sz w:val="20"/>
                <w:szCs w:val="20"/>
                <w:color w:val="auto"/>
              </w:rPr>
            </w:pPr>
            <w:r>
              <w:rPr>
                <w:rFonts w:ascii="Arial" w:cs="Arial" w:eastAsia="Arial" w:hAnsi="Arial"/>
                <w:sz w:val="18"/>
                <w:szCs w:val="18"/>
                <w:color w:val="auto"/>
              </w:rPr>
              <w:t>49.0%</w:t>
            </w:r>
          </w:p>
        </w:tc>
        <w:tc>
          <w:tcPr>
            <w:tcW w:w="2060" w:type="dxa"/>
            <w:vAlign w:val="bottom"/>
            <w:gridSpan w:val="3"/>
          </w:tcPr>
          <w:p>
            <w:pPr>
              <w:jc w:val="right"/>
              <w:ind w:right="740"/>
              <w:spacing w:after="0"/>
              <w:rPr>
                <w:sz w:val="20"/>
                <w:szCs w:val="20"/>
                <w:color w:val="auto"/>
              </w:rPr>
            </w:pPr>
            <w:r>
              <w:rPr>
                <w:rFonts w:ascii="Arial" w:cs="Arial" w:eastAsia="Arial" w:hAnsi="Arial"/>
                <w:sz w:val="18"/>
                <w:szCs w:val="18"/>
                <w:color w:val="auto"/>
              </w:rPr>
              <w:t>37.8%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040" w:type="dxa"/>
            <w:vAlign w:val="bottom"/>
            <w:gridSpan w:val="3"/>
          </w:tcPr>
          <w:p>
            <w:pPr>
              <w:jc w:val="right"/>
              <w:ind w:right="260"/>
              <w:spacing w:after="0"/>
              <w:rPr>
                <w:sz w:val="20"/>
                <w:szCs w:val="20"/>
                <w:color w:val="auto"/>
              </w:rPr>
            </w:pPr>
            <w:r>
              <w:rPr>
                <w:rFonts w:ascii="Arial" w:cs="Arial" w:eastAsia="Arial" w:hAnsi="Arial"/>
                <w:sz w:val="18"/>
                <w:szCs w:val="18"/>
                <w:color w:val="auto"/>
              </w:rPr>
              <w:t>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r>
      <w:tr>
        <w:trPr>
          <w:trHeight w:val="356"/>
        </w:trPr>
        <w:tc>
          <w:tcPr>
            <w:tcW w:w="3740" w:type="dxa"/>
            <w:vAlign w:val="bottom"/>
          </w:tcPr>
          <w:p>
            <w:pPr>
              <w:spacing w:after="0"/>
              <w:rPr>
                <w:sz w:val="24"/>
                <w:szCs w:val="24"/>
                <w:color w:val="auto"/>
              </w:rPr>
            </w:pPr>
          </w:p>
        </w:tc>
        <w:tc>
          <w:tcPr>
            <w:tcW w:w="2240" w:type="dxa"/>
            <w:vAlign w:val="bottom"/>
          </w:tcPr>
          <w:p>
            <w:pPr>
              <w:jc w:val="right"/>
              <w:ind w:right="972"/>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compensation cost for both the WRL Stock Plan and the WML Stock Plan is allocated as follows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Rooms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14,048</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19,648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23,881</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19"/>
                <w:szCs w:val="19"/>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19,843</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24,767</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27,785</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Consolidated income (loss) before taxes for domestic and foreign operations consisted of the following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Years Ended December 31,</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82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7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(87,122)</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$(239,125)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Foreign</w:t>
            </w:r>
          </w:p>
        </w:tc>
        <w:tc>
          <w:tcPr>
            <w:tcW w:w="27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820,120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756,046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576,168</w:t>
            </w:r>
          </w:p>
        </w:tc>
      </w:tr>
      <w:tr>
        <w:trPr>
          <w:trHeight w:val="27"/>
        </w:trPr>
        <w:tc>
          <w:tcPr>
            <w:tcW w:w="3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732,998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805,567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$ 337,043</w:t>
            </w:r>
          </w:p>
        </w:tc>
      </w:tr>
      <w:tr>
        <w:trPr>
          <w:trHeight w:val="20"/>
        </w:trPr>
        <w:tc>
          <w:tcPr>
            <w:tcW w:w="3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provision (benefit) for income taxes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440"/>
              <w:spacing w:after="0"/>
              <w:rPr>
                <w:sz w:val="20"/>
                <w:szCs w:val="20"/>
                <w:color w:val="auto"/>
              </w:rPr>
            </w:pPr>
            <w:r>
              <w:rPr>
                <w:rFonts w:ascii="Arial" w:cs="Arial" w:eastAsia="Arial" w:hAnsi="Arial"/>
                <w:sz w:val="18"/>
                <w:szCs w:val="18"/>
                <w:color w:val="auto"/>
              </w:rPr>
              <w:t>Federal</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$ 5,912</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$ 7,954</w:t>
            </w: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(3,386)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7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440"/>
              <w:spacing w:after="0"/>
              <w:rPr>
                <w:sz w:val="20"/>
                <w:szCs w:val="20"/>
                <w:color w:val="auto"/>
              </w:rPr>
            </w:pPr>
            <w:r>
              <w:rPr>
                <w:rFonts w:ascii="Arial" w:cs="Arial" w:eastAsia="Arial" w:hAnsi="Arial"/>
                <w:sz w:val="18"/>
                <w:szCs w:val="18"/>
                <w:color w:val="auto"/>
              </w:rPr>
              <w:t>Federal</w:t>
            </w:r>
          </w:p>
        </w:tc>
        <w:tc>
          <w:tcPr>
            <w:tcW w:w="4400" w:type="dxa"/>
            <w:vAlign w:val="bottom"/>
            <w:gridSpan w:val="3"/>
          </w:tcPr>
          <w:p>
            <w:pPr>
              <w:jc w:val="right"/>
              <w:ind w:right="40"/>
              <w:spacing w:after="0"/>
              <w:rPr>
                <w:sz w:val="20"/>
                <w:szCs w:val="20"/>
                <w:color w:val="auto"/>
              </w:rPr>
            </w:pPr>
            <w:r>
              <w:rPr>
                <w:rFonts w:ascii="Arial" w:cs="Arial" w:eastAsia="Arial" w:hAnsi="Arial"/>
                <w:sz w:val="18"/>
                <w:szCs w:val="18"/>
                <w:color w:val="auto"/>
              </w:rPr>
              <w:t>$(3,655)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(10,809)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(3,655)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(16,160)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8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$ 4,299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(19,546)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740" w:type="dxa"/>
            <w:vAlign w:val="bottom"/>
            <w:vMerge w:val="restart"/>
          </w:tcPr>
          <w:p>
            <w:pPr>
              <w:jc w:val="right"/>
              <w:ind w:right="1552"/>
              <w:spacing w:after="0"/>
              <w:rPr>
                <w:sz w:val="20"/>
                <w:szCs w:val="20"/>
                <w:color w:val="auto"/>
              </w:rPr>
            </w:pPr>
            <w:r>
              <w:rPr>
                <w:rFonts w:ascii="Arial" w:cs="Arial" w:eastAsia="Arial" w:hAnsi="Arial"/>
                <w:sz w:val="18"/>
                <w:szCs w:val="18"/>
                <w:color w:val="auto"/>
              </w:rPr>
              <w:t>105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8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(benefit) differs from that computed at the federal statutory corporate tax rate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6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(25.6%)</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Non-taxable foreign income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Foreign tax credits, net of valuation allowance</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(80.8%)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Repatriation of foreign earnings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net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Effective tax rate</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30, 2010, Wynn Macau, S.A. received a second 5-year exemption from Macau’s 12% Complementary Tax on casino gaming profits, thereby exempting the casino gaming profits of Wynn Macau, S.A. through December 31, 2015. Accordingly for the years ended December 31, 2012, 2011, and 2010, the Company was exempted from the payment of $87.1 million, $82.7 million, and $64.4 million in such taxes or $0.84, $0.66 and $0.51 per share, respectively. The Company’s non-gaming profits remain subject to the Macau Complementary Tax and its casino winnings remain subject to the Macau Special Gaming tax and other levies in accordance with its concession agreement.</w:t>
      </w:r>
    </w:p>
    <w:p>
      <w:pPr>
        <w:spacing w:after="0" w:line="14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July of 2011, Wynn Macau, S.A. received a 5-year extension of its agreement with the Macau Special Administrative Region that provides for an annual payment of MOP $15.5 million (approximately $1.9 million U.S. dollars) as complementary tax otherwise due by shareholders of Wynn Macau, S.A. on dividend distributions through 2015. As a result of the shareholder dividend tax agreements, income tax expense includes $1.9 million and $1.9 million for the years ended December 31, 2012 and 2011.</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Macau special gaming tax is 35% of gross gaming revenue. U.S. tax laws only allow a foreign tax credit up to 35% of “net” foreign source income. In February 2010, the Company and the IRS entered into a Pre-Filing Agreement (“PFA”) providing that the Macau Special Gaming Tax qualifies as a tax paid in lieu of an income tax and could be claimed as a U.S. foreign tax credit.</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December 31, 2012, the Company did not repatriate any earnings of Wynn Macau, S.A. and consequently did not generate foreign tax credits in the current year. During the years ended December 31, 2011 and 2010, the Company recognized tax benefits of $647.6 million and $955.2 million, respectively (net of valuation allowance and uncertain tax positions) for foreign tax credits generated applicable to the earnings of Wynn Macau, S.A.</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Accounting standards require recognition of a future tax benefit to the extent that realization of such benefit is more likely than not. Otherwise, a valuation allowance is applied. During 2012 and 2011, the aggregate valuation allowance for deferred tax assets increased by $19.1 million and $526.6 million, respectively. The 2012 and 2011 increases are primarily related to foreign tax credit carryforwards and other foreign deferred tax assets that are not considered more likely than not realizable.</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Company recorded tax benefits resulting from the exercise of nonqualified stock options and the value of vested restricted stock and accrued dividends of $5.5 million, $11.2 million, and $10.5 million as of December 31, 2012, 2011, and 2010, respectively, in excess of the amounts reported for such items as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compensation costs under accounting standards related to stock-based compensation. The Company uses a with-and-without approach to determine if the excess tax deductions associated with compensation costs have reduced income taxes payable.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consisted of the following (amounts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assets—U.S.: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Receivables, inventories, accrued liabilities and other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38,488</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Less: valuation allowance</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(35,386)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Long-term:</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 tax credit carryforwards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1,843,757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Intangibles and related other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26,773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Stock based compensation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Pre-opening costs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14,584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1,916,547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1,922,545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valuation allowance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(1,762,090)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(1,753,667)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154,457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liabilities—U.S.: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Prepaid insurance, maintenance and taxes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(6,280)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Property and equipment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(199,956)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(223,172)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(199,956)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(223,172)</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Deferred tax assets – Foreign:</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valuation allowance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Net operating loss carryforwards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17,157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Property and equipment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valuation allowance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(48,677)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(57,869)</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jc w:val="right"/>
              <w:ind w:right="792"/>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December 31, 2012, the Company had foreign tax credit carryforwards (net of uncertain tax positions) of $1,844 million. Of this amount, $662.2 million will expire in 2018, $110.9 million will expire in 2019, $530.4 million in 2020, and $540.3 million in 2021. The Company has no U.S. tax loss carryforwards. The Company incurred foreign tax losses of $85.4 million, $70.9 million, and $89.4 million during the tax years ended December 31, 2012, 2011 and 2010, respectively. These foreign tax loss carryforwards expire in 2015, 2014, and 2013, respectively. The Company incurred a U.S. capital loss of $3.6 million during the year ended December 31, 2011. The U.S. capital loss carryforward will expire in 2016.</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assessing the need for a valuation allowance, the Company does not consider forecasted future operating results when scheduling the realization of deferred tax assets and the required valuation allowance but instead relies solely on the reversal of net taxable temporary differences. The valuation allowance for foreign tax credits was determined by scheduling the existing U.S. taxable temporary differences that are expected to reverse and result in “net” foreign source income during the 10-year foreign tax credit carryover period.</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 of December 31, 2012 and 2011, the Company had valuation allowances of $1,786 million and $1,777 million, respectively, provided on foreign tax credits expected to expire unutilized and valuation allowances of $11.1 million and $9.7 million provided on other U.S. deferred tax assets. The Company has recorded a valuation allowance against all of its foreign deferred tax assets.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for $604.6 million of accumulated earnings which the Company plans on repatriating, the Company has not provided deferred U.S. income taxes or foreign withholding taxes on temporary differences of $333.6 million and $300.6 million as of December 31, 2012 and 2011, respectively, which are indefinitely reinvested and will be used to fund future operations or expansion. The amount of the unrecognized deferred tax liability associated with these temporary differences is approximately $116.8 million and $105.2 million for the years ended December 31, 2012 and 2011. Deferred income taxes, net of foreign tax credits, are provided for foreign earnings planned for repatriation. For the years ended December 31, 2012 and 2011, the Company repatriated $0 and $578.2 million from Wynn Macau, Limited. The amounts repatriated were used to fund domestic operations, to provide additional U.S. liquidity, and to fund dividends to the Company’s shareholders.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960" w:type="dxa"/>
            <w:vAlign w:val="bottom"/>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Balance—beginning of year</w:t>
            </w:r>
          </w:p>
        </w:tc>
        <w:tc>
          <w:tcPr>
            <w:tcW w:w="1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$85,498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$ 83,834</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2240" w:type="dxa"/>
            <w:vAlign w:val="bottom"/>
            <w:gridSpan w:val="3"/>
          </w:tcPr>
          <w:p>
            <w:pPr>
              <w:jc w:val="right"/>
              <w:ind w:right="340"/>
              <w:spacing w:after="0"/>
              <w:rPr>
                <w:sz w:val="20"/>
                <w:szCs w:val="20"/>
                <w:color w:val="auto"/>
              </w:rPr>
            </w:pPr>
            <w:r>
              <w:rPr>
                <w:rFonts w:ascii="Arial" w:cs="Arial" w:eastAsia="Arial" w:hAnsi="Arial"/>
                <w:sz w:val="18"/>
                <w:szCs w:val="18"/>
                <w:color w:val="auto"/>
              </w:rPr>
              <w:t>8,140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12,427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13,164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1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3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(78,389)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13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(9,349)</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(10,763)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Balance—end of year</w:t>
            </w:r>
          </w:p>
        </w:tc>
        <w:tc>
          <w:tcPr>
            <w:tcW w:w="2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84,289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$ 85,498</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83,834</w:t>
            </w:r>
          </w:p>
        </w:tc>
      </w:tr>
      <w:tr>
        <w:trPr>
          <w:trHeight w:val="20"/>
        </w:trPr>
        <w:tc>
          <w:tcPr>
            <w:tcW w:w="4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As of December 31, 2012, 2011, and 2010 unrecognized tax benefits of $55.2 million, $60.4 million, and $48.0 million respectively, were recorded as reductions to the U.S. foreign tax credit deferred tax asset and the foreign net operating loss deferred tax asset. As of December 31, 2012, 2011, and 2010, unrecognized tax benefits of $29.1 million, $25.1 million, and $35.9 million, respectively, were recorded in Other Long Term Liabilities.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2012, 2011 and 2010, $18.8 million, $24.2 million, and $17.9 million, respectively, of unrecognized tax benefit would, if recognized, impact the effective tax rate.</w:t>
      </w:r>
    </w:p>
    <w:p>
      <w:pPr>
        <w:spacing w:after="0" w:line="13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Company recognizes penalties and interest related to unrecognized tax benefits in the provision for income taxes. During the years ended December 31, 2012 and 2011, the Company recognized interest and penalties of $0.3 million and $0.04 million, respectively. The Company recognized no interest or penalties during the year ended December 31, 2010.</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anticipates that the 2008 statute of limitations will expire in the next 12 months for certain foreign tax jurisdictions. Also, the Company’s unrecognized tax benefits include certain income tax accounting methods. These accounting methods govern the timing and deductibility of income tax deductions. As a result, the Company’s unrecognized tax benefits could increase by a range of $0 to $4.0 million over the next 12 months.</w:t>
      </w:r>
    </w:p>
    <w:p>
      <w:pPr>
        <w:spacing w:after="0" w:line="10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2008 domestic income tax returns remain subject to examination by the IRS to the extent of tax attributes carryforwards to future years. The Company’s 2009 to 2011 domestic income tax returns also remain subject to examination by the IRS. The Company’s 2008 to 2011 Macau income tax returns remain subject to examination by the Macau Finance Bureau.</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April 2012, the Company reached an agreement with the Appellate division of the IRS regarding issues raised during the examination of the 2006 through 2009 U.S. income tax returns. The settlement with the Appellate division did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December 2012, the IRS completed an examination of the Company’s 2010 U.S. income tax return and had no changes. For tax years 2011 and 2012, the Company is participating in the IRS Compliance Assurance Program (“CAP”). Under the CAP program, the IRS and the taxpayer work together in a pre-filing environment to examine transactions and issues and thus complete the tax examination before the tax return is filed. In February 2013, the Company received notification that it had been accepted into the IRS CAP for the 2013 tax year. The Company believes the IRS will complete their examination of the 2011 tax year in the next 12 months. The Company does not expect a change in its unrecognized tax benefits as a result of the completion of the examination.</w:t>
      </w:r>
    </w:p>
    <w:p>
      <w:pPr>
        <w:spacing w:after="0" w:line="1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During August 2011, Wynn Macau, S.A. settled an appeal related to the Macau Finance Bureau’s examination of its 2006 and 2007 Macau Complementary Tax returns. As part of the settlement, the Company paid $1.1 million in Macau Complementary tax. As the result of the exam settlement and the expiration of the statute of limitations for the 2006 Macau Complementary tax return, the total amount of unrecognized tax benefits decreased by $10.8 million.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December 31, 2012, the statute of limitations for the 2007 Macau Complementary tax return expired. As a result, the Company’s unrecognized tax benefits decreased by $9.3 million.</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In November 2012, the Company received the results of the examination. While no additional tax was due, adjustments were made to the Company’s foreign net operating loss carryforwards.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January 2013, the Macau Finance Bureau examined the 2009 and 2010 Macau income tax returns of Palo, which is a co-holder of the land concession for the resort in Cotai. The exam resulted in no change to the tax returns.</w:t>
      </w:r>
    </w:p>
    <w:p>
      <w:pPr>
        <w:spacing w:after="0" w:line="207" w:lineRule="exact"/>
        <w:rPr>
          <w:sz w:val="20"/>
          <w:szCs w:val="20"/>
          <w:color w:val="auto"/>
        </w:rPr>
      </w:pPr>
    </w:p>
    <w:p>
      <w:pPr>
        <w:ind w:right="8660" w:firstLine="8"/>
        <w:spacing w:after="0" w:line="347" w:lineRule="auto"/>
        <w:tabs>
          <w:tab w:leader="none" w:pos="26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Macau</w:t>
      </w:r>
    </w:p>
    <w:p>
      <w:pPr>
        <w:spacing w:after="0" w:line="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i w:val="1"/>
          <w:iCs w:val="1"/>
          <w:u w:val="single" w:color="auto"/>
          <w:color w:val="auto"/>
        </w:rPr>
        <w:t>Land Concession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Wynn Macau, S.A. has entered into a land concession contract for the land on which Wynn Macau is located. Under the land</w:t>
      </w:r>
      <w:r>
        <w:rPr>
          <w:rFonts w:ascii="Arial" w:cs="Arial" w:eastAsia="Arial" w:hAnsi="Arial"/>
          <w:sz w:val="15"/>
          <w:szCs w:val="15"/>
          <w:i w:val="1"/>
          <w:iCs w:val="1"/>
          <w:color w:val="auto"/>
        </w:rPr>
        <w:t xml:space="preserve"> </w:t>
      </w:r>
      <w:r>
        <w:rPr>
          <w:rFonts w:ascii="Arial" w:cs="Arial" w:eastAsia="Arial" w:hAnsi="Arial"/>
          <w:sz w:val="15"/>
          <w:szCs w:val="15"/>
          <w:color w:val="auto"/>
        </w:rPr>
        <w:t>concession contract, Wynn Macau, S.A. leases a parcel of approximately 16 acres from the government for an initial term of 25 years, with a right to renew for additional periods with government approval. Wynn Macau, S.A. has made payments to the Macau government under the land concession contract totaling $56.9 million, including interest. During the term of the land concession contract, Wynn Macau, S.A. is required to make annual lease payments of up to $525,000.</w:t>
      </w:r>
    </w:p>
    <w:p>
      <w:pPr>
        <w:spacing w:after="0" w:line="9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u w:val="single" w:color="auto"/>
          <w:color w:val="auto"/>
        </w:rPr>
        <w:t>Cotai Development and Land Concession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In September 2011, Palo and Wynn Resorts (Macau) S.A., each an indirect subsidiary of Wynn Macau</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Company is constructing a full scale integrated resort containing a casino, luxury hotel, convention, retail, entertainment and food and beverage offerings on this land. The Company estimates the project budget to be in the range of $3.5 billion to $4.0 billion. The Company expects to enter into a guaranteed maximum price contract for the project construction costs in the first half of 2013. We expect to open our resort in Cotai during the first half of 2016.</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December 31, 2012, the Company has recorded this obligation and related asset with $27.9 million included as a current liability and $76.2 million included as a long-term liability. The Company will also be required to make annual lease payments of $0.8 million during the resort construction period and annual payments of approximately $1.1 million once the development is completed.</w:t>
      </w:r>
    </w:p>
    <w:p>
      <w:pPr>
        <w:spacing w:after="0" w:line="12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10, 2012, the Company made a $50 million payment to an unrelated third party in consideration of that party’s</w:t>
      </w:r>
      <w:r>
        <w:rPr>
          <w:rFonts w:ascii="Arial" w:cs="Arial" w:eastAsia="Arial" w:hAnsi="Arial"/>
          <w:sz w:val="18"/>
          <w:szCs w:val="18"/>
          <w:i w:val="1"/>
          <w:iCs w:val="1"/>
          <w:color w:val="auto"/>
        </w:rPr>
        <w:t xml:space="preserve"> </w:t>
      </w:r>
      <w:r>
        <w:rPr>
          <w:rFonts w:ascii="Arial" w:cs="Arial" w:eastAsia="Arial" w:hAnsi="Arial"/>
          <w:sz w:val="18"/>
          <w:szCs w:val="18"/>
          <w:color w:val="auto"/>
        </w:rPr>
        <w:t>relinquishment of certain rights in and to any future development on the Cotai land noted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several additional retail outlets. The Company also is a party to joint venture agreements for the operation of one retail outlet and the Ferrari and Maserati automobile dealership at Wynn Las Vegas. The lease agreements include minimum base rents with contingent rental clauses.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future minimum rentals to be received under the operating leases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2014</w:t>
            </w:r>
          </w:p>
        </w:tc>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160,446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future minimum rentals do not include contingent rental. Contingent rentals were $94 million, $73.2 million and $42.5 million for the years ended December 31, 2012, 2011 and 2010, respectively.</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addition, the Company is the lessee under leases for office space in Las Vegas, Macau and certain other locations, warehouse facilities, the land underlying the Company’s aircraft hangar and certain office equipment.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2012, the Company was obligated under non-cancelable operating leases to make future minimum lease payments as follows (amounts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2014</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2012, 2011 and 2010, was $21.5 million, $20.2 million, $21.6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3, 2010, Atlantic-Pacific Capital, Inc. (“APC”) filed an arbitration demand with JAMS, a private alternative dispute resolution provider,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matter is proceeding in arbitration, and an arbitrator recently has been selected. Management believes that APC’s claims against the Company are without merit, and the Company continues to defend this matter vigorously.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until February 21, 2013, was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w:t>
      </w:r>
    </w:p>
    <w:p>
      <w:pPr>
        <w:spacing w:after="0" w:line="1"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Mr. Okada has denied the impropriety of such conduct to members of the Board of Directors of Wynn Resorts and Mr. Okada has refused to acknowledge or abide by Wynn Resorts’ anti-bribery policies and has refused to participate in the training all other directors have received concerning these policies.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persons”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Marau,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authorizing the redemption of the Aruze USA, Inc. shares, the Board of Directors took certain actions to protect the Company and its operations from any influence of an unsuitable person, including placing limitations on the provision of certain operating information to unsuitable persons, evaluating whether to seek the removal of Mr. Okada from the Company’s Board of Directors, and the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On February 24, 2012, the Board of Directors of Wynn Macau, Limited removed Mr. Kazuo Okada from the board. On January 3, 2013, the Company filed a definitive proxy statement on Schedule 14A (“Proxy Statement”) for a special meeting of the stockholders to consider and vote upon a proposal to remove</w:t>
      </w:r>
    </w:p>
    <w:p>
      <w:pPr>
        <w:spacing w:after="0" w:line="252" w:lineRule="auto"/>
        <w:rPr>
          <w:sz w:val="20"/>
          <w:szCs w:val="20"/>
          <w:color w:val="auto"/>
        </w:rPr>
      </w:pPr>
      <w:r>
        <w:rPr>
          <w:rFonts w:ascii="Arial" w:cs="Arial" w:eastAsia="Arial" w:hAnsi="Arial"/>
          <w:sz w:val="18"/>
          <w:szCs w:val="18"/>
          <w:color w:val="auto"/>
        </w:rPr>
        <w:t>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w:t>
      </w:r>
    </w:p>
    <w:p>
      <w:pPr>
        <w:spacing w:after="0" w:line="14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Mr. Okada, Aruze USA, Inc. and Universal Entertainment Corporation (companies controlled by Mr. Okada) (the “Okada Parties”), alleging breaches of fiduciary duty and related claims. The Company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1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that purports to assert claims against the Company, each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members of the Company’s Board of Directors (other than Mr. Okada) and Wynn Resorts’ General Counsel (the “Wynn Parties”). As amended, the Okada Parties’ counterclaim alleges, among other things: (1) that the shares of Wynn Resorts common stock owned by Aruze USA, Inc. were exempt from the redemption-for-unsuitability provisions in the Wynn Resorts articles of incorporation pursuant to certain agreements executed in 2002; (2) that the Wynn Resorts directors who authorized the redemption of Aruze USA, Inc.’s shares acted at the direction of Stephen A. Wynn and did not independently and objectively evaluate Mr. Okada’s, Universal Entertainment Corporation’s, and Aruze USA, Inc.’s suitability, and by so doing, breached their fiduciary duties; (3) that the Wynn Resorts directors violated the terms of the Wynn Resorts articles of incorporation by failing to pay Aruze USA, Inc. fair value for the redeemed shares; and</w:t>
      </w:r>
    </w:p>
    <w:p>
      <w:pPr>
        <w:spacing w:after="0" w:line="1" w:lineRule="exact"/>
        <w:rPr>
          <w:sz w:val="20"/>
          <w:szCs w:val="20"/>
          <w:color w:val="auto"/>
        </w:rPr>
      </w:pPr>
    </w:p>
    <w:p>
      <w:pPr>
        <w:ind w:firstLine="8"/>
        <w:spacing w:after="0" w:line="287"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the terms of the Redemption Note that Aruze USA, Inc. received in exchange for the redeemed shares, including the Redemption Note’s principal amount, duration, interest rate, and subordinated status, were unconscionable. Among other relief, the amended counterclaim seeks a declaration that the redemption of Aruze USA, Inc.’s shares was void, an injunction restoring Aruze USA, Inc.’s share ownership, damages in an unspecified amount and rescission of the Amended and Restated Stockholders Agreement. On August 31, 2012, Aruze USA, Inc. filed a motion for preliminary injunction with the Nevada state court. The motion sought an order that would prohibit Wynn Resorts from barring or preventing Aruze USA, Inc. from exercising rights as a stockholder at the November 2, 2012 annual meeting of Wynn Resorts’ stockholders. On October 2, 2012, the Nevada state court denied Aruze USA, Inc.’s motion for preliminary injunction. On October 19, 2012, Aruze USA, Inc. filed a notice of appeal with the Nevada Supreme Court. The appeal was assigned to the Nevada Supreme Court’s mediation program, has not progressed, and is pending. Wynn Resorts intends to vigorously defend against the appeal and to argue that the Nevada Supreme Court should affirm the state court’s decision denying Aruze USA, Inc.’s motion for a preliminary injunction.</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Company’s complaint, as amended, and the Okada Parties’ counterclaim, as amended, were challenged at the pleading stage through motion practice. At a hearing held on November 13, 2012, the Nevada State court denied the Wynn Parties’ motion to dismiss the Okada Parties’ amended counterclaim, but dismissed the Okada Parties’ claims under the Nevada Racketeer Influenced and Corrupt Organizations Act. At a hearing held on January 15, 2013, the court denied the Okada Parties’ motion to dismiss the Company’s amended complaint.</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13, 2013, the Okada Parties filed a motion in the Nevada state court in which they asked the court to establish a “disputed ownership fund” as defined in a federal tax regulation. Specifically, the motion sought an order establishing an escrow account to hold the Redemption Note issued to Aruze USA, Inc. as compensation for the shares of Wynn Resorts common stock redeemed by the board of directors in February 2012 in light of the board’s determination of unsuitability, as well as the redeemed shares themselves (although those shares were previously cancelled in February 2012), pending a resolution of the state court action. The order sought by the Okada Parties would also require the Company to, among other things, make any payments on the Redemption Note into the escrow account. A hearing on the motion has been set for March 22, 2013. The Company believes there is no basis for the relief requested in the motion and intends to oppose the motion vigorously.</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vigorously pursuing its claims against the Okada Parties, and the Company and the other counter-defendants are vigorously defending against the counterclaims asserted against them.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Any adverse judgments or settlements involving payment of a material sum of money could cause a material adverse effect on our financial condition and results of operations and could expose the Company to additional claims by third parties, including current or former investors or regulators. Any adverse judgments or settlements would reduce the Company’s profits and could limit the Company’s ability to operate its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Matters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In February 2013, the Nevada Gaming Control Board informed the Company that it has completed its investigation of allegations made by Mr. Okada against the Company regarding the activities of Mr. Wynn and related entities in Macau and found no violations of the Gaming Control Act or the Nevada Gaming Commission Regulations.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19, 2012, Elaine Wynn responded to the Okada Parties’ counterclaim and asserted a cross claim against Steve Wynn and Kazuo Okada seeking a declaration that (1) any and all of Elaine Wynn’s duties under the January 2010 Stockholders Agreement (the “Stockholders Agreement”) by and among Aruze USA, Inc.,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2022 Notes and Existing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Books and Records Action</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January 11, 2012, Mr. Okada, in his role as a Wynn Resorts’ director, commenced a writ proceeding in the Eighth Judicial District Court, Clark County, Nevada, seeking to compel the Company to produce certain books and records relating to a donation to the University of Macau, among other things.</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served on those boards. The sole dissenting vote was cast by Mr. Okada whose stated objection was to the length of time over which the donation would occur, not its propriety.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the Company, Mr. Okada had the right to make a reasonable inspection of the Company’s corporate books and records. Following the hearing, the Company released certain documents to Mr. Okada for his inspection. At a subsequent hearing on March 8, 2012, the court considered Mr. Okada’s request that the Company’s Board of Directors make additional documents available to him, and ruled that Mr. Okada was entitled to inspect two additional pages of documents. The Company promptly complied with the court’s ruling.</w:t>
      </w:r>
    </w:p>
    <w:p>
      <w:pPr>
        <w:spacing w:after="0" w:line="113"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On May 25, 2012, Mr. Okada amended his petition to request inspection of additional records. Following a hearing held on October 2, 2012, the court ruled that Mr. Okada is entitled to review certain additional Company documents from the 2000 to 2002 time period. The Company promptly complied with the court’s ruling. On November 2, 2012, Mr. Okada filed a motion to compel the production of additional documents and to depose a witness designated by the Company.</w:t>
      </w:r>
    </w:p>
    <w:p>
      <w:pPr>
        <w:spacing w:after="0" w:line="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At the conclusion of a hearing held on November 8, 2012, the court denied Mr. Okada’s motion. The Company has not received any further requests for information by Mr. Okada in relation to this matter as of the date of this report.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 Inquiry</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is fully cooperating with the Salt Lake Regional Office staff.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Japan Action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August 28, 2012, Mr. Okada, Universal Entertainment Corporation and Okada Holdings filed a complaint in Tokyo District Court against the Company, all members of the Board of Directors (other than Mr. Okada) and the Company’s General Counsel, alleging that the press release issued by the Company with respect to the redemption has damaged plaintiffs’ social evaluation and credibility. The plaintiffs seek damages and legal fees from the defendants. The Company and the other counter-defendants are vigorously defending against the claims asserted against them in this matter.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Federal Securities Action: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January 3, 2013, the Company filed a definitive proxy statement on Schedule 14A (“Proxy Statement”) for a special meeting of the stockholders to consider and vote upon a proposal to remove 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Statement. At the conclusion of a hearing held on February 15, 2013, the federal court denied Mr. Okada’s motion.</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Derivative Litigation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140" w:firstLine="8"/>
        <w:spacing w:after="0" w:line="287"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are against the Company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respond to the consolidated complaint while the stay remained in effect. Although the stay has now expired, the State Plaintiffs have agreed to further extend the defendants’ time to respond to the consolidated complaint to allow the State Plaintiffs additional time to consider their plans for the action going forward, including a possible extension by agreement of the stay in the state derivative action.</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and capital expenditures by segment consisted of the following (amounts in thousands):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7"/>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8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3940" w:type="dxa"/>
            <w:vAlign w:val="bottom"/>
            <w:gridSpan w:val="3"/>
          </w:tcPr>
          <w:p>
            <w:pPr>
              <w:jc w:val="right"/>
              <w:spacing w:after="0"/>
              <w:rPr>
                <w:sz w:val="20"/>
                <w:szCs w:val="20"/>
                <w:color w:val="auto"/>
              </w:rPr>
            </w:pPr>
            <w:r>
              <w:rPr>
                <w:rFonts w:ascii="Arial" w:cs="Arial" w:eastAsia="Arial" w:hAnsi="Arial"/>
                <w:sz w:val="18"/>
                <w:szCs w:val="18"/>
                <w:color w:val="auto"/>
              </w:rPr>
              <w:t>$3,669,881</w:t>
            </w:r>
          </w:p>
        </w:tc>
        <w:tc>
          <w:tcPr>
            <w:tcW w:w="1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$ 4,035,398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3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3,004,658</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2,202,683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316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602,055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661,415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3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7,276,594</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6,899,496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420" w:type="dxa"/>
            <w:vAlign w:val="bottom"/>
            <w:gridSpan w:val="2"/>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expenditures</w:t>
            </w:r>
          </w:p>
        </w:tc>
        <w:tc>
          <w:tcPr>
            <w:tcW w:w="3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4100" w:type="dxa"/>
            <w:vAlign w:val="bottom"/>
            <w:gridSpan w:val="4"/>
          </w:tcPr>
          <w:p>
            <w:pPr>
              <w:jc w:val="right"/>
              <w:spacing w:after="0"/>
              <w:rPr>
                <w:sz w:val="20"/>
                <w:szCs w:val="20"/>
                <w:color w:val="auto"/>
              </w:rPr>
            </w:pPr>
            <w:r>
              <w:rPr>
                <w:rFonts w:ascii="Arial" w:cs="Arial" w:eastAsia="Arial" w:hAnsi="Arial"/>
                <w:sz w:val="18"/>
                <w:szCs w:val="18"/>
                <w:color w:val="auto"/>
              </w:rPr>
              <w:t>$ 41,552</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$ 65,207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4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189,384</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342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10,049</w:t>
            </w:r>
          </w:p>
        </w:tc>
        <w:tc>
          <w:tcPr>
            <w:tcW w:w="72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41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240,985</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160" w:type="dxa"/>
            <w:vAlign w:val="bottom"/>
            <w:vMerge w:val="restart"/>
          </w:tcPr>
          <w:p>
            <w:pPr>
              <w:jc w:val="right"/>
              <w:ind w:right="1692"/>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Company’s results of operations by segment for the years ended December 31, 2012, 2011 and 2010 consisted of the following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Years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1,486,830</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1,480,719</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1,296,064</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3,667,454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3,789,073</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2,888,634</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tcPr>
          <w:p>
            <w:pPr>
              <w:ind w:left="880"/>
              <w:spacing w:after="0"/>
              <w:rPr>
                <w:sz w:val="20"/>
                <w:szCs w:val="20"/>
                <w:color w:val="auto"/>
              </w:rPr>
            </w:pPr>
            <w:r>
              <w:rPr>
                <w:rFonts w:ascii="Arial" w:cs="Arial" w:eastAsia="Arial" w:hAnsi="Arial"/>
                <w:sz w:val="18"/>
                <w:szCs w:val="18"/>
                <w:color w:val="auto"/>
              </w:rPr>
              <w:t>Total</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5,154,284</w:t>
            </w: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5,269,792</w:t>
            </w: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4,184,698</w:t>
            </w:r>
          </w:p>
        </w:tc>
      </w:tr>
      <w:tr>
        <w:trPr>
          <w:trHeight w:val="20"/>
        </w:trPr>
        <w:tc>
          <w:tcPr>
            <w:tcW w:w="4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408,472</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439,036</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270,299</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1,167,340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1,196,232</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892,686</w:t>
            </w: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ind w:left="88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1,575,812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1,635,268</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1,162,985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Pre-opening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9,496</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405,558</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130,649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25,219</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expenses and 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96,659</w:t>
            </w: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operating costs and expenses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627,028</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537,733</w:t>
            </w: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1,029,276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1,008,240</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625,252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2,498</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 of amounts capitalized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(288,759)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(229,918)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(222,863)</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Increase (decrease) in swap fair value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14,151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(880)</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extinguishment of debt/exchange offer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(67,990)</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Equity in income from unconsolidated affiliates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r>
      <w:tr>
        <w:trPr>
          <w:trHeight w:val="230"/>
        </w:trPr>
        <w:tc>
          <w:tcPr>
            <w:tcW w:w="4980" w:type="dxa"/>
            <w:vAlign w:val="bottom"/>
          </w:tcPr>
          <w:p>
            <w:pPr>
              <w:ind w:left="880"/>
              <w:spacing w:after="0"/>
              <w:rPr>
                <w:sz w:val="20"/>
                <w:szCs w:val="20"/>
                <w:color w:val="auto"/>
              </w:rPr>
            </w:pPr>
            <w:r>
              <w:rPr>
                <w:rFonts w:ascii="Arial" w:cs="Arial" w:eastAsia="Arial" w:hAnsi="Arial"/>
                <w:sz w:val="18"/>
                <w:szCs w:val="18"/>
                <w:color w:val="auto"/>
              </w:rPr>
              <w:t>Total other non-operating costs and expenses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(296,278)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(202,673)</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(288,209)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732,998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805,567</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337,043</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(20,447)</w:t>
            </w: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825,113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316,596</w:t>
            </w:r>
          </w:p>
        </w:tc>
      </w:tr>
      <w:tr>
        <w:trPr>
          <w:trHeight w:val="20"/>
        </w:trPr>
        <w:tc>
          <w:tcPr>
            <w:tcW w:w="4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80"/>
          </w:cols>
          <w:pgMar w:left="240" w:top="459" w:right="3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tables (amounts in thousands, except per share data) present selected quarterly financial information for 2012 and 2011, as previously reported. Because income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86"/>
              </w:rPr>
              <w:t>Year Ended December 31, 2012</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2"/>
                <w:szCs w:val="12"/>
                <w:color w:val="auto"/>
              </w:rPr>
            </w:pP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8"/>
              </w:rPr>
              <w:t>Second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7"/>
              </w:rPr>
              <w:t>Third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7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1,313,498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1,253,207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1,298,495</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1,289,084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5,154,284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260,099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264,123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247,092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1,029,276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198,409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728,699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 attributable to Wynn Resorts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140,564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111,373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502,036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345"/>
        </w:trPr>
        <w:tc>
          <w:tcPr>
            <w:tcW w:w="4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86"/>
              </w:rPr>
              <w:t>Year Ended December 31, 2011</w:t>
            </w: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2"/>
                <w:szCs w:val="12"/>
                <w:color w:val="auto"/>
              </w:rPr>
            </w:pP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8"/>
              </w:rPr>
              <w:t>Second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7"/>
              </w:rPr>
              <w:t>Third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7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1,260,272</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1,367,353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1,298,304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1,343,863</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5,269,792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280,556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213,033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239,845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1,008,240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226,335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825,113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 attributable to Wynn Resorts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173,804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122,031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127,063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190,473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613,371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 (Unaudited)</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January 31, 2013, the Company announced a cash dividend of $1.00 per share, that was paid on February 28, 2013 to stockholders of record as of February 14,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3, 2013, the Company filed a definitive proxy statement on Schedule 14A (“Proxy Statement”) for a special meeting of the stockholders to consider and vote upon a proposal to remove 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60"/>
          </w:cols>
          <w:pgMar w:left="240" w:top="459" w:right="3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ind w:right="20" w:firstLine="464"/>
        <w:spacing w:after="0" w:line="286" w:lineRule="auto"/>
        <w:tabs>
          <w:tab w:leader="none" w:pos="1002"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2012,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160" w:firstLine="464"/>
        <w:spacing w:after="0" w:line="268" w:lineRule="auto"/>
        <w:tabs>
          <w:tab w:leader="none" w:pos="101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assessment, management believes that, as of December 31, 2012, the Company’s internal control over financial reporting was effective.</w:t>
      </w:r>
    </w:p>
    <w:p>
      <w:pPr>
        <w:spacing w:after="0" w:line="19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72.</w:t>
      </w:r>
    </w:p>
    <w:p>
      <w:pPr>
        <w:spacing w:after="0" w:line="85" w:lineRule="exact"/>
        <w:rPr>
          <w:sz w:val="20"/>
          <w:szCs w:val="20"/>
          <w:color w:val="auto"/>
        </w:rPr>
      </w:pPr>
    </w:p>
    <w:p>
      <w:pPr>
        <w:jc w:val="both"/>
        <w:ind w:firstLine="464"/>
        <w:spacing w:after="0" w:line="306" w:lineRule="auto"/>
        <w:tabs>
          <w:tab w:leader="none" w:pos="100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2013 Annual Stockholder Meeting to be filed with the Securities and Exchange Commission within 120 days after December 31, 2012 (the “2013 Proxy Statement”) under the captions “Directors and Executive Officers, “Further Information Concerning the Board of Directors-Corporate Governance,” and “Section 16(a) Beneficial Ownership Reporting Compliance,” and is incorporated herein by reference.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w:t>
      </w:r>
      <w:r>
        <w:rPr>
          <w:rFonts w:ascii="Arial" w:cs="Arial" w:eastAsia="Arial" w:hAnsi="Arial"/>
          <w:sz w:val="16"/>
          <w:szCs w:val="16"/>
          <w:i w:val="1"/>
          <w:iCs w:val="1"/>
          <w:color w:val="auto"/>
        </w:rPr>
        <w:t>http://www.wynnresorts.com</w:t>
      </w:r>
      <w:r>
        <w:rPr>
          <w:rFonts w:ascii="Arial" w:cs="Arial" w:eastAsia="Arial" w:hAnsi="Arial"/>
          <w:sz w:val="16"/>
          <w:szCs w:val="16"/>
          <w:color w:val="auto"/>
        </w:rPr>
        <w:t xml:space="preserve"> under the heading “Corporate Governance” within four business days following such amendment or waiver or as otherwise required by the NASDAQ listing standards.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2013 Proxy Statement under the caption “Directors and Executive Officer Compensation and Other Matters,” and is incorporated herein by reference.</w:t>
      </w:r>
    </w:p>
    <w:p>
      <w:pPr>
        <w:spacing w:after="0" w:line="207" w:lineRule="exact"/>
        <w:rPr>
          <w:sz w:val="20"/>
          <w:szCs w:val="20"/>
          <w:color w:val="auto"/>
        </w:rPr>
      </w:pPr>
    </w:p>
    <w:p>
      <w:pPr>
        <w:ind w:right="80"/>
        <w:spacing w:after="0" w:line="394"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spacing w:after="0" w:line="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(see Notes to Consolidated Financial Statements).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 to</w:t>
            </w:r>
          </w:p>
        </w:tc>
        <w:tc>
          <w:tcPr>
            <w:tcW w:w="3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be Issued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5"/>
              </w:rPr>
              <w:t>Price of</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Options,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4"/>
              </w:rPr>
              <w:t>Options,</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Warrants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2"/>
              </w:rPr>
              <w:t>Warrants</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980" w:type="dxa"/>
            <w:vAlign w:val="bottom"/>
            <w:vMerge w:val="restart"/>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and Rights</w:t>
            </w:r>
          </w:p>
        </w:tc>
        <w:tc>
          <w:tcPr>
            <w:tcW w:w="3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6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6"/>
              <w:spacing w:after="0" w:line="148" w:lineRule="exact"/>
              <w:rPr>
                <w:sz w:val="20"/>
                <w:szCs w:val="20"/>
                <w:color w:val="auto"/>
              </w:rPr>
            </w:pPr>
            <w:r>
              <w:rPr>
                <w:rFonts w:ascii="Arial" w:cs="Arial" w:eastAsia="Arial" w:hAnsi="Arial"/>
                <w:sz w:val="14"/>
                <w:szCs w:val="14"/>
                <w:b w:val="1"/>
                <w:bCs w:val="1"/>
                <w:color w:val="auto"/>
                <w:w w:val="89"/>
              </w:rPr>
              <w:t>(b)</w:t>
            </w:r>
          </w:p>
        </w:tc>
        <w:tc>
          <w:tcPr>
            <w:tcW w:w="640" w:type="dxa"/>
            <w:vAlign w:val="bottom"/>
          </w:tcPr>
          <w:p>
            <w:pPr>
              <w:spacing w:after="0"/>
              <w:rPr>
                <w:sz w:val="14"/>
                <w:szCs w:val="14"/>
                <w:color w:val="auto"/>
              </w:rPr>
            </w:pPr>
          </w:p>
        </w:tc>
        <w:tc>
          <w:tcPr>
            <w:tcW w:w="9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2,397,820</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66.89</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4,087,064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2,397,820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2013 Proxy Statement under the caption “Security Ownership of Certain Beneficial Owners and Management,” and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2013 Proxy Statement under the caption “Certain Relationships and Related Transactions, and “Further Information Concerning the Board of Directors-Corporate Governance,”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2013 Proxy Statement under the caption “Ratification of Appointment of Independent Public Accountants,” and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Balance Sheets as of December 31,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2012,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2012,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2012, 2012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2012,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(a)2. Financial Statement Schedules filed in Part IV of this report are listed below:</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Schedule I—Condensed financial information of the registrant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90"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1—CONDENSED FINANCIAL INFORMATION OF THE REGISTRANT</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ind w:left="40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Due from subsidiaries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1,586,186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1,611,198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2,173,609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2,326,677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1,936,443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Uncertain tax position liability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2,069,677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103,223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3"/>
              </w:rPr>
              <w:t>Common stock, par value $0.01; 400,000,000 shares authorized; 113,730,442 and 137,937,088 shares issued;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100,866,712 and 125,080,998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12,863,730 and 12,856,090 shares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(1,127,947)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818,821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3,177,471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 (deficit)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2,089,022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362,969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2,223,454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2,173,609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2,326,677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15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CONDENSED STATEMENTS OF INCOME</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Wynn Las Vegas management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22,318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22,229</w:t>
            </w: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royalty fees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147,101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152,463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Net revenues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169,419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174,692</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70,602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30,421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Total operating costs and expenses</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30,842</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143,850</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102,317</w:t>
            </w:r>
          </w:p>
        </w:tc>
        <w:tc>
          <w:tcPr>
            <w:tcW w:w="0" w:type="dxa"/>
            <w:vAlign w:val="bottom"/>
          </w:tcPr>
          <w:p>
            <w:pPr>
              <w:spacing w:after="0"/>
              <w:rPr>
                <w:sz w:val="1"/>
                <w:szCs w:val="1"/>
                <w:color w:val="auto"/>
              </w:rPr>
            </w:pPr>
          </w:p>
        </w:tc>
      </w:tr>
      <w:tr>
        <w:trPr>
          <w:trHeight w:val="330"/>
        </w:trPr>
        <w:tc>
          <w:tcPr>
            <w:tcW w:w="6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(33,650)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subsidiaries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665,127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669,589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263,684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640"/>
              <w:spacing w:after="0"/>
              <w:rPr>
                <w:sz w:val="20"/>
                <w:szCs w:val="20"/>
                <w:color w:val="auto"/>
              </w:rPr>
            </w:pPr>
            <w:r>
              <w:rPr>
                <w:rFonts w:ascii="Arial" w:cs="Arial" w:eastAsia="Arial" w:hAnsi="Arial"/>
                <w:sz w:val="18"/>
                <w:szCs w:val="18"/>
                <w:color w:val="auto"/>
              </w:rPr>
              <w:t>Other income (expense), net</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632,593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670,454</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265,434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730,956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814,304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367,751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(2,257)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10,809</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728,699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825,113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316,596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(226,663)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(211,742)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(156,469)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502,036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613,371</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160,127</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per common share:</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860"/>
              <w:spacing w:after="0"/>
              <w:rPr>
                <w:sz w:val="20"/>
                <w:szCs w:val="20"/>
                <w:color w:val="auto"/>
              </w:rPr>
            </w:pPr>
            <w:r>
              <w:rPr>
                <w:rFonts w:ascii="Arial" w:cs="Arial" w:eastAsia="Arial" w:hAnsi="Arial"/>
                <w:sz w:val="18"/>
                <w:szCs w:val="18"/>
                <w:color w:val="auto"/>
              </w:rPr>
              <w:t>Basic</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103,092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124,039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122,787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860"/>
              <w:spacing w:after="0"/>
              <w:rPr>
                <w:sz w:val="20"/>
                <w:szCs w:val="20"/>
                <w:color w:val="auto"/>
              </w:rPr>
            </w:pPr>
            <w:r>
              <w:rPr>
                <w:rFonts w:ascii="Arial" w:cs="Arial" w:eastAsia="Arial" w:hAnsi="Arial"/>
                <w:sz w:val="18"/>
                <w:szCs w:val="18"/>
                <w:color w:val="auto"/>
              </w:rPr>
              <w:t>Diluted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104,249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125,667</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7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20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$ 728,699</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$ 825,113</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(3,655)</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(10,809)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11,894</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10,663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discount on investment securities and 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Dividends received from subsidiary</w:t>
            </w:r>
          </w:p>
        </w:tc>
        <w:tc>
          <w:tcPr>
            <w:tcW w:w="720" w:type="dxa"/>
            <w:vAlign w:val="bottom"/>
          </w:tcPr>
          <w:p>
            <w:pPr>
              <w:jc w:val="right"/>
              <w:spacing w:after="0"/>
              <w:rPr>
                <w:sz w:val="20"/>
                <w:szCs w:val="20"/>
                <w:color w:val="auto"/>
              </w:rPr>
            </w:pPr>
            <w:r>
              <w:rPr>
                <w:rFonts w:ascii="Arial" w:cs="Arial" w:eastAsia="Arial" w:hAnsi="Arial"/>
                <w:sz w:val="18"/>
                <w:szCs w:val="18"/>
                <w:color w:val="auto"/>
              </w:rPr>
              <w:t>700,025</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578,240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of subsidiaries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(665,127)</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(669,589)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(1,695)</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Due from affiliates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(22,318)</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(22,065)</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791,166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715,523</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1,607,570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Redemption of Wynn Las Vegas First Mortgage Notes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Purchase of investment securities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(183,484)</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(249,374)</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or maturities of investment 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101,017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Purchase of other assets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(33,682)</w:t>
            </w:r>
          </w:p>
        </w:tc>
        <w:tc>
          <w:tcPr>
            <w:tcW w:w="4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from subsidiaries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(34,132)</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(55,673)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vMerge w:val="continue"/>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(48,892)</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(204,030)</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Capital contribution to Wynn Las Vegas LLC</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(955,493)</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(811,798)</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8"/>
                <w:szCs w:val="18"/>
                <w:color w:val="auto"/>
              </w:rPr>
              <w:t>15,583</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23,859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vMerge w:val="continue"/>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(940,821)</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(795,568)</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(1,035,357)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(198,547)</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(284,075)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378,486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662,561</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Balance, end of year</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$ 179,939</w:t>
            </w: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$ 378,486</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662,561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October 2009, Wynn Macau, Limited, an indirect wholly owned subsidiary of the Company and the developer, owner and operator of Wynn Macau, listed its ordinary shares of common stock on The Stock Exchange of Hong Kong Limited. Wynn Macau, Limited sold through an initial public offering, including the over allotment, 1,437,500,000 (27.7%) shares of this subsidiary’s common stock.</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Commitments and Contingencies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is a holding company and, as a result, its ability to pay dividends is dependent on its subsidiaries’ ability to provide funds to it. Restrictions imposed by Wynn Las Vegas, LLC (a wholly owned indirect subsidiary of the Company) and Wynn Macau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as defined in the agreements governing Wynn Las Vegas, LLC’s debt instruments, unless certain financial and non-financial criteria have been satisfied. In addition, the terms of the loan agreement of Wynn Resorts (Macau), S.A. contain similar restrictions. The Company received cash dividends of $700 million, $578.3 million and $1.51 billion from its subsidiaries during the years ended December 31, 2012, 2011 and 2010,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Equity Repurchase Program</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of Wynn Resorts has authorized an equity repurchase program of up to $1.7 billion. The repurchase program may include repurchases from time to time through open market purchases or negotiated transactions, depending upon market conditions. As of December 31, 2012, the Company had repurchased a cumulative total of 12,863,730 shares of the Company’s Common Stock for a net cost of $1.1 billion under the program. Under the repurchase program, there were no repurchases made during the years ended December 31, 2012, 2011 and 2010.</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2012 and 2011, the Company repurchased a total of 7,640 and 51,136 shares, respectively, in satisfaction of tax withholding obligations on vested restricted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at “fair value” of the shares held by unsuitable persons. The Company engaged an independent financial advisor to assist in the fair value calculation and concluded that a discount to the then current trading price was appropriate because of, among other things,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restrictions on most of the shares which are subject to the terms of an existing stockholder agreement. Pursuant to the articles of incorporation, the Company issued the Redemption Price Promissory Note (the “Redemption Note”) to Aruze USA, Inc.,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Note 6); the outcome of on-going investigations by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Noncontrolling Interest</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(27.7%) shares of this subsidiary’s common stock. Net proceeds to the Company as a result of this transaction were approximately $1.8 billion. The shares of Wynn Macau, Limited were not and will not be registered under the Securities Act of 1933, as amended (the “Securities Act”), and may not be offered or sold in the United States absent a registration under the Securities Act, or an applicable exception from such registration requirements. Net income attributable to noncontrolling interest was $226.7 million, $211.7 million and $156.5 million for the years ended December 31, 2012, 2011 and 2010, respectively.</w:t>
      </w:r>
    </w:p>
    <w:p>
      <w:pPr>
        <w:spacing w:after="0" w:line="14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November 16, 2011, the Wynn Macau, Limited Board of Directors approved a HK$1.20 per share dividend. The total dividend amount was $800 million and the Company’s share of this dividend was $578.3 million. A reduction of $221.6 million was made to noncontrolling interest in the accompanying Condensed Balance Sheets to reflect this dividend.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2, 2010, the Wynn Macau, Limited Board of Directors approved a HK$0.76 per share dividend. The total dividend amount was $508 million and the Company’s share of this dividend was $367 million. A reduction of $140.7 million was made to noncontrolling interest in the accompanying Condensed Balance Sheets to reflect this dividend.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Litigation</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will not have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3, 2010, Atlantic-Pacific Capital, Inc. (“APC”) filed an arbitration demand with JAMS, a private alternative dispute resolution provider,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matter is proceeding in arbitration, and an arbitrator recently has been selected. Management believes that APC’s claims against the Company are without merit, and the Company continues to defend this matter vigorously.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until February 21, 2013, was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w:t>
      </w:r>
    </w:p>
    <w:p>
      <w:pPr>
        <w:spacing w:after="0" w:line="1"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Mr. Okada has denied the impropriety of such conduct to members of the Board of Directors of Wynn Resorts and Mr. Okada has refused to acknowledge or abide by Wynn Resorts’ anti-bribery policies and has refused to participate in the training all other directors have received concerning these policies.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persons”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2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After authorizing the redemption of the Aruze USA, Inc. shares, the Board of Directors took certain actions to protect the Company and its operations from any influence of an unsuitable person, including placing limitations on the provision of certain operating information to unsuitable persons, evaluating whether to seek the removal of Mr. Okada from the Company’s Board of Directors, and the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On February 24, 2012, the Board of Directors of Wynn Macau, Limited removed Mr. Kazuo Okada from the board. On January 3, 2013, the Company filed a definitive proxy statement on Schedule 14A (“Proxy Statement”) for a special meeting of the stockholders to consider and vote upon a proposal to remove</w:t>
      </w:r>
    </w:p>
    <w:p>
      <w:pPr>
        <w:ind w:right="20"/>
        <w:spacing w:after="0" w:line="252" w:lineRule="auto"/>
        <w:rPr>
          <w:sz w:val="20"/>
          <w:szCs w:val="20"/>
          <w:color w:val="auto"/>
        </w:rPr>
      </w:pPr>
      <w:r>
        <w:rPr>
          <w:rFonts w:ascii="Arial" w:cs="Arial" w:eastAsia="Arial" w:hAnsi="Arial"/>
          <w:sz w:val="18"/>
          <w:szCs w:val="18"/>
          <w:color w:val="auto"/>
        </w:rPr>
        <w:t>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w:t>
      </w:r>
    </w:p>
    <w:p>
      <w:pPr>
        <w:spacing w:after="0" w:line="14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February 19, 2012, Wynn Resorts filed a complaint in the Eighth Judicial District Court, Clark County, Nevada against Mr. Okada, Aruze USA, Inc. and Universal Entertainment Corporation (companies controlled by Mr. Okada) (the “Okada Parties”), alleging breaches of fiduciary duty and related claims. The Company is seeking compensatory and special damages as well as a declaration that it acted lawfully and in full compliance with its articles of incorporation, bylaws and other governing documents.</w:t>
      </w:r>
    </w:p>
    <w:p>
      <w:pPr>
        <w:spacing w:after="0" w:line="143"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that purports to assert claims against the Company, each of the members of the Company’s Board of Directors (other than Mr. Okada) and Wynn Resorts’ General Counsel (the “Wynn Parties”). As amended, the Okada Parties’ counterclaim alleges, among other things: (1) that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shares of Wynn Resorts common stock owned by Aruze USA, Inc. were exempt from the redemption-for-unsuitability provisions in the Wynn Resorts articles of incorporation pursuant to certain agreements executed in 2002; (2) that the Wynn Resorts directors who authorized the redemption of Aruze USA, Inc.’s shares acted at the direction of Stephen A. Wynn and did not independently and objectively evaluate Mr. Okada’s, Universal Entertainment Corporation’s, and Aruze USA, Inc.’s suitability, and by so doing, breached their fiduciary duties; (3) that the Wynn Resorts directors violated the terms of the Wynn Resorts articles of incorporation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amended counterclaim seeks a declaration that the redemption of Aruze USA, Inc.’s shares was void, an injunction restoring Aruze USA, Inc.’s share ownership, damages in an unspecified amount and rescission of the Amended and Restated Stockholders Agreement. On August 31, 2012, Aruze USA, Inc. filed a motion for preliminary injunction with the Nevada state court. The motion sought an order that would prohibit Wynn Resorts from barring or preventing Aruze USA, Inc. from exercising rights as a stockholder at the November 2, 2012 annual meeting of Wynn Resorts’ stockholders. On October 2, 2012, the Nevada state court denied Aruze USA, Inc.’s motion for preliminary injunction. On October 19, 2012, Aruze USA, Inc. filed a notice of appeal with the Nevada Supreme Court. The appeal was assigned to the Nevada Supreme Court’s mediation program, has not progressed, and is pending. Wynn Resorts intends to vigorously defend against the appeal and to argue that the Nevada Supreme Court should affirm the state court’s decision denying Aruze USA, Inc.’s motion for a preliminary injunction.</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Company’s complaint, as amended, and the Okada Parties’ counterclaim, as amended, were challenged at the pleading stage through motion practice. At a hearing held on November 13, 2012, the Nevada state court denied the Wynn Parties’ motion to dismiss the Okada Parties’ amended counterclaim, but dismissed the Okada Parties’ claims under the Nevada Racketeer Influenced and Corrupt Organizations Act. At a hearing held on January 15, 2013, the court denied the Okada Parties’ motion to dismiss the Company’s amended complaint.</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13, 2013, the Okada Parties filed a motion in the Nevada state court in which they asked the court to establish a “disputed ownership fund” as defined in a federal tax regulation. Specifically, the motion sought an order establishing an escrow account to hold the Redemption Note issued to Aruze USA, Inc. as compensation for the shares of Wynn Resorts common stock redeemed by the board of directors in February 2012 in light of the board’s determination of unsuitability, as well as the redeemed shares themselves (although those shares were previously cancelled in February 2012), pending a resolution of the state court action. The order sought by the Okada Parties would also require the Company to, among other things, make any payments on the Redemption Note into the escrow account. A hearing on the motion has been set for March 22, 2013. The Company believes there is no basis for the relief requested in the motion and intends to oppose the motion vigorously.</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vigorously pursuing its claims against the Okada Parties, and the Company and the other counter-defendants are vigorously defending against the counterclaims asserted against them.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Any adverse judgments or settlements involving payment of a material sum of money could cause a material adverse effect on our financial condition and results of operations and could expose the Company to additional claims by third parties, including current or former investors or regulators. Any adverse judgments or settlements would reduce the Company’s profits and could limit the Company’s ability to operate its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Matters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provided the Freeh Report to appropriate regulators and law enforcement agencies and is cooperating with related investigations that such regulators and agencies have undertaken. The conduct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In February 2013, the Nevada Gaming Control Board informed the Company that it has completed its investigation of allegations made by Mr. Okada against the Company regarding the activities of Mr. Wynn and related entities in Macau and found no violations of the Gaming Control Act or the Nevada Gaming Commission Regulations.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19, 2012, Elaine Wynn responded to the Okada Parties’ counterclaim and asserted a cross claim against Steve Wynn and Kazuo Okada seeking a declaration that (1) any and all of Elaine Wynn’s duties under the January 2010 Stockholders Agreement (the “Stockholders Agreement”) by and among Aruze USA, Inc.,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2022 Notes and Existing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Books and Records Action:</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January 11, 2012, Mr. Okada, in his role as a Wynn Resorts’ director, commenced a writ proceeding in the Eighth Judicial District Court, Clark County, Nevada, seeking to compel the Company to produce certain books and records relating to a donation to the University of Macau, among other things.</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 on those boards. The sole dissenting vote was cast by Mr. Okada whose stated objection was to the length of time over which the donation would occur, not its propriety.</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a hearing on February 9, 2012, the Nevada state court held that, as a director of the Company, Mr. Okada had the right to make a reasonable inspection of the Company’s corporate books and records. Following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hearing, the Company released certain documents to Mr. Okada for his inspection. At a subsequent hearing on March 8, 2012, the court considered Mr. Okada’s request that the Company’s Board of Directors make additional documents available to him, and ruled that Mr. Okada was entitled to inspect two additional pages of documents. The Company promptly complied with the court’s ruling.</w:t>
      </w:r>
    </w:p>
    <w:p>
      <w:pPr>
        <w:spacing w:after="0" w:line="140"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On May 25, 2012, Mr. Okada amended his petition to request inspection of additional records. Following a hearing held on October 2, 2012, the court ruled that Mr. Okada is entitled to review certain additional Company documents from the 2000 to 2002 time period. The Company promptly complied with the court’s ruling. On November 2, 2012, Mr. Okada filed a motion to compel the production of additional documents and to depose a witness designated by the Company.</w:t>
      </w:r>
    </w:p>
    <w:p>
      <w:pPr>
        <w:spacing w:after="0" w:line="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At the conclusion of a hearing held on November 8, 2012, the court denied Mr. Okada’s motion. The Company has not received any further requests for information by Mr. Okada in relation to this matter as of the date of this report.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 Inquiry:</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is fully cooperating with the Salt Lake Regional Office staff.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Japan Action: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August 28, 2012, Mr. Okada, Universal Entertainment Corporation and Okada Holdings filed a complaint in Tokyo District Court against the Company, all members of the Board of Directors (other than Mr. Okada) and the Company’s General Counsel, alleging that the press release issued by the Company with respect to the redemption has damaged plaintiffs’ social evaluation and credibility. The plaintiffs seek damages and legal fees from the defendants. The Company and the other counter-defendants are vigorously defending against the claims asserted against them in this matter.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Federal Securities Action:</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January 3, 2013, the Company filed a definitive proxy statement on Schedule 14A (“Proxy Statement”) for a special meeting of the stockholders to consider and vote upon a proposal to remove 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Derivative Litigation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80" w:firstLine="8"/>
        <w:spacing w:after="0" w:line="287"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are against the Company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Although the stay has now expired, the State Plaintiffs have agreed to further extend the defendants’ time to respond to the consolidated complaint to allow the State Plaintiffs additional time to consider their plans for the action going forward, including a possible extension by agreement of the stay in the state derivative action.</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January 3, 2013, the Company filed a definitive proxy statement on Schedule 14A (“Proxy Statement”) for a special meeting of the stockholders to consider and vote upon a proposal to remove Mr. Okada as a director of the Company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40"/>
          </w:cols>
          <w:pgMar w:left="240" w:top="459" w:right="3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stockholders until such time as the Company corrected certain alleged misstatements and omissions in its Proxy Statement. At the conclusion of a hearing held on February 15, 2013, the federal court denied Mr. Okada’s motion.</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the Company.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Provisions</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w:t>
            </w:r>
          </w:p>
        </w:tc>
        <w:tc>
          <w:tcPr>
            <w:tcW w:w="4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Write-offs,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580" w:type="dxa"/>
            <w:vAlign w:val="bottom"/>
            <w:vMerge w:val="restart"/>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4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Net of</w:t>
            </w: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5"/>
              </w:rPr>
              <w:t>Year</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Accounts</w:t>
            </w:r>
          </w:p>
        </w:tc>
        <w:tc>
          <w:tcPr>
            <w:tcW w:w="400" w:type="dxa"/>
            <w:vAlign w:val="bottom"/>
          </w:tcPr>
          <w:p>
            <w:pPr>
              <w:spacing w:after="0"/>
              <w:rPr>
                <w:sz w:val="14"/>
                <w:szCs w:val="14"/>
                <w:color w:val="auto"/>
              </w:rPr>
            </w:pPr>
          </w:p>
        </w:tc>
        <w:tc>
          <w:tcPr>
            <w:tcW w:w="10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Recoveries</w:t>
            </w:r>
          </w:p>
        </w:tc>
        <w:tc>
          <w:tcPr>
            <w:tcW w:w="94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End of Year</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doubtful accounts:</w:t>
            </w: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5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91,854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18,091</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(7,732)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77,452</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color w:val="auto"/>
              </w:rPr>
              <w:t>2010</w:t>
            </w: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82,129</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28,304</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(32,981)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77,452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Balance at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52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Year</w:t>
            </w:r>
          </w:p>
        </w:tc>
        <w:tc>
          <w:tcPr>
            <w:tcW w:w="104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9"/>
              </w:rPr>
              <w:t>Additions</w:t>
            </w:r>
          </w:p>
        </w:tc>
        <w:tc>
          <w:tcPr>
            <w:tcW w:w="9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9"/>
              </w:rPr>
              <w:t>Deductions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End of Year</w:t>
            </w: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income tax asset valuation allowance:</w:t>
            </w:r>
          </w:p>
        </w:tc>
        <w:tc>
          <w:tcPr>
            <w:tcW w:w="1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352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1,812,482</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29,132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1,831,545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5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1,285,916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533,474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711,719</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574,197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1,285,916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60" w:type="dxa"/>
            <w:vAlign w:val="bottom"/>
            <w:vMerge w:val="restart"/>
          </w:tcPr>
          <w:p>
            <w:pPr>
              <w:jc w:val="right"/>
              <w:ind w:right="512"/>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60" w:type="dxa"/>
            <w:vAlign w:val="bottom"/>
          </w:tcPr>
          <w:p>
            <w:pPr>
              <w:spacing w:after="0"/>
              <w:rPr>
                <w:sz w:val="14"/>
                <w:szCs w:val="14"/>
                <w:color w:val="auto"/>
              </w:rPr>
            </w:pPr>
          </w:p>
        </w:tc>
      </w:tr>
      <w:tr>
        <w:trPr>
          <w:trHeight w:val="161"/>
        </w:trPr>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460" w:type="dxa"/>
            <w:vAlign w:val="bottom"/>
          </w:tcPr>
          <w:p>
            <w:pPr>
              <w:spacing w:after="0"/>
              <w:rPr>
                <w:sz w:val="14"/>
                <w:szCs w:val="14"/>
                <w:color w:val="auto"/>
              </w:rPr>
            </w:pPr>
          </w:p>
        </w:tc>
      </w:tr>
      <w:tr>
        <w:trPr>
          <w:trHeight w:val="3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3.1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Articles of Incorporation of the Registrant.(1)</w:t>
            </w:r>
          </w:p>
        </w:tc>
      </w:tr>
      <w:tr>
        <w:trPr>
          <w:trHeight w:val="324"/>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Fifth Amended and Restated Bylaws of the Registrant, as amended.(45)</w:t>
            </w:r>
          </w:p>
        </w:tc>
      </w:tr>
      <w:tr>
        <w:trPr>
          <w:trHeight w:val="324"/>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4.1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r>
      <w:tr>
        <w:trPr>
          <w:trHeight w:val="318"/>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4.2</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0"/>
              </w:rPr>
              <w:t>Indenture, dated as of October 19, 2009, among Wynn Las Vegas, LLC, Wynn Las Vegas Capital Corp., the Guarantors set forth therein and</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U.S. Bank National Association, as trustee.(24)</w:t>
            </w:r>
          </w:p>
        </w:tc>
      </w:tr>
      <w:tr>
        <w:trPr>
          <w:trHeight w:val="318"/>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4.3</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U.S. Bank National Association, as trustee.(28)</w:t>
            </w:r>
          </w:p>
        </w:tc>
      </w:tr>
      <w:tr>
        <w:trPr>
          <w:trHeight w:val="318"/>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4.4</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Indenture, dated as of August 4, 2010, among Wynn Las Vegas, LLC, Wynn Las Vegas Capital Corp., the Guarantors named therein and U.S.</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Bank National Association, as trustee.(30)</w:t>
            </w:r>
          </w:p>
        </w:tc>
      </w:tr>
      <w:tr>
        <w:trPr>
          <w:trHeight w:val="318"/>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4.5</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Indenture, dated as of March 12, 2012, by and among Wynn Las Vegas, LLC, Wynn Las Vegas Capital Corp., the Guarantors set forth therein</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and U.S. Bank National Association, as trustee.(39)</w:t>
            </w:r>
          </w:p>
        </w:tc>
      </w:tr>
      <w:tr>
        <w:trPr>
          <w:trHeight w:val="318"/>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4.6</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1"/>
              </w:rPr>
              <w:t>Third Supplemental Indenture, dated August 4, 2010, among Wynn Las Vegas, LLC, Wynn Las Vegas Capital Corp., the Guarantors name</w:t>
            </w:r>
          </w:p>
        </w:tc>
      </w:tr>
      <w:tr>
        <w:trPr>
          <w:trHeight w:val="222"/>
        </w:trPr>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therein and U.S. Bank National Association, as trustee.(30)</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*10.1.1.0</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Wynn.(1)</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1"/>
              </w:rPr>
              <w:t>First Amendment to Employment Agreement, dated as of August 6, 2004, by and between Stephen A. Wynn and Wynn Resorts, Limited.(4)</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*10.1.1.2</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6"/>
              </w:rPr>
              <w:t>Second Amendment to employment agreement between Wynn Resorts, Limited and Stephen A. Wynn dated January 31, 2007.(15)</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*10.1.1.3</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1"/>
              </w:rPr>
              <w:t>Third Amendment to Employment Agreement, dated as of September 11, 2008, between Wynn Resorts, Limited and Stephen A. Wynn.(16)</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*10.1.1.4</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1"/>
              </w:rPr>
              <w:t>Fourth Amendment to Employment Agreement dated as of December 31, 2008, between Wynn Resorts, Limited and Stephen A. Wynn.(19)</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*10.1.1.5</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1"/>
              </w:rPr>
              <w:t>Amendment to Employment Agreement, dated as of February 16, 2009, by and between Wynn Resorts, Limited and Stephen A. Wynn.(20)</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*10.1.1.6</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3"/>
              </w:rPr>
              <w:t>Sixth Amendment to Employment Agreement dated as of February 24, 2011, between Wynn Resorts, Limited and Stephen A. Wynn.(34)</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*10.1.2.0</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Schorr.(9)</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*10.1.2.1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4"/>
              </w:rPr>
              <w:t>First Amendment to Employment Agreement dated as of December 31, 2008, between Wynn Resorts, Limited and Marc D. Schorr.(19)</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*10.1.2.2</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3"/>
              </w:rPr>
              <w:t>Amendment to Employment Agreement, dated as of February 12, 2009, by and between Wynn Resorts, Limited and Marc D. Schorr.(20)</w:t>
            </w:r>
          </w:p>
        </w:tc>
      </w:tr>
      <w:tr>
        <w:trPr>
          <w:trHeight w:val="324"/>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10.1.3.0</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Employment Agreement, dated as of October 1, 2005, by and between Wynn Las Vegas, LLC and Matt Maddox.(19)</w:t>
            </w:r>
          </w:p>
        </w:tc>
      </w:tr>
      <w:tr>
        <w:trPr>
          <w:trHeight w:val="365"/>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720" w:type="dxa"/>
            <w:vAlign w:val="bottom"/>
            <w:gridSpan w:val="3"/>
          </w:tcPr>
          <w:p>
            <w:pPr>
              <w:jc w:val="right"/>
              <w:ind w:right="558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*10.1.3.1</w:t>
            </w:r>
          </w:p>
        </w:tc>
        <w:tc>
          <w:tcPr>
            <w:tcW w:w="10440" w:type="dxa"/>
            <w:vAlign w:val="bottom"/>
          </w:tcPr>
          <w:p>
            <w:pPr>
              <w:ind w:left="300"/>
              <w:spacing w:after="0"/>
              <w:rPr>
                <w:sz w:val="20"/>
                <w:szCs w:val="20"/>
                <w:color w:val="auto"/>
              </w:rPr>
            </w:pPr>
            <w:r>
              <w:rPr>
                <w:rFonts w:ascii="Arial" w:cs="Arial" w:eastAsia="Arial" w:hAnsi="Arial"/>
                <w:sz w:val="18"/>
                <w:szCs w:val="18"/>
                <w:color w:val="auto"/>
                <w:w w:val="95"/>
              </w:rPr>
              <w:t>First Amendment to Employment Agreement, dated as of May 5, 2008, by and between Wynn Resorts, Limited and Matt Maddox.(18)</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*10.1.3.2</w:t>
            </w:r>
          </w:p>
        </w:tc>
        <w:tc>
          <w:tcPr>
            <w:tcW w:w="10440" w:type="dxa"/>
            <w:vAlign w:val="bottom"/>
          </w:tcPr>
          <w:p>
            <w:pPr>
              <w:ind w:left="300"/>
              <w:spacing w:after="0"/>
              <w:rPr>
                <w:sz w:val="20"/>
                <w:szCs w:val="20"/>
                <w:color w:val="auto"/>
              </w:rPr>
            </w:pPr>
            <w:r>
              <w:rPr>
                <w:rFonts w:ascii="Arial" w:cs="Arial" w:eastAsia="Arial" w:hAnsi="Arial"/>
                <w:sz w:val="18"/>
                <w:szCs w:val="18"/>
                <w:color w:val="auto"/>
                <w:w w:val="93"/>
              </w:rPr>
              <w:t>Second Amendment to Employment Agreement dated as of December 31, 2008, between Wynn Resorts, Limited and Matt Maddox.(19)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*10.1.3.3</w:t>
            </w: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Amendment to Employment Agreement, dated as of February 13, 2009, by and between Wynn Resorts, Limited and Matt Maddox.(20)</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*10.1.3.4</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Fourth Amendment to Employment Agreement, dated as of March 5, 2009, by and between Wynn Resorts, Limited and Matt Maddox.(21)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*10.1.3.5</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Fifth Amendment to Employment Agreement, dated as of February 2, 2010, by and between Wynn Resorts, Limited and Matt Maddox.(26)</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*10.1.4.0</w:t>
            </w:r>
          </w:p>
        </w:tc>
        <w:tc>
          <w:tcPr>
            <w:tcW w:w="10440" w:type="dxa"/>
            <w:vAlign w:val="bottom"/>
          </w:tcPr>
          <w:p>
            <w:pPr>
              <w:ind w:left="300"/>
              <w:spacing w:after="0"/>
              <w:rPr>
                <w:sz w:val="20"/>
                <w:szCs w:val="20"/>
                <w:color w:val="auto"/>
              </w:rPr>
            </w:pPr>
            <w:r>
              <w:rPr>
                <w:rFonts w:ascii="Arial" w:cs="Arial" w:eastAsia="Arial" w:hAnsi="Arial"/>
                <w:sz w:val="18"/>
                <w:szCs w:val="18"/>
                <w:color w:val="auto"/>
              </w:rPr>
              <w:t>Employment agreement, dated May 12, 2010, by and between Worldwide Wynn, LLC and Linda C. Chen.(29)</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*10.1.4.1</w:t>
            </w:r>
          </w:p>
        </w:tc>
        <w:tc>
          <w:tcPr>
            <w:tcW w:w="10440" w:type="dxa"/>
            <w:vAlign w:val="bottom"/>
          </w:tcPr>
          <w:p>
            <w:pPr>
              <w:ind w:left="300"/>
              <w:spacing w:after="0"/>
              <w:rPr>
                <w:sz w:val="20"/>
                <w:szCs w:val="20"/>
                <w:color w:val="auto"/>
              </w:rPr>
            </w:pPr>
            <w:r>
              <w:rPr>
                <w:rFonts w:ascii="Arial" w:cs="Arial" w:eastAsia="Arial" w:hAnsi="Arial"/>
                <w:sz w:val="18"/>
                <w:szCs w:val="18"/>
                <w:color w:val="auto"/>
              </w:rPr>
              <w:t>Retention agreement, dated July 27, 2011, by and between Worldwide Wynn, LLC and Linda Chen.(35)</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*10.1.4.2</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First Amendment to Employment Agreement, dated as of November 2, 2012, by and between Worldwide Wynn, LLC and Linda Chen.(46)</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*10.1.5.0</w:t>
            </w:r>
          </w:p>
        </w:tc>
        <w:tc>
          <w:tcPr>
            <w:tcW w:w="10440" w:type="dxa"/>
            <w:vAlign w:val="bottom"/>
          </w:tcPr>
          <w:p>
            <w:pPr>
              <w:ind w:left="300"/>
              <w:spacing w:after="0"/>
              <w:rPr>
                <w:sz w:val="20"/>
                <w:szCs w:val="20"/>
                <w:color w:val="auto"/>
              </w:rPr>
            </w:pPr>
            <w:r>
              <w:rPr>
                <w:rFonts w:ascii="Arial" w:cs="Arial" w:eastAsia="Arial" w:hAnsi="Arial"/>
                <w:sz w:val="18"/>
                <w:szCs w:val="18"/>
                <w:color w:val="auto"/>
              </w:rPr>
              <w:t>Employment Agreement, dated as of April 24, 2007, by and between Wynn Resorts, Limited and Kim Sinatra.(33)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*10.1.5.1</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First Amendment to Employment Agreement, dated as of December 31, 2008 by and between Wynn Resorts, Limited and Kim Sinatra.(33)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*10.1.5.2</w:t>
            </w:r>
          </w:p>
        </w:tc>
        <w:tc>
          <w:tcPr>
            <w:tcW w:w="10440" w:type="dxa"/>
            <w:vAlign w:val="bottom"/>
          </w:tcPr>
          <w:p>
            <w:pPr>
              <w:ind w:left="300"/>
              <w:spacing w:after="0"/>
              <w:rPr>
                <w:sz w:val="20"/>
                <w:szCs w:val="20"/>
                <w:color w:val="auto"/>
              </w:rPr>
            </w:pPr>
            <w:r>
              <w:rPr>
                <w:rFonts w:ascii="Arial" w:cs="Arial" w:eastAsia="Arial" w:hAnsi="Arial"/>
                <w:sz w:val="18"/>
                <w:szCs w:val="18"/>
                <w:color w:val="auto"/>
                <w:w w:val="95"/>
              </w:rPr>
              <w:t>Amendment to Employment Agreement, dated as of February 12, 2009, by and between Wynn Resorts, Limited and Kim Sinatra.(33)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*10.1.5.3</w:t>
            </w:r>
          </w:p>
        </w:tc>
        <w:tc>
          <w:tcPr>
            <w:tcW w:w="10440" w:type="dxa"/>
            <w:vAlign w:val="bottom"/>
          </w:tcPr>
          <w:p>
            <w:pPr>
              <w:ind w:left="300"/>
              <w:spacing w:after="0"/>
              <w:rPr>
                <w:sz w:val="20"/>
                <w:szCs w:val="20"/>
                <w:color w:val="auto"/>
              </w:rPr>
            </w:pPr>
            <w:r>
              <w:rPr>
                <w:rFonts w:ascii="Arial" w:cs="Arial" w:eastAsia="Arial" w:hAnsi="Arial"/>
                <w:sz w:val="18"/>
                <w:szCs w:val="18"/>
                <w:color w:val="auto"/>
                <w:w w:val="89"/>
              </w:rPr>
              <w:t>Second Amendment to Employment Agreement, dated as of November 30, 2009, by and between Wynn Resorts, Limited and Kim Sinatra.(33)</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10440" w:type="dxa"/>
            <w:vAlign w:val="bottom"/>
          </w:tcPr>
          <w:p>
            <w:pPr>
              <w:ind w:left="300"/>
              <w:spacing w:after="0"/>
              <w:rPr>
                <w:sz w:val="20"/>
                <w:szCs w:val="20"/>
                <w:color w:val="auto"/>
              </w:rPr>
            </w:pPr>
            <w:r>
              <w:rPr>
                <w:rFonts w:ascii="Arial" w:cs="Arial" w:eastAsia="Arial" w:hAnsi="Arial"/>
                <w:sz w:val="18"/>
                <w:szCs w:val="18"/>
                <w:color w:val="auto"/>
              </w:rPr>
              <w:t>2002 Stock Incentive Plan as Amended and Restated effective May 12, 2010.(36)</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*10.2.2</w:t>
            </w:r>
          </w:p>
        </w:tc>
        <w:tc>
          <w:tcPr>
            <w:tcW w:w="10440" w:type="dxa"/>
            <w:vAlign w:val="bottom"/>
          </w:tcPr>
          <w:p>
            <w:pPr>
              <w:ind w:left="300"/>
              <w:spacing w:after="0"/>
              <w:rPr>
                <w:sz w:val="20"/>
                <w:szCs w:val="20"/>
                <w:color w:val="auto"/>
              </w:rPr>
            </w:pPr>
            <w:r>
              <w:rPr>
                <w:rFonts w:ascii="Arial" w:cs="Arial" w:eastAsia="Arial" w:hAnsi="Arial"/>
                <w:sz w:val="18"/>
                <w:szCs w:val="18"/>
                <w:color w:val="auto"/>
              </w:rPr>
              <w:t>2002 Stock Incentive Plan as Amended and Restated effective May 17, 2011.(44)</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*10.2.3</w:t>
            </w:r>
          </w:p>
        </w:tc>
        <w:tc>
          <w:tcPr>
            <w:tcW w:w="10440" w:type="dxa"/>
            <w:vAlign w:val="bottom"/>
          </w:tcPr>
          <w:p>
            <w:pPr>
              <w:ind w:left="300"/>
              <w:spacing w:after="0"/>
              <w:rPr>
                <w:sz w:val="20"/>
                <w:szCs w:val="20"/>
                <w:color w:val="auto"/>
              </w:rPr>
            </w:pPr>
            <w:r>
              <w:rPr>
                <w:rFonts w:ascii="Arial" w:cs="Arial" w:eastAsia="Arial" w:hAnsi="Arial"/>
                <w:sz w:val="18"/>
                <w:szCs w:val="18"/>
                <w:color w:val="auto"/>
              </w:rPr>
              <w:t>Form of Stock Option Agreement pursuant to 2002 Stock Incentive Plan.(44)</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*10.2.4</w:t>
            </w:r>
          </w:p>
        </w:tc>
        <w:tc>
          <w:tcPr>
            <w:tcW w:w="10440" w:type="dxa"/>
            <w:vAlign w:val="bottom"/>
          </w:tcPr>
          <w:p>
            <w:pPr>
              <w:ind w:left="300"/>
              <w:spacing w:after="0"/>
              <w:rPr>
                <w:sz w:val="20"/>
                <w:szCs w:val="20"/>
                <w:color w:val="auto"/>
              </w:rPr>
            </w:pPr>
            <w:r>
              <w:rPr>
                <w:rFonts w:ascii="Arial" w:cs="Arial" w:eastAsia="Arial" w:hAnsi="Arial"/>
                <w:sz w:val="18"/>
                <w:szCs w:val="18"/>
                <w:color w:val="auto"/>
              </w:rPr>
              <w:t>Form of Stock Option Grant Notice.(44)</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*10.2.5</w:t>
            </w:r>
          </w:p>
        </w:tc>
        <w:tc>
          <w:tcPr>
            <w:tcW w:w="10440" w:type="dxa"/>
            <w:vAlign w:val="bottom"/>
          </w:tcPr>
          <w:p>
            <w:pPr>
              <w:ind w:left="300"/>
              <w:spacing w:after="0"/>
              <w:rPr>
                <w:sz w:val="20"/>
                <w:szCs w:val="20"/>
                <w:color w:val="auto"/>
              </w:rPr>
            </w:pPr>
            <w:r>
              <w:rPr>
                <w:rFonts w:ascii="Arial" w:cs="Arial" w:eastAsia="Arial" w:hAnsi="Arial"/>
                <w:sz w:val="18"/>
                <w:szCs w:val="18"/>
                <w:color w:val="auto"/>
              </w:rPr>
              <w:t>Form of Restricted Stock Agreement pursuant to 2002 Stock Incentive Plan.(44)</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10.3.1.0</w:t>
            </w: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Amended and Restated Stockholder Agreement, dated January 6, 2010, by and among Stephen A. Wynn, Elaine P. Wynn and Aruze USA, Inc.</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(25)</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10.3.1.1</w:t>
            </w:r>
          </w:p>
        </w:tc>
        <w:tc>
          <w:tcPr>
            <w:tcW w:w="10440" w:type="dxa"/>
            <w:vAlign w:val="bottom"/>
          </w:tcPr>
          <w:p>
            <w:pPr>
              <w:ind w:left="300"/>
              <w:spacing w:after="0"/>
              <w:rPr>
                <w:sz w:val="20"/>
                <w:szCs w:val="20"/>
                <w:color w:val="auto"/>
              </w:rPr>
            </w:pPr>
            <w:r>
              <w:rPr>
                <w:rFonts w:ascii="Arial" w:cs="Arial" w:eastAsia="Arial" w:hAnsi="Arial"/>
                <w:sz w:val="18"/>
                <w:szCs w:val="18"/>
                <w:color w:val="auto"/>
              </w:rPr>
              <w:t>Waiver and Consent, dated November 24, 2010, by and among Aruze USA, Inc., Stephen A. Wynn and Elaine P. Wynn.(31)</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10.3.1.2</w:t>
            </w:r>
          </w:p>
        </w:tc>
        <w:tc>
          <w:tcPr>
            <w:tcW w:w="10440" w:type="dxa"/>
            <w:vAlign w:val="bottom"/>
          </w:tcPr>
          <w:p>
            <w:pPr>
              <w:ind w:left="300"/>
              <w:spacing w:after="0"/>
              <w:rPr>
                <w:sz w:val="20"/>
                <w:szCs w:val="20"/>
                <w:color w:val="auto"/>
              </w:rPr>
            </w:pPr>
            <w:r>
              <w:rPr>
                <w:rFonts w:ascii="Arial" w:cs="Arial" w:eastAsia="Arial" w:hAnsi="Arial"/>
                <w:sz w:val="18"/>
                <w:szCs w:val="18"/>
                <w:color w:val="auto"/>
              </w:rPr>
              <w:t>Waiver and Consent, dated December 15, 2010, by and among Aruze USA, Inc., Stephen A. Wynn and Elaine P. Wynn.(32)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10.3.2</w:t>
            </w: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Amended and Restated Shareholders Agreement, dated as of September 16, 2004 by and among Wynn Resorts (Macau), Ltd., Wong Chi Seng</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and Wynn Resorts (Macau), S.A.(4)</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10.4.1.1</w:t>
            </w:r>
          </w:p>
        </w:tc>
        <w:tc>
          <w:tcPr>
            <w:tcW w:w="10440" w:type="dxa"/>
            <w:vAlign w:val="bottom"/>
          </w:tcPr>
          <w:p>
            <w:pPr>
              <w:ind w:left="300"/>
              <w:spacing w:after="0"/>
              <w:rPr>
                <w:sz w:val="20"/>
                <w:szCs w:val="20"/>
                <w:color w:val="auto"/>
              </w:rPr>
            </w:pPr>
            <w:r>
              <w:rPr>
                <w:rFonts w:ascii="Arial" w:cs="Arial" w:eastAsia="Arial" w:hAnsi="Arial"/>
                <w:sz w:val="18"/>
                <w:szCs w:val="18"/>
                <w:color w:val="auto"/>
                <w:w w:val="87"/>
              </w:rPr>
              <w:t>Concession Contract for the Operation of Games of Chance or Other Games in Casinos in the Macau Special Administrative Region, dated June</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24, 2002, between the Macau Special Administrative Region and Wynn Resorts (Macau), S.A. (English translation of Portuguese version of</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Concession Agreement).(2)</w:t>
            </w:r>
          </w:p>
        </w:tc>
      </w:tr>
      <w:tr>
        <w:trPr>
          <w:trHeight w:val="365"/>
        </w:trPr>
        <w:tc>
          <w:tcPr>
            <w:tcW w:w="960" w:type="dxa"/>
            <w:vAlign w:val="bottom"/>
          </w:tcPr>
          <w:p>
            <w:pPr>
              <w:spacing w:after="0"/>
              <w:rPr>
                <w:sz w:val="24"/>
                <w:szCs w:val="24"/>
                <w:color w:val="auto"/>
              </w:rPr>
            </w:pPr>
          </w:p>
        </w:tc>
        <w:tc>
          <w:tcPr>
            <w:tcW w:w="10440" w:type="dxa"/>
            <w:vAlign w:val="bottom"/>
          </w:tcPr>
          <w:p>
            <w:pPr>
              <w:ind w:left="462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10.4.1.2</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Concession Contract for Operating Casino Gaming or Other Forms of Gaming in the Macao Special Administrative Region, dated June 24,</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6"/>
              </w:rPr>
              <w:t>2002, between the Macau Special Administrative Region and Wynn Resorts (Macau) S.A. (English translation of Chinese version of</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Concession Agreement).(5)</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10.4.1.3</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Unofficial English translation of Land Concession Contract between the Macau Special Administrative Region and Wynn Resorts (Macau) S.A.</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(3)</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10.4.1.4</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Land Concession Contract, published on May 2, 2012, by and among Palo Real Estate Company Limited, Wynn Resorts (Macau) S.A. and the</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6"/>
              </w:rPr>
              <w:t>Macau Special Administration of the People’s Republic of China (translated to English from traditional Chinese and Portuguese.(41)</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10.5.1.1</w:t>
            </w:r>
          </w:p>
        </w:tc>
        <w:tc>
          <w:tcPr>
            <w:tcW w:w="10460" w:type="dxa"/>
            <w:vAlign w:val="bottom"/>
          </w:tcPr>
          <w:p>
            <w:pPr>
              <w:ind w:left="300"/>
              <w:spacing w:after="0"/>
              <w:rPr>
                <w:sz w:val="20"/>
                <w:szCs w:val="20"/>
                <w:color w:val="auto"/>
              </w:rPr>
            </w:pPr>
            <w:r>
              <w:rPr>
                <w:rFonts w:ascii="Arial" w:cs="Arial" w:eastAsia="Arial" w:hAnsi="Arial"/>
                <w:sz w:val="18"/>
                <w:szCs w:val="18"/>
                <w:color w:val="auto"/>
                <w:w w:val="98"/>
              </w:rPr>
              <w:t>Surname Rights Agreement, dated as of August 6, 2004, by and between Stephen A. Wynn and Wynn Resorts Holdings, LLC.(4)</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10.5.1.2</w:t>
            </w:r>
          </w:p>
        </w:tc>
        <w:tc>
          <w:tcPr>
            <w:tcW w:w="10460" w:type="dxa"/>
            <w:vAlign w:val="bottom"/>
          </w:tcPr>
          <w:p>
            <w:pPr>
              <w:ind w:left="300"/>
              <w:spacing w:after="0"/>
              <w:rPr>
                <w:sz w:val="20"/>
                <w:szCs w:val="20"/>
                <w:color w:val="auto"/>
              </w:rPr>
            </w:pPr>
            <w:r>
              <w:rPr>
                <w:rFonts w:ascii="Arial" w:cs="Arial" w:eastAsia="Arial" w:hAnsi="Arial"/>
                <w:sz w:val="18"/>
                <w:szCs w:val="18"/>
                <w:color w:val="auto"/>
                <w:w w:val="99"/>
              </w:rPr>
              <w:t>Rights of Publicity License, dated as of August 6, 2004, by and between Stephen A. Wynn and Wynn Resorts Holdings, LLC.(4)</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10.5.1.3</w:t>
            </w:r>
          </w:p>
        </w:tc>
        <w:tc>
          <w:tcPr>
            <w:tcW w:w="10460" w:type="dxa"/>
            <w:vAlign w:val="bottom"/>
          </w:tcPr>
          <w:p>
            <w:pPr>
              <w:ind w:left="300"/>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LLC.(4)</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10.5.1.4</w:t>
            </w:r>
          </w:p>
        </w:tc>
        <w:tc>
          <w:tcPr>
            <w:tcW w:w="10460" w:type="dxa"/>
            <w:vAlign w:val="bottom"/>
          </w:tcPr>
          <w:p>
            <w:pPr>
              <w:ind w:left="300"/>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10.5.2</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Intellectual Property License Agreement dated as of December 14, 2004, by and among Wynn Resorts Holdings, Wynn Resorts, Limited and</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Wynn Las Vegas, LLC.(7)</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10.6.1.0</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Common Terms Agreement, dated as of September 14, 2004, among Wynn Resorts (Macau), S.A., certain financial institutions as Hotel Facility</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Lenders, Project Facility Lenders and Revolving Credit Facility Lenders, Deutsche Bank AG, Hong Kong Branch and Societe Generale Asia</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8"/>
              </w:rPr>
              <w:t>Limited as Global Coordinating Lead Arrangers and Societe Generale Asia Limited as Hotel Facility Agent, Project Facility Agent,</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Intercreditor Agent and Security Agent.(4)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10.6.1.1</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Common Terms Agreement Amendment Agreement, dated as of September 14, 2005, between Wynn Resorts (Macau), S.A. as the Company,</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Certain Financial Institutions as Hotel Facility Lenders, Project Facility Lenders, Revolving Credit Facility Lenders and Hedging</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4"/>
              </w:rPr>
              <w:t>Counterparties, Bank of America Securities Asia Limited, Deutsche Bank AG, Hong Kong Branch and Societe Generale Asia Limited as</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Global Coordinating Lead Arrangers, Societe Generale Asia Limited as Hotel Facility Agent and Project Facility Agent, Societe Generale Asia</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Limited as Intercreditor Agent, and Societe Generale, Hong Kong Branch as Security Agent.(8)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10.6.1.2</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Second Amendment Agreement to the Common Terms Agreement dated June 27, 2007 among Wynn Resorts (Macau), S.A., certain financial</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5"/>
              </w:rPr>
              <w:t>institutions as Hotel Facility Lenders, Project Facility Lenders, and Revolving Credit Facility Lenders, Banc of America Securities Asia</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Limited, Deutsche Bank A.G. Hong Kong Branch, and Societe Generale Asia Limited as Global Lead Arrangers and Societe Generale Asia</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Limited as Hotel Facility Agent and Project Facility Agent and Societe Generale Hong Kong Branch as Intercreditor Agent.(11)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10.6.1.3</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Common Terms Agreement Third Amendment Agreement dated September 8, 2009 between, among others, Wynn Resorts (Macau) S.A. as the</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company and Société Générale, Hong King Branch as security agent.(33)</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10.6.1.4</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Common Terms Agreement Fourth Amendment Agreement, dated as of July 31, 2012 between, among others, Wynn Resorts (Macau) S.A. as</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the company and Bank of China Limited Macau Branch as security agent.(42)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10.6.2.0</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Hotel Facility Agreement, dated as of September 14, 2004, among Wynn Resorts (Macau), S.A., Societe Generale Asia Limited as Hotel</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Facility Agent and the several Hotel Facility Lenders named therein.(4)</w:t>
            </w:r>
          </w:p>
        </w:tc>
      </w:tr>
      <w:tr>
        <w:trPr>
          <w:trHeight w:val="365"/>
        </w:trPr>
        <w:tc>
          <w:tcPr>
            <w:tcW w:w="860" w:type="dxa"/>
            <w:vAlign w:val="bottom"/>
          </w:tcPr>
          <w:p>
            <w:pPr>
              <w:spacing w:after="0"/>
              <w:rPr>
                <w:sz w:val="24"/>
                <w:szCs w:val="24"/>
                <w:color w:val="auto"/>
              </w:rPr>
            </w:pPr>
          </w:p>
        </w:tc>
        <w:tc>
          <w:tcPr>
            <w:tcW w:w="10460" w:type="dxa"/>
            <w:vAlign w:val="bottom"/>
          </w:tcPr>
          <w:p>
            <w:pPr>
              <w:ind w:left="4620"/>
              <w:spacing w:after="0"/>
              <w:rPr>
                <w:sz w:val="20"/>
                <w:szCs w:val="20"/>
                <w:color w:val="auto"/>
              </w:rPr>
            </w:pPr>
            <w:r>
              <w:rPr>
                <w:rFonts w:ascii="Arial" w:cs="Arial" w:eastAsia="Arial" w:hAnsi="Arial"/>
                <w:sz w:val="18"/>
                <w:szCs w:val="18"/>
                <w:color w:val="auto"/>
              </w:rPr>
              <w:t>141</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10.6.2.1</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Hotel Facility Agreement Amendment Agreement, dated as of September 14, 2005, between Wynn Resorts (Macau), S.A. as Company, Societe</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10.6.2.2</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Second Amendment Agreement to the Hotel Facility Agreement dated June 27, 2007 among Wynn Resorts (Macau), S.A., Societe Generale</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Asia Limited as Hotel Facility Agent, and certain financial institutions as Hotel Facility Lenders.(11)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10.6.2.3</w:t>
            </w:r>
          </w:p>
        </w:tc>
        <w:tc>
          <w:tcPr>
            <w:tcW w:w="10460" w:type="dxa"/>
            <w:vAlign w:val="bottom"/>
          </w:tcPr>
          <w:p>
            <w:pPr>
              <w:ind w:left="300"/>
              <w:spacing w:after="0"/>
              <w:rPr>
                <w:sz w:val="20"/>
                <w:szCs w:val="20"/>
                <w:color w:val="auto"/>
              </w:rPr>
            </w:pPr>
            <w:r>
              <w:rPr>
                <w:rFonts w:ascii="Arial" w:cs="Arial" w:eastAsia="Arial" w:hAnsi="Arial"/>
                <w:sz w:val="18"/>
                <w:szCs w:val="18"/>
                <w:color w:val="auto"/>
                <w:w w:val="94"/>
              </w:rPr>
              <w:t>Third Amendment Agreement to the Hotel Facility Agreement dated July 31, 2012 among Wynn Resorts, (Macau), S.A., Bank of China</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Limited Macau Branch, and certain financial institutions as Hotel Facility Lenders.(42)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10.6.3.0</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Project Facility Agreement, dated as of September 14, 2004, among Wynn Resorts (Macau), S.A., Societe Generale Asia Limited as Project</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Facility Agent and the several Project Facility Lenders named therein.(4)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10.6.3.1</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Project Facility Agreement Amendment Agreement, dated as of September 14, 2005, between Wynn Resorts (Macau), S.A. as Company,</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Societe Generale Asia Limited, as Project Facility Agent and Certain Financial Institutions as Project Facility Lenders.(8)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10.6.3.2</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Second Amendment Agreement to the Project Facility Agreement dated June 27, 2007 among Wynn Resorts (Macau), S.A., Societe Generale</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Asia Limited as Project Facility Agent, and certain financial institutions as Project Facility Lenders.(11)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10.6.4.0</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Revolving Credit Facility Agreement, dated as of September 14, 2004, among Wynn Resorts (Macau), S.A. and the several Revolving Credit</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Facility Lenders named therein.(4)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10.6.4.1</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Revolving Credit Facility Agreement Amendment Agreement, dated as of September 14, 2005, between Wynn Resorts (Macau), S.A. as</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Company and Certain Financial Institutions as Revolving Credit Facility Lenders.(8)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10.6.4.2</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Revolving Credit Facility Second Amendment Agreement dated June 27, 2007 among Wynn Resorts (Macau), S.A. and Societe Generale, Hong</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Kong Branch as Revolving Credit Facility Agent and certain financial institutions as revolving credit facility lenders.(11)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10.6.4.3</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Revolving Credit Facility Agreement dated July 31, 2012 among Wynn Resorts (Macau), S.A., Bank of China, Limited Macau Branch, and</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certain financial institutions as Project Facility Lenders.(42)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10.6.5.0</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Deed of Appointment and Priority, dated as of September 14, 2004, among Wynn Resorts (Macau), S.A., certain financial institutions as</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Original First Ranking Lenders, Banco Nacional Ultramarino, S.A. as Second Ranking Finance Party, Wynn Group Asia, Inc. as Third Ranking</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Finance Party, Societe Generale -Hong Kong Branch as Security Agent, Societe Generale Asia Limited as Intercreditor Agent and Hotel Facility</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Agent and Project Facility Agent and others.(4)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10.6.5.1</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Deed of Appointment and Priority Deed of Amendment, dated as of September 14, 2005, between Wynn Resorts (Macau), S.A. as Company,</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Certain Financial Institutions as Original First Ranking Lenders, Certain Financial Institutions as Original Hedging Counterparties, Banco</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Nacional Ultramarino, S.A. as Second Ranking Finance Party, Wynn Group Asia, Inc. as Third Ranking Finance Party, Societe Generale Asia</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Limited as Security Agent, Societe Generale Asia Limited as Intercreditor Agent , Societe Generale Asia Limited as Hotel Facility Agent and</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Project Facility Agent, and Others.(8)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10.6.6</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Floating Charge (unofficial English Translation), dated September 14, 2004 between Wynn Resorts (Macau), S.A. and Societe Generale, Hong</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Kong Branch as the Security Agent.(4)</w:t>
            </w:r>
          </w:p>
        </w:tc>
      </w:tr>
      <w:tr>
        <w:trPr>
          <w:trHeight w:val="365"/>
        </w:trPr>
        <w:tc>
          <w:tcPr>
            <w:tcW w:w="860" w:type="dxa"/>
            <w:vAlign w:val="bottom"/>
          </w:tcPr>
          <w:p>
            <w:pPr>
              <w:spacing w:after="0"/>
              <w:rPr>
                <w:sz w:val="24"/>
                <w:szCs w:val="24"/>
                <w:color w:val="auto"/>
              </w:rPr>
            </w:pPr>
          </w:p>
        </w:tc>
        <w:tc>
          <w:tcPr>
            <w:tcW w:w="10460" w:type="dxa"/>
            <w:vAlign w:val="bottom"/>
          </w:tcPr>
          <w:p>
            <w:pPr>
              <w:ind w:left="4620"/>
              <w:spacing w:after="0"/>
              <w:rPr>
                <w:sz w:val="20"/>
                <w:szCs w:val="20"/>
                <w:color w:val="auto"/>
              </w:rPr>
            </w:pPr>
            <w:r>
              <w:rPr>
                <w:rFonts w:ascii="Arial" w:cs="Arial" w:eastAsia="Arial" w:hAnsi="Arial"/>
                <w:sz w:val="18"/>
                <w:szCs w:val="18"/>
                <w:color w:val="auto"/>
              </w:rPr>
              <w:t>142</w:t>
            </w: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10.6.7</w:t>
            </w:r>
          </w:p>
        </w:tc>
        <w:tc>
          <w:tcPr>
            <w:tcW w:w="10460" w:type="dxa"/>
            <w:vAlign w:val="bottom"/>
          </w:tcPr>
          <w:p>
            <w:pPr>
              <w:ind w:left="300"/>
              <w:spacing w:after="0"/>
              <w:rPr>
                <w:sz w:val="20"/>
                <w:szCs w:val="20"/>
                <w:color w:val="auto"/>
              </w:rPr>
            </w:pPr>
            <w:r>
              <w:rPr>
                <w:rFonts w:ascii="Arial" w:cs="Arial" w:eastAsia="Arial" w:hAnsi="Arial"/>
                <w:sz w:val="18"/>
                <w:szCs w:val="18"/>
                <w:color w:val="auto"/>
                <w:w w:val="87"/>
              </w:rPr>
              <w:t>Debenture, dated September 14, 2004 between Wynn Resorts (Macau), S.A. and Societe Generale, Hong Kong Branch as the Security Agent.(4)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10.6.8.0</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Wynn Resorts Support Agreement, dated September 14, 2004 between Wynn Resorts, Limited, Wynn Resorts (Macau), S.A. and Societe</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Generale, Hong Kong Branch as the Security Agent.(4)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10.6.8.1</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Wynn Resorts Support Agreement Deed of Amendment, dated as of September 14, 2005, between Wynn Resorts (Macau), S.A. and Societe</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Generale, Hong Kong Branch as Security Agent.(8)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10.6.9</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Wynn Pledgors’ Guarantee, dated September 14, 2004 between Wynn Group Asia, Inc., Wynn Resorts International, Ltd., Wynn Resorts</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(Macau) Holdings, Ltd. and Wynn Resorts (Macau), Ltd. as Guarantors; and Societe Generale, Hong Kong Branch as the Security Agent.(4)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10.6.10</w:t>
            </w:r>
          </w:p>
        </w:tc>
        <w:tc>
          <w:tcPr>
            <w:tcW w:w="10460" w:type="dxa"/>
            <w:vAlign w:val="bottom"/>
          </w:tcPr>
          <w:p>
            <w:pPr>
              <w:ind w:left="300"/>
              <w:spacing w:after="0"/>
              <w:rPr>
                <w:sz w:val="20"/>
                <w:szCs w:val="20"/>
                <w:color w:val="auto"/>
              </w:rPr>
            </w:pPr>
            <w:r>
              <w:rPr>
                <w:rFonts w:ascii="Arial" w:cs="Arial" w:eastAsia="Arial" w:hAnsi="Arial"/>
                <w:sz w:val="18"/>
                <w:szCs w:val="18"/>
                <w:color w:val="auto"/>
                <w:w w:val="95"/>
              </w:rPr>
              <w:t>Bank Guarantee Reimbursement Agreement, dated September 14, 2004, between Wynn Resorts (Macau), S.A. and Banco Nacional</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Ultramarino.(4)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10.6.11</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Sponsors’ Subordination Deed, dated September 14, 2004 between Wynn Resorts (Macau), S.A., Wynn Group Asia, Inc., Wynn Resorts</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International, Ltd., Wynn Resorts (Macau) Holdings, Ltd. and Wynn Resorts (Macau), Ltd. as the Wynn Companies and Societe Generale, Hong</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Kong Branch as the Security Agent.(4)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10.7.0</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Amended and Restated Master Disbursement Agreement, dated as of October 25, 2007, by and among Wynn Las Vegas, LLC, Deutsche Bank</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Trust Company Americas, as the initial Bank Agent, and Deutsche Bank Trust Company America, as the initial Disbursement Agent.(14)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10.7.1</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First Amendment to Amended and Restated Master Disbursement Agreement, dated as of October 31, 2007, by and among Wynn Las Vegas,</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6"/>
              </w:rPr>
              <w:t>LLC, Deutsche Bank Trust Company Americas, as the initial Bank Agent, and Deutsche Bank Trust Company America, as the initial</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Disbursement Agent.(12)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10.7.2</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Second Amendment to Amended and Restated Master Disbursement Agreement, dated as of November 6, 2007, by and among Wynn Las</w:t>
            </w:r>
          </w:p>
        </w:tc>
      </w:tr>
      <w:tr>
        <w:trPr>
          <w:trHeight w:val="216"/>
        </w:trPr>
        <w:tc>
          <w:tcPr>
            <w:tcW w:w="8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Vegas, LLC, Deutsche Bank Trust Company Americas, as the Bank Agent, and Deutsche Bank Trust Company Americas, as the Disbursement</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Agent.(13)</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10.7.3</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Third Amendment to Amended and Restated Master Disbursement Agreement, dated October 19, 2009, by and among Wynn Las Vegas, LLC,</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Agent.(24)</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10.7.4</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Fourth Amendment to Amended and Restated Master Disbursement Agreement, dated April 28, 2010, by and among Wynn Las Vegas, LLC,</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Agent.(28)</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10.7.5</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Fifth Amendment to the Amended and Restated Master Disbursement Agreement, dated August 4, 2012, by and among Wynn Las Vegas, LLC,</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Agent.(46)</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10.7.6</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Sixth Amendment to Amended and Restated Master Disbursement Agreement, dated March 12, 2012, by and among Wynn Las Vegas, LLC,</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Agent.(39)</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10.8.1</w:t>
            </w:r>
          </w:p>
        </w:tc>
        <w:tc>
          <w:tcPr>
            <w:tcW w:w="10460" w:type="dxa"/>
            <w:vAlign w:val="bottom"/>
          </w:tcPr>
          <w:p>
            <w:pPr>
              <w:ind w:left="30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 Stephen A. Wynn.(27)</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10.8.1.1</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First Amendment to Amended and Restated Agreement of Lease, dated as of April 9, 2012, by and between Wynn Las Vegas, LLC and Stephen</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A. Wynn.(40)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10.8.2.1</w:t>
            </w:r>
          </w:p>
        </w:tc>
        <w:tc>
          <w:tcPr>
            <w:tcW w:w="10460" w:type="dxa"/>
            <w:vAlign w:val="bottom"/>
          </w:tcPr>
          <w:p>
            <w:pPr>
              <w:ind w:left="300"/>
              <w:spacing w:after="0"/>
              <w:rPr>
                <w:sz w:val="20"/>
                <w:szCs w:val="20"/>
                <w:color w:val="auto"/>
              </w:rPr>
            </w:pPr>
            <w:r>
              <w:rPr>
                <w:rFonts w:ascii="Arial" w:cs="Arial" w:eastAsia="Arial" w:hAnsi="Arial"/>
                <w:sz w:val="18"/>
                <w:szCs w:val="18"/>
                <w:color w:val="auto"/>
                <w:w w:val="87"/>
              </w:rPr>
              <w:t>Fifth Amended and Restated Art Rental and Licensing Agreement, dated as of July 1, 2007, between Stephen A. Wynn, as lessor, Wynn Gallery,</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LLC, as lessee.(37)</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10.8.2.2</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Sixth Amended and Restated Art Rental and Licensing Agreement, dated as of July 1, 2012 between Stephen A. Wynn, as lessor, Wynn Las</w:t>
            </w:r>
          </w:p>
        </w:tc>
      </w:tr>
      <w:tr>
        <w:trPr>
          <w:trHeight w:val="222"/>
        </w:trPr>
        <w:tc>
          <w:tcPr>
            <w:tcW w:w="8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Vegas, LLC, as lessee.(42)</w:t>
            </w:r>
          </w:p>
        </w:tc>
      </w:tr>
      <w:tr>
        <w:trPr>
          <w:trHeight w:val="365"/>
        </w:trPr>
        <w:tc>
          <w:tcPr>
            <w:tcW w:w="860" w:type="dxa"/>
            <w:vAlign w:val="bottom"/>
          </w:tcPr>
          <w:p>
            <w:pPr>
              <w:spacing w:after="0"/>
              <w:rPr>
                <w:sz w:val="24"/>
                <w:szCs w:val="24"/>
                <w:color w:val="auto"/>
              </w:rPr>
            </w:pPr>
          </w:p>
        </w:tc>
        <w:tc>
          <w:tcPr>
            <w:tcW w:w="10460" w:type="dxa"/>
            <w:vAlign w:val="bottom"/>
          </w:tcPr>
          <w:p>
            <w:pPr>
              <w:ind w:left="4620"/>
              <w:spacing w:after="0"/>
              <w:rPr>
                <w:sz w:val="20"/>
                <w:szCs w:val="20"/>
                <w:color w:val="auto"/>
              </w:rPr>
            </w:pPr>
            <w:r>
              <w:rPr>
                <w:rFonts w:ascii="Arial" w:cs="Arial" w:eastAsia="Arial" w:hAnsi="Arial"/>
                <w:sz w:val="18"/>
                <w:szCs w:val="18"/>
                <w:color w:val="auto"/>
              </w:rPr>
              <w:t>143</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10.9.1.1</w:t>
            </w:r>
          </w:p>
        </w:tc>
        <w:tc>
          <w:tcPr>
            <w:tcW w:w="10420" w:type="dxa"/>
            <w:vAlign w:val="bottom"/>
          </w:tcPr>
          <w:p>
            <w:pPr>
              <w:ind w:left="26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the lenders named therein.(6)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10.9.2.0</w:t>
            </w:r>
          </w:p>
        </w:tc>
        <w:tc>
          <w:tcPr>
            <w:tcW w:w="10420" w:type="dxa"/>
            <w:vAlign w:val="bottom"/>
          </w:tcPr>
          <w:p>
            <w:pPr>
              <w:ind w:left="260"/>
              <w:spacing w:after="0"/>
              <w:rPr>
                <w:sz w:val="20"/>
                <w:szCs w:val="20"/>
                <w:color w:val="auto"/>
              </w:rPr>
            </w:pPr>
            <w:r>
              <w:rPr>
                <w:rFonts w:ascii="Arial" w:cs="Arial" w:eastAsia="Arial" w:hAnsi="Arial"/>
                <w:sz w:val="18"/>
                <w:szCs w:val="18"/>
                <w:color w:val="auto"/>
                <w:w w:val="97"/>
              </w:rPr>
              <w:t>Aircraft Time Sharing Agreement dated as of November 25, 2002, by and between Las Vegas Jet, LLC and Stephen A. Wynn.(33)</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10.9.2.1</w:t>
            </w:r>
          </w:p>
        </w:tc>
        <w:tc>
          <w:tcPr>
            <w:tcW w:w="10420" w:type="dxa"/>
            <w:vAlign w:val="bottom"/>
          </w:tcPr>
          <w:p>
            <w:pPr>
              <w:ind w:left="260"/>
              <w:spacing w:after="0"/>
              <w:rPr>
                <w:sz w:val="20"/>
                <w:szCs w:val="20"/>
                <w:color w:val="auto"/>
              </w:rPr>
            </w:pPr>
            <w:r>
              <w:rPr>
                <w:rFonts w:ascii="Arial" w:cs="Arial" w:eastAsia="Arial" w:hAnsi="Arial"/>
                <w:sz w:val="18"/>
                <w:szCs w:val="18"/>
                <w:color w:val="auto"/>
                <w:w w:val="88"/>
              </w:rPr>
              <w:t>Amendment No. 1 to Aircraft Time Sharing Agreement, entered into as of January 1, 2004, by and between Las Vegas Jet, LLC and Stephen A.</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Wynn.(33)</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10.9.2.2</w:t>
            </w:r>
          </w:p>
        </w:tc>
        <w:tc>
          <w:tcPr>
            <w:tcW w:w="10420" w:type="dxa"/>
            <w:vAlign w:val="bottom"/>
          </w:tcPr>
          <w:p>
            <w:pPr>
              <w:ind w:left="260"/>
              <w:spacing w:after="0"/>
              <w:rPr>
                <w:sz w:val="20"/>
                <w:szCs w:val="20"/>
                <w:color w:val="auto"/>
              </w:rPr>
            </w:pPr>
            <w:r>
              <w:rPr>
                <w:rFonts w:ascii="Arial" w:cs="Arial" w:eastAsia="Arial" w:hAnsi="Arial"/>
                <w:sz w:val="18"/>
                <w:szCs w:val="18"/>
                <w:color w:val="auto"/>
                <w:w w:val="89"/>
              </w:rPr>
              <w:t>Amendment No. 2 to Aircraft Time Sharing Agreement, entered into as of October 31, 2009, by and between Las Vegas Jet, LLC and Stephen</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A. Wynn.(33)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10.9.3.0</w:t>
            </w:r>
          </w:p>
        </w:tc>
        <w:tc>
          <w:tcPr>
            <w:tcW w:w="10420" w:type="dxa"/>
            <w:vAlign w:val="bottom"/>
          </w:tcPr>
          <w:p>
            <w:pPr>
              <w:ind w:left="260"/>
              <w:spacing w:after="0"/>
              <w:rPr>
                <w:sz w:val="20"/>
                <w:szCs w:val="20"/>
                <w:color w:val="auto"/>
              </w:rPr>
            </w:pPr>
            <w:r>
              <w:rPr>
                <w:rFonts w:ascii="Arial" w:cs="Arial" w:eastAsia="Arial" w:hAnsi="Arial"/>
                <w:sz w:val="18"/>
                <w:szCs w:val="18"/>
                <w:color w:val="auto"/>
              </w:rPr>
              <w:t>Aircraft Time Sharing Agreement dated as of November 26, 2002, by and between Las Vegas Jet, LLC and Marc Schorr.(33)</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10.9.3.1</w:t>
            </w: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Amendment No. 1 to Aircraft Time Sharing Agreement, entered into as of January 1, 2004, by and between Las Vegas Jet, LLC and Marc</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Schorr.(33)</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10.9.3.2</w:t>
            </w:r>
          </w:p>
        </w:tc>
        <w:tc>
          <w:tcPr>
            <w:tcW w:w="10420" w:type="dxa"/>
            <w:vAlign w:val="bottom"/>
          </w:tcPr>
          <w:p>
            <w:pPr>
              <w:ind w:left="260"/>
              <w:spacing w:after="0"/>
              <w:rPr>
                <w:sz w:val="20"/>
                <w:szCs w:val="20"/>
                <w:color w:val="auto"/>
              </w:rPr>
            </w:pPr>
            <w:r>
              <w:rPr>
                <w:rFonts w:ascii="Arial" w:cs="Arial" w:eastAsia="Arial" w:hAnsi="Arial"/>
                <w:sz w:val="18"/>
                <w:szCs w:val="18"/>
                <w:color w:val="auto"/>
                <w:w w:val="91"/>
              </w:rPr>
              <w:t>Amendment No. 2 to Aircraft Time Sharing Agreement, entered into as of October 31, 2009, by and between Las Vegas Jet, LLC and Marc</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Schorr.(33)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10.9.4</w:t>
            </w:r>
          </w:p>
        </w:tc>
        <w:tc>
          <w:tcPr>
            <w:tcW w:w="10420" w:type="dxa"/>
            <w:vAlign w:val="bottom"/>
          </w:tcPr>
          <w:p>
            <w:pPr>
              <w:ind w:left="260"/>
              <w:spacing w:after="0"/>
              <w:rPr>
                <w:sz w:val="20"/>
                <w:szCs w:val="20"/>
                <w:color w:val="auto"/>
              </w:rPr>
            </w:pPr>
            <w:r>
              <w:rPr>
                <w:rFonts w:ascii="Arial" w:cs="Arial" w:eastAsia="Arial" w:hAnsi="Arial"/>
                <w:sz w:val="18"/>
                <w:szCs w:val="18"/>
                <w:color w:val="auto"/>
              </w:rPr>
              <w:t>Aircraft Purchase Option Agreement, dated January 3, 2013, between Wynn Resorts, Limited and Stephen A. Wynn.(46)</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10.10.1.0</w:t>
            </w:r>
          </w:p>
        </w:tc>
        <w:tc>
          <w:tcPr>
            <w:tcW w:w="10420" w:type="dxa"/>
            <w:vAlign w:val="bottom"/>
          </w:tcPr>
          <w:p>
            <w:pPr>
              <w:ind w:left="260"/>
              <w:spacing w:after="0"/>
              <w:rPr>
                <w:sz w:val="20"/>
                <w:szCs w:val="20"/>
                <w:color w:val="auto"/>
              </w:rPr>
            </w:pPr>
            <w:r>
              <w:rPr>
                <w:rFonts w:ascii="Arial" w:cs="Arial" w:eastAsia="Arial" w:hAnsi="Arial"/>
                <w:sz w:val="18"/>
                <w:szCs w:val="18"/>
                <w:color w:val="auto"/>
                <w:w w:val="90"/>
              </w:rPr>
              <w:t>Amended and Restated Credit Agreement, dated as of August 15, 2006 among Wynn Las Vegas, LLC, as the Borrower, several lenders and</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agents, and Deutsche Bank Trust Company Americas, as Administrative Agent.(10)</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10.10.1.1</w:t>
            </w:r>
          </w:p>
        </w:tc>
        <w:tc>
          <w:tcPr>
            <w:tcW w:w="10420" w:type="dxa"/>
            <w:vAlign w:val="bottom"/>
          </w:tcPr>
          <w:p>
            <w:pPr>
              <w:ind w:left="260"/>
              <w:spacing w:after="0"/>
              <w:rPr>
                <w:sz w:val="20"/>
                <w:szCs w:val="20"/>
                <w:color w:val="auto"/>
              </w:rPr>
            </w:pPr>
            <w:r>
              <w:rPr>
                <w:rFonts w:ascii="Arial" w:cs="Arial" w:eastAsia="Arial" w:hAnsi="Arial"/>
                <w:sz w:val="18"/>
                <w:szCs w:val="18"/>
                <w:color w:val="auto"/>
                <w:w w:val="91"/>
              </w:rPr>
              <w:t>First Amendment to Amended and Restated Credit Agreement dated April 9, 2007 among Wynn Las Vegas, LLC, Wynn Las Vegas Capital</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6"/>
              </w:rPr>
              <w:t>Corp., Wynn Show Performers, LLC, Wynn Golf, LLC, Wynn Sunrise, LLC, World Travel, LLC, Kevyn, LLC, Las Vegas Jet, LLC, and</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Deutsche Bank Trust Company Americas, as Administrative Agent on behalf of the several banks and other financial institutions or entities</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from time to time party to Wynn Las Vegas LLC’s Amended and Restated Credit Agreement, dated as of August 15, 2006.(11)</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10.10.1.2</w:t>
            </w:r>
          </w:p>
        </w:tc>
        <w:tc>
          <w:tcPr>
            <w:tcW w:w="10420" w:type="dxa"/>
            <w:vAlign w:val="bottom"/>
          </w:tcPr>
          <w:p>
            <w:pPr>
              <w:ind w:left="260"/>
              <w:spacing w:after="0"/>
              <w:rPr>
                <w:sz w:val="20"/>
                <w:szCs w:val="20"/>
                <w:color w:val="auto"/>
              </w:rPr>
            </w:pPr>
            <w:r>
              <w:rPr>
                <w:rFonts w:ascii="Arial" w:cs="Arial" w:eastAsia="Arial" w:hAnsi="Arial"/>
                <w:sz w:val="18"/>
                <w:szCs w:val="18"/>
                <w:color w:val="auto"/>
                <w:w w:val="91"/>
              </w:rPr>
              <w:t>Second Amendment to Amended and Restated Credit Agreement dated October 31, 2007 among Wynn Las Vegas, LLC, Wynn Las Vegas</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0"/>
              </w:rPr>
              <w:t>Wynn Resorts Holdings, LLC, Wynn Completion Guarantors, LLC and Deutsche Bank Trust Company Americas, as Administrative Agent on</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89"/>
              </w:rPr>
              <w:t>behalf of the several banks and other financial institutions or entities from time to time party to Wynn Las Vegas LLC’s Amended and Restated</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Credit Agreement, dated as of August 15, 2006.(12)</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10.10.1.3</w:t>
            </w:r>
          </w:p>
        </w:tc>
        <w:tc>
          <w:tcPr>
            <w:tcW w:w="10420" w:type="dxa"/>
            <w:vAlign w:val="bottom"/>
          </w:tcPr>
          <w:p>
            <w:pPr>
              <w:ind w:left="260"/>
              <w:spacing w:after="0"/>
              <w:rPr>
                <w:sz w:val="20"/>
                <w:szCs w:val="20"/>
                <w:color w:val="auto"/>
              </w:rPr>
            </w:pPr>
            <w:r>
              <w:rPr>
                <w:rFonts w:ascii="Arial" w:cs="Arial" w:eastAsia="Arial" w:hAnsi="Arial"/>
                <w:sz w:val="18"/>
                <w:szCs w:val="18"/>
                <w:color w:val="auto"/>
                <w:w w:val="87"/>
              </w:rPr>
              <w:t>Third Amendment to Amended and Restated Credit Agreement dated as of September 17, 2008 among Wynn Las Vegas, LLC, Wynn Las Vegas</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on</w:t>
            </w:r>
          </w:p>
        </w:tc>
      </w:tr>
      <w:tr>
        <w:trPr>
          <w:trHeight w:val="216"/>
        </w:trPr>
        <w:tc>
          <w:tcPr>
            <w:tcW w:w="90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89"/>
              </w:rPr>
              <w:t>behalf of the several banks and other financial institutions or entities from time to time party to Wynn Las Vegas, LLC’s Amended and Restated</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Credit Agreement, dated as of August 15, 2006.(17)</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10.10.1.4</w:t>
            </w: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Fourth Amendment to Amended and Restated Credit Agreement, dated as of April 17, 2009, among Wynn Las Vegas, LLC and Wynn Las</w:t>
            </w:r>
          </w:p>
        </w:tc>
      </w:tr>
      <w:tr>
        <w:trPr>
          <w:trHeight w:val="222"/>
        </w:trPr>
        <w:tc>
          <w:tcPr>
            <w:tcW w:w="900" w:type="dxa"/>
            <w:vAlign w:val="bottom"/>
          </w:tcPr>
          <w:p>
            <w:pPr>
              <w:spacing w:after="0"/>
              <w:rPr>
                <w:sz w:val="19"/>
                <w:szCs w:val="19"/>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Vegas Capital Corp., Wynn Show Performers, LLC, Wynn Golf, LLC, Wynn Sunrise, LLC, World Travel, LLC, Kevyn, LLC, Las Vegas Jet,</w:t>
            </w:r>
          </w:p>
        </w:tc>
      </w:tr>
    </w:tbl>
    <w:p>
      <w:pPr>
        <w:ind w:left="1260" w:right="60"/>
        <w:spacing w:after="0" w:line="255" w:lineRule="auto"/>
        <w:rPr>
          <w:sz w:val="20"/>
          <w:szCs w:val="20"/>
          <w:color w:val="auto"/>
        </w:rPr>
      </w:pPr>
      <w:r>
        <w:rPr>
          <w:rFonts w:ascii="Arial" w:cs="Arial" w:eastAsia="Arial" w:hAnsi="Arial"/>
          <w:sz w:val="18"/>
          <w:szCs w:val="18"/>
          <w:color w:val="auto"/>
        </w:rPr>
        <w:t>LLC, Wynn Resorts Holdings, LLC, Wynn Completion Guarantors, LLC and Deutsche Bank Trust Company Americas, as Administrative Agent on behalf of the several banks and other financial institutions or entities from time to time party to Wynn Las Vegas LLC’s Amended and Restated Credit Agreement, dated as of August 15, 2006.(22)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10.10.1.5</w:t>
            </w:r>
          </w:p>
        </w:tc>
        <w:tc>
          <w:tcPr>
            <w:tcW w:w="10380" w:type="dxa"/>
            <w:vAlign w:val="bottom"/>
          </w:tcPr>
          <w:p>
            <w:pPr>
              <w:ind w:left="260"/>
              <w:spacing w:after="0"/>
              <w:rPr>
                <w:sz w:val="20"/>
                <w:szCs w:val="20"/>
                <w:color w:val="auto"/>
              </w:rPr>
            </w:pPr>
            <w:r>
              <w:rPr>
                <w:rFonts w:ascii="Arial" w:cs="Arial" w:eastAsia="Arial" w:hAnsi="Arial"/>
                <w:sz w:val="18"/>
                <w:szCs w:val="18"/>
                <w:color w:val="auto"/>
                <w:w w:val="89"/>
              </w:rPr>
              <w:t>Fifth Amendment to Amended and Restated Credit Agreement, dated as of September 10, 2009, among Wynn Las Vegas, LLC and Wynn Las</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Vegas Capital Corp., Wynn Show Performers, LLC, Wynn Golf, LLC, Wynn Sunrise, LLC, World Travel, LLC, Kevyn, LLC, Las Vegas Jet,</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LLC, Wynn Resorts Holdings, LLC, Wynn Completion Guarantors, LLC and Deutsche Bank Trust Company Americas, as Administrative</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89"/>
              </w:rPr>
              <w:t>Agent on behalf of the several banks and other financial institutions or entities from time to time party to Wynn Las Vegas LLC’s Amended and</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Restated Credit Agreement, dated as of August 15, 2006. (23)</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10.10.1.6</w:t>
            </w:r>
          </w:p>
        </w:tc>
        <w:tc>
          <w:tcPr>
            <w:tcW w:w="10380" w:type="dxa"/>
            <w:vAlign w:val="bottom"/>
          </w:tcPr>
          <w:p>
            <w:pPr>
              <w:ind w:left="260"/>
              <w:spacing w:after="0"/>
              <w:rPr>
                <w:sz w:val="20"/>
                <w:szCs w:val="20"/>
                <w:color w:val="auto"/>
              </w:rPr>
            </w:pPr>
            <w:r>
              <w:rPr>
                <w:rFonts w:ascii="Arial" w:cs="Arial" w:eastAsia="Arial" w:hAnsi="Arial"/>
                <w:sz w:val="18"/>
                <w:szCs w:val="18"/>
                <w:color w:val="auto"/>
                <w:w w:val="91"/>
              </w:rPr>
              <w:t>Sixth Amendment to Amended and Restated Credit Agreement dated as of April 28, 2010 among Wynn Las Vegas, LLC, Wynn Las Vegas</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0"/>
              </w:rPr>
              <w:t>Wynn Resorts Holdings, LLC, Wynn Completion Guarantor, LLC and Deutsche Bank Trust Company Americas, as Administrative Agent.(28)</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10.10.1.7</w:t>
            </w:r>
          </w:p>
        </w:tc>
        <w:tc>
          <w:tcPr>
            <w:tcW w:w="10380" w:type="dxa"/>
            <w:vAlign w:val="bottom"/>
          </w:tcPr>
          <w:p>
            <w:pPr>
              <w:ind w:left="260"/>
              <w:spacing w:after="0"/>
              <w:rPr>
                <w:sz w:val="20"/>
                <w:szCs w:val="20"/>
                <w:color w:val="auto"/>
              </w:rPr>
            </w:pPr>
            <w:r>
              <w:rPr>
                <w:rFonts w:ascii="Arial" w:cs="Arial" w:eastAsia="Arial" w:hAnsi="Arial"/>
                <w:sz w:val="18"/>
                <w:szCs w:val="18"/>
                <w:color w:val="auto"/>
                <w:w w:val="88"/>
              </w:rPr>
              <w:t>Seventh Amendment to Amended and Restated Credit Agreement dated as of August 4, 2010 among Wynn Las Vegas, LLC, Wynn Las Vegas</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on</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88"/>
              </w:rPr>
              <w:t>behalf of the several banks and other financial institutions or entities from time to time party to Wynn Las Vegas, LLC’s Amended and Restated</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Credit Agreement, dated as of August 15, 2006.(30)</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10.10.1.8</w:t>
            </w:r>
          </w:p>
        </w:tc>
        <w:tc>
          <w:tcPr>
            <w:tcW w:w="10380" w:type="dxa"/>
            <w:vAlign w:val="bottom"/>
          </w:tcPr>
          <w:p>
            <w:pPr>
              <w:ind w:left="260"/>
              <w:spacing w:after="0"/>
              <w:rPr>
                <w:sz w:val="20"/>
                <w:szCs w:val="20"/>
                <w:color w:val="auto"/>
              </w:rPr>
            </w:pPr>
            <w:r>
              <w:rPr>
                <w:rFonts w:ascii="Arial" w:cs="Arial" w:eastAsia="Arial" w:hAnsi="Arial"/>
                <w:sz w:val="18"/>
                <w:szCs w:val="18"/>
                <w:color w:val="auto"/>
                <w:w w:val="89"/>
              </w:rPr>
              <w:t>Eighth Amendment to Amended and Restated Credit Agreement dated as of March 12, 2012 among Wynn Las Vegas, LLC, Wynn Las Vegas</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on</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88"/>
              </w:rPr>
              <w:t>behalf of the several banks and other financial institutions or entities from time to time party to Wynn Las Vegas, LLC’s Amended and Restated</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Credit Agreement, dated as of August 15, 2006.(39)</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10.11.1</w:t>
            </w:r>
          </w:p>
        </w:tc>
        <w:tc>
          <w:tcPr>
            <w:tcW w:w="10380" w:type="dxa"/>
            <w:vAlign w:val="bottom"/>
          </w:tcPr>
          <w:p>
            <w:pPr>
              <w:ind w:left="260"/>
              <w:spacing w:after="0"/>
              <w:rPr>
                <w:sz w:val="20"/>
                <w:szCs w:val="20"/>
                <w:color w:val="auto"/>
              </w:rPr>
            </w:pPr>
            <w:r>
              <w:rPr>
                <w:rFonts w:ascii="Arial" w:cs="Arial" w:eastAsia="Arial" w:hAnsi="Arial"/>
                <w:sz w:val="18"/>
                <w:szCs w:val="18"/>
                <w:color w:val="auto"/>
              </w:rPr>
              <w:t>Agreement, dated as of June 13, 2002, by and between Stephen A. Wynn and Wynn Resorts, Limited.(2)</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10.11.2</w:t>
            </w:r>
          </w:p>
        </w:tc>
        <w:tc>
          <w:tcPr>
            <w:tcW w:w="10380" w:type="dxa"/>
            <w:vAlign w:val="bottom"/>
          </w:tcPr>
          <w:p>
            <w:pPr>
              <w:ind w:left="260"/>
              <w:spacing w:after="0"/>
              <w:rPr>
                <w:sz w:val="20"/>
                <w:szCs w:val="20"/>
                <w:color w:val="auto"/>
              </w:rPr>
            </w:pPr>
            <w:r>
              <w:rPr>
                <w:rFonts w:ascii="Arial" w:cs="Arial" w:eastAsia="Arial" w:hAnsi="Arial"/>
                <w:sz w:val="18"/>
                <w:szCs w:val="18"/>
                <w:color w:val="auto"/>
                <w:w w:val="89"/>
              </w:rPr>
              <w:t>Tax Indemnification Agreement, effective as of September 24, 2002, by and among Stephen A. Wynn, Aruze USA, Inc., Baron Asset Fund on</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0"/>
              </w:rPr>
              <w:t>behalf of the Baron Asset Fund Series, Baron Asset Fund on behalf of the Baron Growth Fund Series, Kenneth R. Wynn Family Trust dated</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February 20, 1985, Valvino Lamore, LLC and Wynn Resorts, Limited.(1)</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10.11.3</w:t>
            </w:r>
          </w:p>
        </w:tc>
        <w:tc>
          <w:tcPr>
            <w:tcW w:w="10380" w:type="dxa"/>
            <w:vAlign w:val="bottom"/>
          </w:tcPr>
          <w:p>
            <w:pPr>
              <w:ind w:left="260"/>
              <w:spacing w:after="0"/>
              <w:rPr>
                <w:sz w:val="20"/>
                <w:szCs w:val="20"/>
                <w:color w:val="auto"/>
              </w:rPr>
            </w:pPr>
            <w:r>
              <w:rPr>
                <w:rFonts w:ascii="Arial" w:cs="Arial" w:eastAsia="Arial" w:hAnsi="Arial"/>
                <w:sz w:val="18"/>
                <w:szCs w:val="18"/>
                <w:color w:val="auto"/>
              </w:rPr>
              <w:t>Form of Indemnity Agreement.(5)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10.11.4</w:t>
            </w:r>
          </w:p>
        </w:tc>
        <w:tc>
          <w:tcPr>
            <w:tcW w:w="10380" w:type="dxa"/>
            <w:vAlign w:val="bottom"/>
          </w:tcPr>
          <w:p>
            <w:pPr>
              <w:ind w:left="260"/>
              <w:spacing w:after="0"/>
              <w:rPr>
                <w:sz w:val="20"/>
                <w:szCs w:val="20"/>
                <w:color w:val="auto"/>
              </w:rPr>
            </w:pPr>
            <w:r>
              <w:rPr>
                <w:rFonts w:ascii="Arial" w:cs="Arial" w:eastAsia="Arial" w:hAnsi="Arial"/>
                <w:sz w:val="18"/>
                <w:szCs w:val="18"/>
                <w:color w:val="auto"/>
                <w:w w:val="91"/>
              </w:rPr>
              <w:t>Management Agreement, made as of December 14, 2004, by and among Wynn Las Vegas, LLC, Wynn Show Performers, LLC, Wynn Las</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7"/>
              </w:rPr>
              <w:t>Vegas Capital Corp., Wynn Golf, LLC, World Travel, LLC, Las Vegas Jet, LLC, Wynn Sunrise, LLC, and Wynn Resorts, Limited.(7)</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10.11.5</w:t>
            </w:r>
          </w:p>
        </w:tc>
        <w:tc>
          <w:tcPr>
            <w:tcW w:w="10380" w:type="dxa"/>
            <w:vAlign w:val="bottom"/>
          </w:tcPr>
          <w:p>
            <w:pPr>
              <w:ind w:left="260"/>
              <w:spacing w:after="0"/>
              <w:rPr>
                <w:sz w:val="20"/>
                <w:szCs w:val="20"/>
                <w:color w:val="auto"/>
              </w:rPr>
            </w:pPr>
            <w:r>
              <w:rPr>
                <w:rFonts w:ascii="Arial" w:cs="Arial" w:eastAsia="Arial" w:hAnsi="Arial"/>
                <w:sz w:val="18"/>
                <w:szCs w:val="18"/>
                <w:color w:val="auto"/>
                <w:w w:val="90"/>
              </w:rPr>
              <w:t>Management Fees Subordination Agreement, dated as of December 14, 2004, by Wynn Resorts, Limited, Wynn Las Vegas, LLC, Wynn Las</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Vegas Capital Corp., and those subsidiaries of Wynn Las Vegas, LLC listed on Exhibit A hereto in favor of Deutsche Bank Trust Company</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Americas, as administrative agent, and U.S. Bank National Association, as trustee.(7)</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10.11.6</w:t>
            </w:r>
          </w:p>
        </w:tc>
        <w:tc>
          <w:tcPr>
            <w:tcW w:w="10380" w:type="dxa"/>
            <w:vAlign w:val="bottom"/>
          </w:tcPr>
          <w:p>
            <w:pPr>
              <w:ind w:left="260"/>
              <w:spacing w:after="0"/>
              <w:rPr>
                <w:sz w:val="20"/>
                <w:szCs w:val="20"/>
                <w:color w:val="auto"/>
              </w:rPr>
            </w:pPr>
            <w:r>
              <w:rPr>
                <w:rFonts w:ascii="Arial" w:cs="Arial" w:eastAsia="Arial" w:hAnsi="Arial"/>
                <w:sz w:val="18"/>
                <w:szCs w:val="18"/>
                <w:color w:val="auto"/>
              </w:rPr>
              <w:t>Redemption Price Promissory Note, dated February 18, 2012, made by Wynn Resorts, Limited to Aruze USA, Inc.(38)</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10.11.7</w:t>
            </w:r>
          </w:p>
        </w:tc>
        <w:tc>
          <w:tcPr>
            <w:tcW w:w="10380" w:type="dxa"/>
            <w:vAlign w:val="bottom"/>
          </w:tcPr>
          <w:p>
            <w:pPr>
              <w:ind w:left="260"/>
              <w:spacing w:after="0"/>
              <w:rPr>
                <w:sz w:val="20"/>
                <w:szCs w:val="20"/>
                <w:color w:val="auto"/>
              </w:rPr>
            </w:pPr>
            <w:r>
              <w:rPr>
                <w:rFonts w:ascii="Arial" w:cs="Arial" w:eastAsia="Arial" w:hAnsi="Arial"/>
                <w:sz w:val="18"/>
                <w:szCs w:val="18"/>
                <w:color w:val="auto"/>
                <w:w w:val="88"/>
              </w:rPr>
              <w:t>Registration Rights Agreement, dated as of March 12, 2012, by and among Wynn Las Vegas, LLC, Wynn Las Vegas Capital Corp, Wynn Show</w:t>
            </w:r>
          </w:p>
        </w:tc>
      </w:tr>
      <w:tr>
        <w:trPr>
          <w:trHeight w:val="216"/>
        </w:trPr>
        <w:tc>
          <w:tcPr>
            <w:tcW w:w="90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0"/>
              </w:rPr>
              <w:t>Performers, LLC, Wynn Golf, LLC, Las Vegas Jet, LLC, World Travel, LLC, Wynn Sunrise, LLC, Kevyn, LLC, Deutsche Bank Securities Inc.,</w:t>
            </w:r>
          </w:p>
        </w:tc>
      </w:tr>
      <w:tr>
        <w:trPr>
          <w:trHeight w:val="222"/>
        </w:trPr>
        <w:tc>
          <w:tcPr>
            <w:tcW w:w="900" w:type="dxa"/>
            <w:vAlign w:val="bottom"/>
          </w:tcPr>
          <w:p>
            <w:pPr>
              <w:spacing w:after="0"/>
              <w:rPr>
                <w:sz w:val="19"/>
                <w:szCs w:val="19"/>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Merrill Lynch, Pierce, Fenner &amp; Smith Incorporated and J.P. Morgan Securities LLC.(39)</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380" w:type="dxa"/>
            <w:vAlign w:val="bottom"/>
          </w:tcPr>
          <w:p>
            <w:pPr>
              <w:ind w:left="260"/>
              <w:spacing w:after="0"/>
              <w:rPr>
                <w:sz w:val="20"/>
                <w:szCs w:val="20"/>
                <w:color w:val="auto"/>
              </w:rPr>
            </w:pPr>
            <w:r>
              <w:rPr>
                <w:rFonts w:ascii="Arial" w:cs="Arial" w:eastAsia="Arial" w:hAnsi="Arial"/>
                <w:sz w:val="18"/>
                <w:szCs w:val="18"/>
                <w:color w:val="auto"/>
              </w:rPr>
              <w:t>Subsidiaries of the Registrant.(46)</w:t>
            </w:r>
          </w:p>
        </w:tc>
      </w:tr>
      <w:tr>
        <w:trPr>
          <w:trHeight w:val="365"/>
        </w:trPr>
        <w:tc>
          <w:tcPr>
            <w:tcW w:w="90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40" w:type="dxa"/>
            <w:vAlign w:val="bottom"/>
          </w:tcPr>
          <w:p>
            <w:pPr>
              <w:jc w:val="right"/>
              <w:ind w:right="352"/>
              <w:spacing w:after="0"/>
              <w:rPr>
                <w:sz w:val="20"/>
                <w:szCs w:val="20"/>
                <w:color w:val="auto"/>
              </w:rPr>
            </w:pPr>
            <w:r>
              <w:rPr>
                <w:rFonts w:ascii="Arial" w:cs="Arial" w:eastAsia="Arial" w:hAnsi="Arial"/>
                <w:sz w:val="18"/>
                <w:szCs w:val="18"/>
                <w:color w:val="auto"/>
                <w:w w:val="79"/>
              </w:rPr>
              <w:t>23.1</w:t>
            </w:r>
          </w:p>
        </w:tc>
        <w:tc>
          <w:tcPr>
            <w:tcW w:w="7760" w:type="dxa"/>
            <w:vAlign w:val="bottom"/>
          </w:tcPr>
          <w:p>
            <w:pPr>
              <w:ind w:left="420"/>
              <w:spacing w:after="0"/>
              <w:rPr>
                <w:sz w:val="20"/>
                <w:szCs w:val="20"/>
                <w:color w:val="auto"/>
              </w:rPr>
            </w:pPr>
            <w:r>
              <w:rPr>
                <w:rFonts w:ascii="Arial" w:cs="Arial" w:eastAsia="Arial" w:hAnsi="Arial"/>
                <w:sz w:val="18"/>
                <w:szCs w:val="18"/>
                <w:color w:val="auto"/>
              </w:rPr>
              <w:t>Consent of Ernst &amp; Young LLP.(46)</w:t>
            </w:r>
          </w:p>
        </w:tc>
      </w:tr>
      <w:tr>
        <w:trPr>
          <w:trHeight w:val="324"/>
        </w:trPr>
        <w:tc>
          <w:tcPr>
            <w:tcW w:w="740" w:type="dxa"/>
            <w:vAlign w:val="bottom"/>
          </w:tcPr>
          <w:p>
            <w:pPr>
              <w:jc w:val="right"/>
              <w:ind w:right="352"/>
              <w:spacing w:after="0"/>
              <w:rPr>
                <w:sz w:val="20"/>
                <w:szCs w:val="20"/>
                <w:color w:val="auto"/>
              </w:rPr>
            </w:pPr>
            <w:r>
              <w:rPr>
                <w:rFonts w:ascii="Arial" w:cs="Arial" w:eastAsia="Arial" w:hAnsi="Arial"/>
                <w:sz w:val="18"/>
                <w:szCs w:val="18"/>
                <w:color w:val="auto"/>
                <w:w w:val="79"/>
              </w:rPr>
              <w:t>31.1</w:t>
            </w:r>
          </w:p>
        </w:tc>
        <w:tc>
          <w:tcPr>
            <w:tcW w:w="7760" w:type="dxa"/>
            <w:vAlign w:val="bottom"/>
          </w:tcPr>
          <w:p>
            <w:pPr>
              <w:ind w:left="420"/>
              <w:spacing w:after="0"/>
              <w:rPr>
                <w:sz w:val="20"/>
                <w:szCs w:val="20"/>
                <w:color w:val="auto"/>
              </w:rPr>
            </w:pPr>
            <w:r>
              <w:rPr>
                <w:rFonts w:ascii="Arial" w:cs="Arial" w:eastAsia="Arial" w:hAnsi="Arial"/>
                <w:sz w:val="18"/>
                <w:szCs w:val="18"/>
                <w:color w:val="auto"/>
                <w:w w:val="89"/>
              </w:rPr>
              <w:t>Certification of Chief Executive Officer pursuant to Section 302 of the Sarbanes-Oxley Act of 2002.(46)</w:t>
            </w:r>
          </w:p>
        </w:tc>
      </w:tr>
      <w:tr>
        <w:trPr>
          <w:trHeight w:val="324"/>
        </w:trPr>
        <w:tc>
          <w:tcPr>
            <w:tcW w:w="740" w:type="dxa"/>
            <w:vAlign w:val="bottom"/>
          </w:tcPr>
          <w:p>
            <w:pPr>
              <w:jc w:val="right"/>
              <w:ind w:right="352"/>
              <w:spacing w:after="0"/>
              <w:rPr>
                <w:sz w:val="20"/>
                <w:szCs w:val="20"/>
                <w:color w:val="auto"/>
              </w:rPr>
            </w:pPr>
            <w:r>
              <w:rPr>
                <w:rFonts w:ascii="Arial" w:cs="Arial" w:eastAsia="Arial" w:hAnsi="Arial"/>
                <w:sz w:val="18"/>
                <w:szCs w:val="18"/>
                <w:color w:val="auto"/>
                <w:w w:val="79"/>
              </w:rPr>
              <w:t>31.2</w:t>
            </w:r>
          </w:p>
        </w:tc>
        <w:tc>
          <w:tcPr>
            <w:tcW w:w="7760" w:type="dxa"/>
            <w:vAlign w:val="bottom"/>
          </w:tcPr>
          <w:p>
            <w:pPr>
              <w:ind w:left="420"/>
              <w:spacing w:after="0"/>
              <w:rPr>
                <w:sz w:val="20"/>
                <w:szCs w:val="20"/>
                <w:color w:val="auto"/>
              </w:rPr>
            </w:pPr>
            <w:r>
              <w:rPr>
                <w:rFonts w:ascii="Arial" w:cs="Arial" w:eastAsia="Arial" w:hAnsi="Arial"/>
                <w:sz w:val="18"/>
                <w:szCs w:val="18"/>
                <w:color w:val="auto"/>
                <w:w w:val="90"/>
              </w:rPr>
              <w:t>Certification of Chief Financial Officer pursuant to Section 302 of the Sarbanes-Oxley Act of 2002.(46)</w:t>
            </w:r>
          </w:p>
        </w:tc>
      </w:tr>
      <w:tr>
        <w:trPr>
          <w:trHeight w:val="324"/>
        </w:trPr>
        <w:tc>
          <w:tcPr>
            <w:tcW w:w="740" w:type="dxa"/>
            <w:vAlign w:val="bottom"/>
          </w:tcPr>
          <w:p>
            <w:pPr>
              <w:jc w:val="right"/>
              <w:ind w:right="352"/>
              <w:spacing w:after="0"/>
              <w:rPr>
                <w:sz w:val="20"/>
                <w:szCs w:val="20"/>
                <w:color w:val="auto"/>
              </w:rPr>
            </w:pPr>
            <w:r>
              <w:rPr>
                <w:rFonts w:ascii="Arial" w:cs="Arial" w:eastAsia="Arial" w:hAnsi="Arial"/>
                <w:sz w:val="18"/>
                <w:szCs w:val="18"/>
                <w:color w:val="auto"/>
                <w:w w:val="79"/>
              </w:rPr>
              <w:t>32.1</w:t>
            </w:r>
          </w:p>
        </w:tc>
        <w:tc>
          <w:tcPr>
            <w:tcW w:w="7760" w:type="dxa"/>
            <w:vAlign w:val="bottom"/>
          </w:tcPr>
          <w:p>
            <w:pPr>
              <w:ind w:left="420"/>
              <w:spacing w:after="0"/>
              <w:rPr>
                <w:sz w:val="20"/>
                <w:szCs w:val="20"/>
                <w:color w:val="auto"/>
              </w:rPr>
            </w:pPr>
            <w:r>
              <w:rPr>
                <w:rFonts w:ascii="Arial" w:cs="Arial" w:eastAsia="Arial" w:hAnsi="Arial"/>
                <w:sz w:val="18"/>
                <w:szCs w:val="18"/>
                <w:color w:val="auto"/>
              </w:rPr>
              <w:t>Certification of CEO and CFO pursuant to 18 U.S.C. Section 1350.(46)</w:t>
            </w:r>
          </w:p>
        </w:tc>
      </w:tr>
    </w:tbl>
    <w:p>
      <w:pPr>
        <w:spacing w:after="0" w:line="102" w:lineRule="exact"/>
        <w:rPr>
          <w:sz w:val="20"/>
          <w:szCs w:val="20"/>
          <w:color w:val="auto"/>
        </w:rPr>
      </w:pPr>
    </w:p>
    <w:p>
      <w:pPr>
        <w:ind w:left="1260" w:hanging="1164"/>
        <w:spacing w:after="0" w:line="291" w:lineRule="auto"/>
        <w:tabs>
          <w:tab w:leader="none" w:pos="12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Annual Report on Form 10-K for the year ended December 31, 2012, filed with the SEC on March 1, 2013 formatted in Extensible Business Reporting Language (XBRL): (i) the Consolidated Statements of Income for the years ended December 31, 2012, 2011 and 2010, (ii) the Consolidated Balance Sheets at December 31, 2012 and December 31 2011, (iii) the Consolidated Statements of Cash Flows for the years ended December 31, 2012, 2011 and 2010, (iv) the Consolidated Statements of Stockholders’ Equity at December 31, 2012, 2011 and 2010, (v) the Consolidated Statements of Comprehensive Income for the years ended December 31, 2012, 2011 and 2010 and (vi) Notes to Consolidated Financial Statements.(46)</w:t>
      </w:r>
    </w:p>
    <w:p>
      <w:pPr>
        <w:spacing w:after="0" w:line="10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Amendment No. 3 to the Form S-1 filed by the Registrant on September 18,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8,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4,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9,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January 6,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February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18,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26,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15, 2010.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28,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18,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Form S-8 Registration Statement filed by the Registrant on July 27,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21,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13,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12,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2,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12,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February 29,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December 14,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219"/>
          </w:cols>
          <w:pgMar w:left="240" w:top="459" w:right="1440"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300" w:type="dxa"/>
            <w:vAlign w:val="bottom"/>
          </w:tcPr>
          <w:p>
            <w:pPr>
              <w:ind w:left="540"/>
              <w:spacing w:after="0"/>
              <w:rPr>
                <w:sz w:val="20"/>
                <w:szCs w:val="20"/>
                <w:color w:val="auto"/>
              </w:rPr>
            </w:pPr>
            <w:r>
              <w:rPr>
                <w:rFonts w:ascii="Arial" w:cs="Arial" w:eastAsia="Arial" w:hAnsi="Arial"/>
                <w:sz w:val="18"/>
                <w:szCs w:val="18"/>
                <w:b w:val="1"/>
                <w:bCs w:val="1"/>
                <w:color w:val="auto"/>
              </w:rPr>
              <w:t>WYNN RESORTS, LIMITED</w:t>
            </w:r>
          </w:p>
        </w:tc>
      </w:tr>
      <w:tr>
        <w:trPr>
          <w:trHeight w:val="433"/>
        </w:trPr>
        <w:tc>
          <w:tcPr>
            <w:tcW w:w="2720" w:type="dxa"/>
            <w:vAlign w:val="bottom"/>
          </w:tcPr>
          <w:p>
            <w:pPr>
              <w:spacing w:after="0"/>
              <w:rPr>
                <w:sz w:val="20"/>
                <w:szCs w:val="20"/>
                <w:color w:val="auto"/>
              </w:rPr>
            </w:pPr>
            <w:r>
              <w:rPr>
                <w:rFonts w:ascii="Arial" w:cs="Arial" w:eastAsia="Arial" w:hAnsi="Arial"/>
                <w:sz w:val="18"/>
                <w:szCs w:val="18"/>
                <w:color w:val="auto"/>
              </w:rPr>
              <w:t>Dated: March 1, 2013</w:t>
            </w:r>
          </w:p>
        </w:tc>
        <w:tc>
          <w:tcPr>
            <w:tcW w:w="8700" w:type="dxa"/>
            <w:vAlign w:val="bottom"/>
            <w:gridSpan w:val="2"/>
          </w:tcPr>
          <w:p>
            <w:pPr>
              <w:ind w:left="1200"/>
              <w:spacing w:after="0"/>
              <w:rPr>
                <w:sz w:val="20"/>
                <w:szCs w:val="20"/>
                <w:color w:val="auto"/>
              </w:rPr>
            </w:pPr>
            <w:r>
              <w:rPr>
                <w:rFonts w:ascii="Arial" w:cs="Arial" w:eastAsia="Arial" w:hAnsi="Arial"/>
                <w:sz w:val="18"/>
                <w:szCs w:val="18"/>
                <w:color w:val="auto"/>
              </w:rPr>
              <w:t>By   /s/ Stephen A. Wynn</w:t>
            </w:r>
          </w:p>
        </w:tc>
      </w:tr>
      <w:tr>
        <w:trPr>
          <w:trHeight w:val="202"/>
        </w:trPr>
        <w:tc>
          <w:tcPr>
            <w:tcW w:w="2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30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Stephen A. Wynn</w:t>
            </w:r>
          </w:p>
        </w:tc>
      </w:tr>
      <w:tr>
        <w:trPr>
          <w:trHeight w:val="216"/>
        </w:trPr>
        <w:tc>
          <w:tcPr>
            <w:tcW w:w="2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Chairman of the Board and Chief Executive</w:t>
            </w:r>
          </w:p>
        </w:tc>
      </w:tr>
      <w:tr>
        <w:trPr>
          <w:trHeight w:val="222"/>
        </w:trPr>
        <w:tc>
          <w:tcPr>
            <w:tcW w:w="2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rPr>
              <w:t>Officer (Principal Executive Officer)</w:t>
            </w:r>
          </w:p>
        </w:tc>
      </w:tr>
    </w:tbl>
    <w:p>
      <w:pPr>
        <w:spacing w:after="0" w:line="16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Title</w:t>
            </w:r>
          </w:p>
        </w:tc>
        <w:tc>
          <w:tcPr>
            <w:tcW w:w="29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360" w:type="dxa"/>
            <w:vAlign w:val="bottom"/>
          </w:tcPr>
          <w:p>
            <w:pPr>
              <w:spacing w:after="0"/>
              <w:rPr>
                <w:sz w:val="14"/>
                <w:szCs w:val="14"/>
                <w:color w:val="auto"/>
              </w:rPr>
            </w:pPr>
          </w:p>
        </w:tc>
      </w:tr>
      <w:tr>
        <w:trPr>
          <w:trHeight w:val="424"/>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Stephen A. Wynn</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6"/>
              </w:rPr>
              <w:t>Chairman of the Board and</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190"/>
        </w:trPr>
        <w:tc>
          <w:tcPr>
            <w:tcW w:w="20" w:type="dxa"/>
            <w:vAlign w:val="bottom"/>
          </w:tcPr>
          <w:p>
            <w:pPr>
              <w:spacing w:after="0"/>
              <w:rPr>
                <w:sz w:val="16"/>
                <w:szCs w:val="16"/>
                <w:color w:val="auto"/>
              </w:rPr>
            </w:pPr>
          </w:p>
        </w:tc>
        <w:tc>
          <w:tcPr>
            <w:tcW w:w="2800" w:type="dxa"/>
            <w:vAlign w:val="bottom"/>
            <w:gridSpan w:val="2"/>
          </w:tcPr>
          <w:p>
            <w:pPr>
              <w:spacing w:after="0" w:line="190" w:lineRule="exact"/>
              <w:rPr>
                <w:sz w:val="20"/>
                <w:szCs w:val="20"/>
                <w:color w:val="auto"/>
              </w:rPr>
            </w:pPr>
            <w:r>
              <w:rPr>
                <w:rFonts w:ascii="Arial" w:cs="Arial" w:eastAsia="Arial" w:hAnsi="Arial"/>
                <w:sz w:val="18"/>
                <w:szCs w:val="18"/>
                <w:color w:val="auto"/>
              </w:rPr>
              <w:t>Stephen A. Wynn</w:t>
            </w:r>
          </w:p>
        </w:tc>
        <w:tc>
          <w:tcPr>
            <w:tcW w:w="2260" w:type="dxa"/>
            <w:vAlign w:val="bottom"/>
          </w:tcPr>
          <w:p>
            <w:pPr>
              <w:spacing w:after="0"/>
              <w:rPr>
                <w:sz w:val="16"/>
                <w:szCs w:val="16"/>
                <w:color w:val="auto"/>
              </w:rPr>
            </w:pPr>
          </w:p>
        </w:tc>
        <w:tc>
          <w:tcPr>
            <w:tcW w:w="2200" w:type="dxa"/>
            <w:vAlign w:val="bottom"/>
            <w:gridSpan w:val="2"/>
          </w:tcPr>
          <w:p>
            <w:pPr>
              <w:ind w:left="100"/>
              <w:spacing w:after="0" w:line="190" w:lineRule="exact"/>
              <w:rPr>
                <w:sz w:val="20"/>
                <w:szCs w:val="20"/>
                <w:color w:val="auto"/>
              </w:rPr>
            </w:pPr>
            <w:r>
              <w:rPr>
                <w:rFonts w:ascii="Arial" w:cs="Arial" w:eastAsia="Arial" w:hAnsi="Arial"/>
                <w:sz w:val="18"/>
                <w:szCs w:val="18"/>
                <w:color w:val="auto"/>
              </w:rPr>
              <w:t>Chief Executive Officer</w:t>
            </w: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3"/>
              </w:rPr>
              <w:t>(Principal Executive Officer)</w:t>
            </w: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47"/>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John Hagenbuch</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John Hagenbuch</w:t>
            </w: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Ray R. Irani</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J. Miller</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Alvin Shoemaker</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Edward J Virtue</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Edward J Virtue</w:t>
            </w: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D. Boone Wayson</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Elaine P. Wynn</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217"/>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7"/>
        </w:trPr>
        <w:tc>
          <w:tcPr>
            <w:tcW w:w="20" w:type="dxa"/>
            <w:vAlign w:val="bottom"/>
          </w:tcPr>
          <w:p>
            <w:pPr>
              <w:spacing w:after="0"/>
              <w:rPr>
                <w:sz w:val="24"/>
                <w:szCs w:val="24"/>
                <w:color w:val="auto"/>
              </w:rPr>
            </w:pPr>
          </w:p>
        </w:tc>
        <w:tc>
          <w:tcPr>
            <w:tcW w:w="2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Matt Maddox</w:t>
            </w:r>
          </w:p>
        </w:tc>
        <w:tc>
          <w:tcPr>
            <w:tcW w:w="2260" w:type="dxa"/>
            <w:vAlign w:val="bottom"/>
            <w:tcBorders>
              <w:bottom w:val="single" w:sz="8" w:color="auto"/>
            </w:tcBorders>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c>
          <w:tcPr>
            <w:tcW w:w="3600" w:type="dxa"/>
            <w:vAlign w:val="bottom"/>
            <w:gridSpan w:val="3"/>
          </w:tcPr>
          <w:p>
            <w:pPr>
              <w:jc w:val="center"/>
              <w:ind w:left="2492"/>
              <w:spacing w:after="0"/>
              <w:rPr>
                <w:sz w:val="20"/>
                <w:szCs w:val="20"/>
                <w:color w:val="auto"/>
              </w:rPr>
            </w:pPr>
            <w:r>
              <w:rPr>
                <w:rFonts w:ascii="Arial" w:cs="Arial" w:eastAsia="Arial" w:hAnsi="Arial"/>
                <w:sz w:val="18"/>
                <w:szCs w:val="18"/>
                <w:color w:val="auto"/>
                <w:w w:val="88"/>
              </w:rPr>
              <w:t>March 1, 2013</w:t>
            </w:r>
          </w:p>
        </w:tc>
      </w:tr>
      <w:tr>
        <w:trPr>
          <w:trHeight w:val="190"/>
        </w:trPr>
        <w:tc>
          <w:tcPr>
            <w:tcW w:w="20" w:type="dxa"/>
            <w:vAlign w:val="bottom"/>
          </w:tcPr>
          <w:p>
            <w:pPr>
              <w:spacing w:after="0"/>
              <w:rPr>
                <w:sz w:val="16"/>
                <w:szCs w:val="16"/>
                <w:color w:val="auto"/>
              </w:rPr>
            </w:pPr>
          </w:p>
        </w:tc>
        <w:tc>
          <w:tcPr>
            <w:tcW w:w="2800" w:type="dxa"/>
            <w:vAlign w:val="bottom"/>
            <w:gridSpan w:val="2"/>
          </w:tcPr>
          <w:p>
            <w:pPr>
              <w:spacing w:after="0" w:line="190" w:lineRule="exact"/>
              <w:rPr>
                <w:sz w:val="20"/>
                <w:szCs w:val="20"/>
                <w:color w:val="auto"/>
              </w:rPr>
            </w:pPr>
            <w:r>
              <w:rPr>
                <w:rFonts w:ascii="Arial" w:cs="Arial" w:eastAsia="Arial" w:hAnsi="Arial"/>
                <w:sz w:val="18"/>
                <w:szCs w:val="18"/>
                <w:color w:val="auto"/>
              </w:rPr>
              <w:t>Matt Maddox</w:t>
            </w:r>
          </w:p>
        </w:tc>
        <w:tc>
          <w:tcPr>
            <w:tcW w:w="2260" w:type="dxa"/>
            <w:vAlign w:val="bottom"/>
          </w:tcPr>
          <w:p>
            <w:pPr>
              <w:spacing w:after="0"/>
              <w:rPr>
                <w:sz w:val="16"/>
                <w:szCs w:val="16"/>
                <w:color w:val="auto"/>
              </w:rPr>
            </w:pPr>
          </w:p>
        </w:tc>
        <w:tc>
          <w:tcPr>
            <w:tcW w:w="2200" w:type="dxa"/>
            <w:vAlign w:val="bottom"/>
            <w:gridSpan w:val="2"/>
          </w:tcPr>
          <w:p>
            <w:pPr>
              <w:ind w:left="100"/>
              <w:spacing w:after="0" w:line="190" w:lineRule="exact"/>
              <w:rPr>
                <w:sz w:val="20"/>
                <w:szCs w:val="20"/>
                <w:color w:val="auto"/>
              </w:rPr>
            </w:pPr>
            <w:r>
              <w:rPr>
                <w:rFonts w:ascii="Arial" w:cs="Arial" w:eastAsia="Arial" w:hAnsi="Arial"/>
                <w:sz w:val="18"/>
                <w:szCs w:val="18"/>
                <w:color w:val="auto"/>
              </w:rPr>
              <w:t>and Treasurer</w:t>
            </w: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(Principal Financial and</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Accounting Officer)</w:t>
            </w: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2"/>
          </w:tcPr>
          <w:p>
            <w:pPr>
              <w:jc w:val="right"/>
              <w:ind w:right="1092"/>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10.1.4.2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as of November 26, 2012, (the “Execution Date”) by and between </w:t>
      </w:r>
      <w:r>
        <w:rPr>
          <w:rFonts w:ascii="Arial" w:cs="Arial" w:eastAsia="Arial" w:hAnsi="Arial"/>
          <w:sz w:val="18"/>
          <w:szCs w:val="18"/>
          <w:b w:val="1"/>
          <w:bCs w:val="1"/>
          <w:color w:val="auto"/>
        </w:rPr>
        <w:t>WORLDWIDE WYNN, LLC</w:t>
      </w:r>
      <w:r>
        <w:rPr>
          <w:rFonts w:ascii="Arial" w:cs="Arial" w:eastAsia="Arial" w:hAnsi="Arial"/>
          <w:sz w:val="18"/>
          <w:szCs w:val="18"/>
          <w:color w:val="auto"/>
        </w:rPr>
        <w:t xml:space="preserve"> (“</w:t>
      </w:r>
      <w:r>
        <w:rPr>
          <w:rFonts w:ascii="Arial" w:cs="Arial" w:eastAsia="Arial" w:hAnsi="Arial"/>
          <w:sz w:val="18"/>
          <w:szCs w:val="18"/>
          <w:b w:val="1"/>
          <w:bCs w:val="1"/>
          <w:color w:val="auto"/>
        </w:rPr>
        <w:t>Employer</w:t>
      </w:r>
      <w:r>
        <w:rPr>
          <w:rFonts w:ascii="Arial" w:cs="Arial" w:eastAsia="Arial" w:hAnsi="Arial"/>
          <w:sz w:val="18"/>
          <w:szCs w:val="18"/>
          <w:color w:val="auto"/>
        </w:rPr>
        <w:t xml:space="preserve">”) and </w:t>
      </w:r>
      <w:r>
        <w:rPr>
          <w:rFonts w:ascii="Arial" w:cs="Arial" w:eastAsia="Arial" w:hAnsi="Arial"/>
          <w:sz w:val="18"/>
          <w:szCs w:val="18"/>
          <w:b w:val="1"/>
          <w:bCs w:val="1"/>
          <w:color w:val="auto"/>
        </w:rPr>
        <w:t>LINDA CHEN</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3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and Employee have entered into that certain Employment Agreement, dated as of May 12, 2010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Amendments</w:t>
      </w:r>
      <w:r>
        <w:rPr>
          <w:rFonts w:ascii="Arial" w:cs="Arial" w:eastAsia="Arial" w:hAnsi="Arial"/>
          <w:sz w:val="18"/>
          <w:szCs w:val="18"/>
          <w:color w:val="auto"/>
        </w:rPr>
        <w:t>. The Employer and Employee hereby agree to amend Section 6(g) of the Agreement in its entirety to read as follows:</w:t>
      </w:r>
    </w:p>
    <w:p>
      <w:pPr>
        <w:spacing w:after="0" w:line="90" w:lineRule="exact"/>
        <w:rPr>
          <w:sz w:val="20"/>
          <w:szCs w:val="20"/>
          <w:color w:val="auto"/>
        </w:rPr>
      </w:pPr>
    </w:p>
    <w:p>
      <w:pPr>
        <w:ind w:left="920" w:right="80"/>
        <w:spacing w:after="0" w:line="287" w:lineRule="auto"/>
        <w:rPr>
          <w:sz w:val="20"/>
          <w:szCs w:val="20"/>
          <w:color w:val="auto"/>
        </w:rPr>
      </w:pPr>
      <w:r>
        <w:rPr>
          <w:rFonts w:ascii="Arial" w:cs="Arial" w:eastAsia="Arial" w:hAnsi="Arial"/>
          <w:sz w:val="16"/>
          <w:szCs w:val="16"/>
          <w:color w:val="auto"/>
        </w:rPr>
        <w:t>“6(g) the giving of written notice by Employer to Employee of immediate termination of this Agreement Without Cause for any reason deemed sufficient by Employer. In the event of termination Without Cause, Employer’s sole liability to Employee shall be payment to Employee of a Separation Payment made in equal monthly installments for the period covered by the Separation Payment, less deductions of all applicable taxes and withholdings. Employee shall not be entitled to payment of any portion of the Separation Payment unless and until Employee first executes a written release-severance agreement, prepared and presented by Employer, that fully releases Employer, Affiliates, and their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The release-severance agreement shall provide that all non-compete provisions of this Agreement shall terminate after the period of time for which Employee receives compensation hereunder. In the event Employee fails or refuses to execute such</w:t>
      </w:r>
    </w:p>
    <w:p>
      <w:pPr>
        <w:sectPr>
          <w:pgSz w:w="11900" w:h="16838" w:orient="portrait"/>
          <w:cols w:equalWidth="0" w:num="1">
            <w:col w:w="11420"/>
          </w:cols>
          <w:pgMar w:left="240" w:top="125" w:right="239" w:bottom="1440" w:gutter="0" w:footer="0" w:header="0"/>
        </w:sectPr>
      </w:pPr>
    </w:p>
    <w:bookmarkStart w:id="149" w:name="page150"/>
    <w:bookmarkEnd w:id="149"/>
    <w:p>
      <w:pPr>
        <w:ind w:left="920"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release-severance agreement, Employer shall have no further obligation to Employee other than payment of all accrued but unpaid Base Salary through the date Employee last performs services for Employer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order to receive the Separation Payment hereunder, Employee must execute (and not revoke) the written release-severance agreement within thirty</w:t>
      </w:r>
    </w:p>
    <w:p>
      <w:pPr>
        <w:spacing w:after="0" w:line="50" w:lineRule="exact"/>
        <w:rPr>
          <w:sz w:val="20"/>
          <w:szCs w:val="20"/>
          <w:color w:val="auto"/>
        </w:rPr>
      </w:pPr>
    </w:p>
    <w:p>
      <w:pPr>
        <w:ind w:left="920" w:right="260" w:firstLine="1"/>
        <w:spacing w:after="0" w:line="261" w:lineRule="auto"/>
        <w:tabs>
          <w:tab w:leader="none" w:pos="125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days following the date Employee’s separation from service occurs and, in the event such thirty (30)-day period spans two calendar years, no portion of the Separation Payment shall be made until the second calendar year.”</w:t>
      </w:r>
    </w:p>
    <w:p>
      <w:pPr>
        <w:spacing w:after="0" w:line="137" w:lineRule="exact"/>
        <w:rPr>
          <w:rFonts w:ascii="Arial" w:cs="Arial" w:eastAsia="Arial" w:hAnsi="Arial"/>
          <w:sz w:val="18"/>
          <w:szCs w:val="18"/>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The amendment set forth in Section 1 shall be effective as of the Execution Date.</w:t>
      </w:r>
    </w:p>
    <w:p>
      <w:pPr>
        <w:spacing w:after="0" w:line="171" w:lineRule="exact"/>
        <w:rPr>
          <w:rFonts w:ascii="Arial" w:cs="Arial" w:eastAsia="Arial" w:hAnsi="Arial"/>
          <w:sz w:val="18"/>
          <w:szCs w:val="18"/>
          <w:color w:val="auto"/>
        </w:rPr>
      </w:pPr>
    </w:p>
    <w:p>
      <w:pPr>
        <w:ind w:right="180" w:firstLine="464"/>
        <w:spacing w:after="0" w:line="268"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20"/>
                <w:szCs w:val="20"/>
                <w:color w:val="auto"/>
              </w:rPr>
            </w:pPr>
            <w:r>
              <w:rPr>
                <w:rFonts w:ascii="Arial" w:cs="Arial" w:eastAsia="Arial" w:hAnsi="Arial"/>
                <w:sz w:val="18"/>
                <w:szCs w:val="18"/>
                <w:b w:val="1"/>
                <w:bCs w:val="1"/>
                <w:color w:val="auto"/>
              </w:rPr>
              <w:t>WORLDWIDE WYNN, LLC</w:t>
            </w:r>
          </w:p>
        </w:tc>
        <w:tc>
          <w:tcPr>
            <w:tcW w:w="9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Marc Schorr</w:t>
            </w:r>
          </w:p>
        </w:tc>
        <w:tc>
          <w:tcPr>
            <w:tcW w:w="9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C. Chen</w:t>
            </w: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Marc Schorr</w:t>
            </w:r>
          </w:p>
        </w:tc>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Linda C. Chen</w:t>
            </w: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President</w:t>
            </w:r>
          </w:p>
        </w:tc>
        <w:tc>
          <w:tcPr>
            <w:tcW w:w="92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365"/>
        </w:trPr>
        <w:tc>
          <w:tcPr>
            <w:tcW w:w="5480" w:type="dxa"/>
            <w:vAlign w:val="bottom"/>
          </w:tcPr>
          <w:p>
            <w:pPr>
              <w:spacing w:after="0"/>
              <w:rPr>
                <w:sz w:val="24"/>
                <w:szCs w:val="24"/>
                <w:color w:val="auto"/>
              </w:rPr>
            </w:pPr>
          </w:p>
        </w:tc>
        <w:tc>
          <w:tcPr>
            <w:tcW w:w="920" w:type="dxa"/>
            <w:vAlign w:val="bottom"/>
          </w:tcPr>
          <w:p>
            <w:pPr>
              <w:jc w:val="right"/>
              <w:ind w:right="452"/>
              <w:spacing w:after="0"/>
              <w:rPr>
                <w:sz w:val="20"/>
                <w:szCs w:val="20"/>
                <w:color w:val="auto"/>
              </w:rPr>
            </w:pPr>
            <w:r>
              <w:rPr>
                <w:rFonts w:ascii="Arial" w:cs="Arial" w:eastAsia="Arial" w:hAnsi="Arial"/>
                <w:sz w:val="18"/>
                <w:szCs w:val="18"/>
                <w:color w:val="auto"/>
              </w:rPr>
              <w:t>- 2 -</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10.7.5</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DISBURSEMENT AGREEMENT</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FIFTH AMENDMENT TO AMENDED AND RESTATED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August 4, 2010,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undersigned are parties to that certain Amended and Restated Master Disbursement Agreement, dated as of October 25, 2007, as amended by that certain First Amendment to Amended and Restated Master Disbursement Agreement, dated as of October 31, 2007, as amended by that certain Second Amendment to Amended and Restated Master Disbursement Agreement, dated as of November 6, 2007, as amended by Section 7(a) of that certain Fourth Amendment to Amended and Restated Credit Agreement, dated as of April 17, 2009, as amended by that certain Third Amendment to Amended and Restated Master Disbursement Agreement, dated as of October 19, 2009, and as amended by that certain Fourth Amendment to Amended and Restated Master Disbursement Agreement, dated as of April 28, 2010 (the “</w:t>
      </w:r>
      <w:r>
        <w:rPr>
          <w:rFonts w:ascii="Arial" w:cs="Arial" w:eastAsia="Arial" w:hAnsi="Arial"/>
          <w:sz w:val="16"/>
          <w:szCs w:val="16"/>
          <w:u w:val="single" w:color="auto"/>
          <w:color w:val="auto"/>
        </w:rPr>
        <w:t>Existing Agreement</w:t>
      </w:r>
      <w:r>
        <w:rPr>
          <w:rFonts w:ascii="Arial" w:cs="Arial" w:eastAsia="Arial" w:hAnsi="Arial"/>
          <w:sz w:val="16"/>
          <w:szCs w:val="16"/>
          <w:color w:val="auto"/>
        </w:rPr>
        <w:t>”, and as amended hereby, and as further amended, amended and restated, supplemented or otherwise modified from time to time,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among the Company, the Bank Agent and the Disbursement Agent. Capitalized terms used but not otherwise defined herein shall have the meanings given in the Disbursement Agreement.</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Additional 2020 Notes</w:t>
      </w:r>
      <w:r>
        <w:rPr>
          <w:rFonts w:ascii="Arial" w:cs="Arial" w:eastAsia="Arial" w:hAnsi="Arial"/>
          <w:sz w:val="16"/>
          <w:szCs w:val="16"/>
          <w:color w:val="auto"/>
        </w:rPr>
        <w:t>. The Company, Wynn Las Vegas Capital Corp., a Nevada corporation (together with the Company, the “</w:t>
      </w:r>
      <w:r>
        <w:rPr>
          <w:rFonts w:ascii="Arial" w:cs="Arial" w:eastAsia="Arial" w:hAnsi="Arial"/>
          <w:sz w:val="16"/>
          <w:szCs w:val="16"/>
          <w:u w:val="single" w:color="auto"/>
          <w:color w:val="auto"/>
        </w:rPr>
        <w:t>Issuers</w:t>
      </w:r>
      <w:r>
        <w:rPr>
          <w:rFonts w:ascii="Arial" w:cs="Arial" w:eastAsia="Arial" w:hAnsi="Arial"/>
          <w:sz w:val="16"/>
          <w:szCs w:val="16"/>
          <w:color w:val="auto"/>
        </w:rPr>
        <w:t>”), U.S. Bank National Association, in its capacity as indenture trustee, and certain other signatories thereto have entered into that certain Indenture (as the same may be amended, amended and restated, supplemented or otherwise modified from time to time, the “</w:t>
      </w:r>
      <w:r>
        <w:rPr>
          <w:rFonts w:ascii="Arial" w:cs="Arial" w:eastAsia="Arial" w:hAnsi="Arial"/>
          <w:sz w:val="16"/>
          <w:szCs w:val="16"/>
          <w:u w:val="single" w:color="auto"/>
          <w:color w:val="auto"/>
        </w:rPr>
        <w:t>Additional 2020 Notes Indenture</w:t>
      </w:r>
      <w:r>
        <w:rPr>
          <w:rFonts w:ascii="Arial" w:cs="Arial" w:eastAsia="Arial" w:hAnsi="Arial"/>
          <w:sz w:val="16"/>
          <w:szCs w:val="16"/>
          <w:color w:val="auto"/>
        </w:rPr>
        <w:t>”), dated as of the date hereof, pertaining to the 7.750% First Mortgage Notes due 2020 issued by the Issuers in the aggregate principal amount of $1,320,000,000 (together with any other notes issued from time to time under the Additional 2020 Notes Indenture, the “</w:t>
      </w:r>
      <w:r>
        <w:rPr>
          <w:rFonts w:ascii="Arial" w:cs="Arial" w:eastAsia="Arial" w:hAnsi="Arial"/>
          <w:sz w:val="16"/>
          <w:szCs w:val="16"/>
          <w:u w:val="single" w:color="auto"/>
          <w:color w:val="auto"/>
        </w:rPr>
        <w:t>Additional 2020 Notes</w:t>
      </w:r>
      <w:r>
        <w:rPr>
          <w:rFonts w:ascii="Arial" w:cs="Arial" w:eastAsia="Arial" w:hAnsi="Arial"/>
          <w:sz w:val="16"/>
          <w:szCs w:val="16"/>
          <w:color w:val="auto"/>
        </w:rPr>
        <w:t>”), which Additional 2020 Notes Indenture constitutes a “Permitted Additional Senior Secured Debt Agreement” under the Intercreditor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Amendment</w:t>
      </w:r>
      <w:r>
        <w:rPr>
          <w:rFonts w:ascii="Arial" w:cs="Arial" w:eastAsia="Arial" w:hAnsi="Arial"/>
          <w:sz w:val="16"/>
          <w:szCs w:val="16"/>
          <w:color w:val="auto"/>
        </w:rPr>
        <w:t>. The undersigned desire to amend the Disbursement Agreement in connection with the issuance of the Additional 2020 Notes.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51"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913"/>
        <w:spacing w:after="0" w:line="259" w:lineRule="auto"/>
        <w:rPr>
          <w:rFonts w:ascii="Arial" w:cs="Arial" w:eastAsia="Arial" w:hAnsi="Arial"/>
          <w:sz w:val="18"/>
          <w:szCs w:val="18"/>
          <w:color w:val="auto"/>
        </w:rPr>
      </w:pPr>
      <w:r>
        <w:rPr>
          <w:rFonts w:ascii="Arial" w:cs="Arial" w:eastAsia="Arial" w:hAnsi="Arial"/>
          <w:sz w:val="18"/>
          <w:szCs w:val="18"/>
          <w:color w:val="auto"/>
        </w:rPr>
        <w:t>a. Section 5.14.1 of the Existing Agreement is hereby amended by deleting the words “Loans, the 2014 Notes, the Senior Secured Notes and the 2020 Notes in accordance with the Bank Credit Agreement, the 2014 Notes Indenture, the Senior Secured Notes Indenture and the 2020 Notes Indenture”, where such words appear therein, and replacing them with the following:</w:t>
      </w:r>
    </w:p>
    <w:p>
      <w:pPr>
        <w:spacing w:after="0" w:line="59" w:lineRule="exact"/>
        <w:rPr>
          <w:sz w:val="20"/>
          <w:szCs w:val="20"/>
          <w:color w:val="auto"/>
        </w:rPr>
      </w:pPr>
    </w:p>
    <w:p>
      <w:pPr>
        <w:ind w:left="920" w:right="220"/>
        <w:spacing w:after="0" w:line="332" w:lineRule="auto"/>
        <w:rPr>
          <w:sz w:val="20"/>
          <w:szCs w:val="20"/>
          <w:color w:val="auto"/>
        </w:rPr>
      </w:pPr>
      <w:r>
        <w:rPr>
          <w:rFonts w:ascii="Arial" w:cs="Arial" w:eastAsia="Arial" w:hAnsi="Arial"/>
          <w:sz w:val="16"/>
          <w:szCs w:val="16"/>
          <w:color w:val="auto"/>
        </w:rPr>
        <w:t>“Loans, the 2014 Notes, the Senior Secured Notes, the 2020 Notes and the Additional 2020 Notes in accordance with the Bank Credit Agreement, the 2014 Notes Indenture, the Senior Secured Notes Indenture, the 2020 Notes Indenture and the Additional 2020 Notes Indenture”.</w:t>
      </w:r>
    </w:p>
    <w:p>
      <w:pPr>
        <w:sectPr>
          <w:pgSz w:w="11900" w:h="16838" w:orient="portrait"/>
          <w:cols w:equalWidth="0" w:num="1">
            <w:col w:w="11420"/>
          </w:cols>
          <w:pgMar w:left="240" w:top="125" w:right="239" w:bottom="1440" w:gutter="0" w:footer="0" w:header="0"/>
        </w:sectPr>
      </w:pPr>
    </w:p>
    <w:bookmarkStart w:id="151" w:name="page152"/>
    <w:bookmarkEnd w:id="15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Section 7.1.1 of the Existing Agreement is hereby amended by deleting Section 7.1.1 thereof in its entirety and replacing it with the following:</w:t>
      </w:r>
    </w:p>
    <w:p>
      <w:pPr>
        <w:spacing w:after="0" w:line="113"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Other Financing Documents</w:t>
      </w:r>
      <w:r>
        <w:rPr>
          <w:rFonts w:ascii="Arial" w:cs="Arial" w:eastAsia="Arial" w:hAnsi="Arial"/>
          <w:sz w:val="16"/>
          <w:szCs w:val="16"/>
          <w:color w:val="auto"/>
        </w:rPr>
        <w:t>. The occurrence of an “Event of Default” under and as defined in the (a) Bank Credit Agreement, (b) 2014 Notes Indenture, (c) Senior Secured Notes Indenture, (d) 2020 Notes Indenture or (e) Additional 2020 Notes Indenture.”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Section 7.2 of the Existing Agreement is hereby amended by deleting the last sentence of the last paragraph thereof and replacing it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 xml:space="preserve">“Any cure or waiver of any “Event of Default” under the Senior Secured Notes Indenture, the 2020 Notes Indenture or the Additional 2020 Notes Indenture that is effective under the terms of the Senior Secured Notes Indenture, the 2020 Notes Indenture or the Additional 2020 Notes Indenture, respectively, shall automatically cure an Event of Default under clause (c), (d) or (e), as applicable, of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 A to the Existing Agreement is hereby amended by amending the following definitions contained therein as follows:</w:t>
      </w:r>
    </w:p>
    <w:p>
      <w:pPr>
        <w:spacing w:after="0" w:line="90" w:lineRule="exact"/>
        <w:rPr>
          <w:sz w:val="20"/>
          <w:szCs w:val="20"/>
          <w:color w:val="auto"/>
        </w:rPr>
      </w:pPr>
    </w:p>
    <w:p>
      <w:pPr>
        <w:ind w:right="540" w:firstLine="1484"/>
        <w:spacing w:after="0" w:line="268" w:lineRule="auto"/>
        <w:rPr>
          <w:sz w:val="20"/>
          <w:szCs w:val="20"/>
          <w:color w:val="auto"/>
        </w:rPr>
      </w:pPr>
      <w:r>
        <w:rPr>
          <w:rFonts w:ascii="Arial" w:cs="Arial" w:eastAsia="Arial" w:hAnsi="Arial"/>
          <w:sz w:val="18"/>
          <w:szCs w:val="18"/>
          <w:color w:val="auto"/>
        </w:rPr>
        <w:t>i. The definition of “Collateral Agency Agreement” is hereby amended by inserting the words “, the Additional 2020 Notes Indenture Trustee” immediately after the words “the 2020 Notes Indenture Trustee”, where such words appear therein.</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ii. The definition of “Intercreditor Agreement” is hereby amended and restated in its entirety as follows:</w:t>
      </w:r>
    </w:p>
    <w:p>
      <w:pPr>
        <w:spacing w:after="0" w:line="90"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““Intercreditor Agreement” means that certain Intercreditor Agreement, dated as of the Closing Date, between the Bank Agent, the 2014 Notes Indenture Trustee, the Senior Secured Notes Indenture Trustee, the 2020 Notes Indenture Trustee, the Additional 2020 Notes Indenture Trustee and the Collateral Agent, as amended by that certain First Amendment to Intercreditor Agreement, dated as of October 19, 2009, that certain Second Amendment to Intercreditor Agreement, dated as of April 28, 2010, that certain Third Amendment to Intercreditor Agreement, dated as of August 4, 2010, and that certain Fourth Amendment to Intercreditor Agreement, dated as of August 4, 2010.”</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iii. The definition of “Obligations” is hereby amended by deleting the period at the end of such definition and replacing it with the following:</w:t>
      </w:r>
    </w:p>
    <w:p>
      <w:pPr>
        <w:spacing w:after="0" w:line="113"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 provided, however, that solely for purposes of the Intercreditor Agreement, the term “Obligations” shall also include all such obligations and liabilities of the Company and the other Loan Parties to the 2020 Notes Indenture Trustee, 2020 Noteholders, and any other holder of indebtedness or representative or agent on behalf of such holders under the 2020 Notes Agreements, the Additional 2020 Notes Indenture Trustee, Additional 2020 Noteholders, and any other holder of indebtedness or representative or agent on behalf of such holders under the Additional 2020 Notes Agreements, any Future Permitted Additional Senior Secured Debt Agreement and any Permitted Additional Junior Secured Debt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 Exhibit A to the Existing Agreement is hereby further amended by adding the following definitions thereto in appropriate alphabetical order:</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“Additional 2020 Noteholders” means the holders of the Additional 2020 Notes from time to time.</w:t>
      </w:r>
    </w:p>
    <w:p>
      <w:pPr>
        <w:spacing w:after="0" w:line="171" w:lineRule="exact"/>
        <w:rPr>
          <w:sz w:val="20"/>
          <w:szCs w:val="20"/>
          <w:color w:val="auto"/>
        </w:rPr>
      </w:pPr>
    </w:p>
    <w:p>
      <w:pPr>
        <w:ind w:right="120" w:firstLine="1492"/>
        <w:spacing w:after="0" w:line="332" w:lineRule="auto"/>
        <w:tabs>
          <w:tab w:leader="none" w:pos="16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“Additional 2020 Notes” means the 7.750% First Mortgage Notes Due 2020 issued by the Company and Capital Corp. from time to time pursuant to the Additional 2020 Notes Indenture and any exchange notes related thereto as contemplated by the Additional 2020 Notes Indenture.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152" w:name="page153"/>
    <w:bookmarkEnd w:id="152"/>
    <w:p>
      <w:pPr>
        <w:ind w:left="-80" w:right="40" w:firstLine="1492"/>
        <w:spacing w:after="0" w:line="256" w:lineRule="auto"/>
        <w:tabs>
          <w:tab w:leader="none" w:pos="1638"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2020 Notes Agreements” means collectively, the Additional 2020 Notes, the Additional 2020 Notes Indenture, the environmental indemnity agreements entered into by one or more Loan Parties for the benefit of the Additional 2020 Notes Indenture Trustee and certain other indemnified parties, and the security agreement and deeds of trust entered into by one or more Loan Parties to secure their obligations under the Additional 2020 Notes Indenture and the Additional 2020 Notes.</w:t>
      </w:r>
    </w:p>
    <w:p>
      <w:pPr>
        <w:spacing w:after="0" w:line="143" w:lineRule="exact"/>
        <w:rPr>
          <w:rFonts w:ascii="Arial" w:cs="Arial" w:eastAsia="Arial" w:hAnsi="Arial"/>
          <w:sz w:val="18"/>
          <w:szCs w:val="18"/>
          <w:color w:val="auto"/>
        </w:rPr>
      </w:pPr>
    </w:p>
    <w:p>
      <w:pPr>
        <w:ind w:left="-80" w:right="120" w:firstLine="1492"/>
        <w:spacing w:after="0" w:line="259" w:lineRule="auto"/>
        <w:tabs>
          <w:tab w:leader="none" w:pos="16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“Additional 2020 Notes Indenture” means that certain Indenture, dated as of August 4, 2010, among the Company, Capital Corp., the guarantors signatory thereto, and the Additional 2020 Notes Indenture Trustee, as the same may be amended, amended and restated, supplemented or otherwise modified from time to time.</w:t>
      </w:r>
    </w:p>
    <w:p>
      <w:pPr>
        <w:spacing w:after="0" w:line="140" w:lineRule="exact"/>
        <w:rPr>
          <w:rFonts w:ascii="Arial" w:cs="Arial" w:eastAsia="Arial" w:hAnsi="Arial"/>
          <w:sz w:val="18"/>
          <w:szCs w:val="18"/>
          <w:color w:val="auto"/>
        </w:rPr>
      </w:pPr>
    </w:p>
    <w:p>
      <w:pPr>
        <w:ind w:left="-80" w:right="680" w:firstLine="1492"/>
        <w:spacing w:after="0" w:line="268" w:lineRule="auto"/>
        <w:tabs>
          <w:tab w:leader="none" w:pos="15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“Additional 2020 Notes Indenture Trustee” means U.S. Bank National Association, in its capacity as the initial trustee under the Additional 2020 Notes Indenture, and its successors in such capacity.</w:t>
      </w:r>
    </w:p>
    <w:p>
      <w:pPr>
        <w:spacing w:after="0" w:line="131" w:lineRule="exact"/>
        <w:rPr>
          <w:rFonts w:ascii="Arial" w:cs="Arial" w:eastAsia="Arial" w:hAnsi="Arial"/>
          <w:sz w:val="18"/>
          <w:szCs w:val="18"/>
          <w:color w:val="auto"/>
        </w:rPr>
      </w:pPr>
    </w:p>
    <w:p>
      <w:pPr>
        <w:ind w:left="-80" w:firstLine="464"/>
        <w:spacing w:after="0" w:line="312" w:lineRule="auto"/>
        <w:tabs>
          <w:tab w:leader="none" w:pos="552"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Except as set forth in this Amendment, all other terms and provisions of the Existing Agreement remain unmodified and in full force and effect. This Amendment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counterparts and when signed by all of the parties hereto shall constitute a single binding agreement. Delivery of an executed counterpart hereof by facsimile transmission shall be effective as delivery of a manually executed counterpart.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80" w:right="319" w:bottom="1440" w:gutter="0" w:footer="0" w:header="0"/>
        </w:sectPr>
      </w:pPr>
    </w:p>
    <w:bookmarkStart w:id="153" w:name="page154"/>
    <w:bookmarkEnd w:id="153"/>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as of the day and year first written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its sole member</w:t>
      </w:r>
    </w:p>
    <w:p>
      <w:pPr>
        <w:spacing w:after="0" w:line="165"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its sole member</w:t>
      </w:r>
    </w:p>
    <w:p>
      <w:pPr>
        <w:spacing w:after="0" w:line="165" w:lineRule="exact"/>
        <w:rPr>
          <w:sz w:val="20"/>
          <w:szCs w:val="20"/>
          <w:color w:val="auto"/>
        </w:rPr>
      </w:pPr>
    </w:p>
    <w:tbl>
      <w:tblPr>
        <w:tblLayout w:type="fixed"/>
        <w:tblInd w:w="94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9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tcPr>
          <w:p>
            <w:pPr>
              <w:spacing w:after="0"/>
              <w:rPr>
                <w:sz w:val="20"/>
                <w:szCs w:val="20"/>
                <w:color w:val="auto"/>
              </w:rPr>
            </w:pPr>
            <w:r>
              <w:rPr>
                <w:rFonts w:ascii="Arial" w:cs="Arial" w:eastAsia="Arial" w:hAnsi="Arial"/>
                <w:sz w:val="18"/>
                <w:szCs w:val="18"/>
                <w:color w:val="auto"/>
              </w:rPr>
              <w:t>CFO/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Fifth Amendment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Mary Kay Coyle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37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Scottye Lindsey</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Scottye Lindsey</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Coyle</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Mary Kay Coyle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37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Scottye Lindsey</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Scottye Lindsey</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Fifth Amendment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10.9.4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Purchase Option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 3rd day of January, 2013 but is effective as of the 2nd day of November, 2012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WYNN RESORTS, LIMITED, a Nevada corporation, with offices at 3131 Las Vegas Boulevard South, Las Vegas, Nevada (the “</w:t>
      </w:r>
      <w:r>
        <w:rPr>
          <w:rFonts w:ascii="Arial" w:cs="Arial" w:eastAsia="Arial" w:hAnsi="Arial"/>
          <w:sz w:val="18"/>
          <w:szCs w:val="18"/>
          <w:u w:val="single" w:color="auto"/>
          <w:color w:val="auto"/>
        </w:rPr>
        <w:t>Company</w:t>
      </w:r>
      <w:r>
        <w:rPr>
          <w:rFonts w:ascii="Arial" w:cs="Arial" w:eastAsia="Arial" w:hAnsi="Arial"/>
          <w:sz w:val="18"/>
          <w:szCs w:val="18"/>
          <w:color w:val="auto"/>
        </w:rPr>
        <w:t>”) and STEPHEN A. WYNN, an individual (“</w:t>
      </w:r>
      <w:r>
        <w:rPr>
          <w:rFonts w:ascii="Arial" w:cs="Arial" w:eastAsia="Arial" w:hAnsi="Arial"/>
          <w:sz w:val="18"/>
          <w:szCs w:val="18"/>
          <w:u w:val="single" w:color="auto"/>
          <w:color w:val="auto"/>
        </w:rPr>
        <w:t>Wynn</w:t>
      </w:r>
      <w:r>
        <w:rPr>
          <w:rFonts w:ascii="Arial" w:cs="Arial" w:eastAsia="Arial" w:hAnsi="Arial"/>
          <w:sz w:val="18"/>
          <w:szCs w:val="18"/>
          <w:color w:val="auto"/>
        </w:rPr>
        <w:t>”). The Company and Wynn are sometimes referred to herein as the “parties” and each a “party.”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18" w:lineRule="exact"/>
        <w:rPr>
          <w:sz w:val="20"/>
          <w:szCs w:val="20"/>
          <w:color w:val="auto"/>
        </w:rPr>
      </w:pPr>
    </w:p>
    <w:p>
      <w:pPr>
        <w:ind w:left="460" w:right="34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previously granted Wynn an option to purchase an approximate two acre tract of land (the “</w:t>
      </w:r>
      <w:r>
        <w:rPr>
          <w:rFonts w:ascii="Arial" w:cs="Arial" w:eastAsia="Arial" w:hAnsi="Arial"/>
          <w:sz w:val="18"/>
          <w:szCs w:val="18"/>
          <w:u w:val="single" w:color="auto"/>
          <w:color w:val="auto"/>
        </w:rPr>
        <w:t>Wynn Home Site Land</w:t>
      </w:r>
      <w:r>
        <w:rPr>
          <w:rFonts w:ascii="Arial" w:cs="Arial" w:eastAsia="Arial" w:hAnsi="Arial"/>
          <w:sz w:val="18"/>
          <w:szCs w:val="18"/>
          <w:color w:val="auto"/>
        </w:rPr>
        <w:t>”) at fair market value located on the Wynn Las Vegas golf course land (the “</w:t>
      </w:r>
      <w:r>
        <w:rPr>
          <w:rFonts w:ascii="Arial" w:cs="Arial" w:eastAsia="Arial" w:hAnsi="Arial"/>
          <w:sz w:val="18"/>
          <w:szCs w:val="18"/>
          <w:u w:val="single" w:color="auto"/>
          <w:color w:val="auto"/>
        </w:rPr>
        <w:t>Golf Course Land</w:t>
      </w:r>
      <w:r>
        <w:rPr>
          <w:rFonts w:ascii="Arial" w:cs="Arial" w:eastAsia="Arial" w:hAnsi="Arial"/>
          <w:sz w:val="18"/>
          <w:szCs w:val="18"/>
          <w:color w:val="auto"/>
        </w:rPr>
        <w:t>”) for the purpose of building a personal residence (the “</w:t>
      </w:r>
      <w:r>
        <w:rPr>
          <w:rFonts w:ascii="Arial" w:cs="Arial" w:eastAsia="Arial" w:hAnsi="Arial"/>
          <w:sz w:val="18"/>
          <w:szCs w:val="18"/>
          <w:u w:val="single" w:color="auto"/>
          <w:color w:val="auto"/>
        </w:rPr>
        <w:t>Existing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September 18, 2012, in connection with the termination of certain financing arrangements of Wynn Las Vegas, LLC, an indirect wholly-owned subsidiary of the Company (“</w:t>
      </w:r>
      <w:r>
        <w:rPr>
          <w:rFonts w:ascii="Arial" w:cs="Arial" w:eastAsia="Arial" w:hAnsi="Arial"/>
          <w:sz w:val="18"/>
          <w:szCs w:val="18"/>
          <w:u w:val="single" w:color="auto"/>
          <w:color w:val="auto"/>
        </w:rPr>
        <w:t>WLV</w:t>
      </w:r>
      <w:r>
        <w:rPr>
          <w:rFonts w:ascii="Arial" w:cs="Arial" w:eastAsia="Arial" w:hAnsi="Arial"/>
          <w:sz w:val="18"/>
          <w:szCs w:val="18"/>
          <w:color w:val="auto"/>
        </w:rPr>
        <w:t>”), and the release of liens thereunder, WLV distributed to Wynn Resorts Holdings, LLC, a direct wholly-owned subsidiary of the Company (“</w:t>
      </w:r>
      <w:r>
        <w:rPr>
          <w:rFonts w:ascii="Arial" w:cs="Arial" w:eastAsia="Arial" w:hAnsi="Arial"/>
          <w:sz w:val="18"/>
          <w:szCs w:val="18"/>
          <w:u w:val="single" w:color="auto"/>
          <w:color w:val="auto"/>
        </w:rPr>
        <w:t>Holdings</w:t>
      </w:r>
      <w:r>
        <w:rPr>
          <w:rFonts w:ascii="Arial" w:cs="Arial" w:eastAsia="Arial" w:hAnsi="Arial"/>
          <w:sz w:val="18"/>
          <w:szCs w:val="18"/>
          <w:color w:val="auto"/>
        </w:rPr>
        <w:t>”), among other things, all of the equity interests in Wynn Golf, LLC, including all right, title and interest in, and to, the Golf Course Land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through its direct wholly-owned subsidiaries, owns or may own aircraft for use in its operations (each, an “</w:t>
      </w:r>
      <w:r>
        <w:rPr>
          <w:rFonts w:ascii="Arial" w:cs="Arial" w:eastAsia="Arial" w:hAnsi="Arial"/>
          <w:sz w:val="18"/>
          <w:szCs w:val="18"/>
          <w:u w:val="single" w:color="auto"/>
          <w:color w:val="auto"/>
        </w:rPr>
        <w:t>Aircraft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460" w:right="340" w:hanging="452"/>
        <w:spacing w:after="0" w:line="370"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Compensation Committee and the Audit Committee of the Company have determined that it is in the best interests of the Company, and Wynn has agreed, to terminate the Existing Purchase Option and instead grant Wynn the option to purchase any or all of the Aircraft on the terms set forth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premises and mutual covenants contained herein, the parties agree as follows:</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and Grant of Purchase Option</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Termination of Existing Purchase Option; Release of Claims</w:t>
      </w:r>
      <w:r>
        <w:rPr>
          <w:rFonts w:ascii="Arial" w:cs="Arial" w:eastAsia="Arial" w:hAnsi="Arial"/>
          <w:sz w:val="16"/>
          <w:szCs w:val="16"/>
          <w:color w:val="auto"/>
        </w:rPr>
        <w:t>. The parties hereby terminate the Existing Purchase Option effective as of the Effective Date. Wynn hereby releases and discharges the Company and its affiliates, together with all principals, officers, agents, attorneys, servants, employees and assigns and/or representatives of the Company and its affiliates from any and all claims, demands or causes of actions, known or unknown, which Wynn may now have or may hereafter have with respect to the Wynn Home Site Land and/or the Existing Purchase Option.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Grant of Aircraft Purchase Option</w:t>
      </w:r>
      <w:r>
        <w:rPr>
          <w:rFonts w:ascii="Arial" w:cs="Arial" w:eastAsia="Arial" w:hAnsi="Arial"/>
          <w:sz w:val="18"/>
          <w:szCs w:val="18"/>
          <w:color w:val="auto"/>
        </w:rPr>
        <w:t>.</w:t>
      </w:r>
    </w:p>
    <w:p>
      <w:pPr>
        <w:spacing w:after="0" w:line="90" w:lineRule="exact"/>
        <w:rPr>
          <w:sz w:val="20"/>
          <w:szCs w:val="20"/>
          <w:color w:val="auto"/>
        </w:rPr>
      </w:pPr>
    </w:p>
    <w:p>
      <w:pPr>
        <w:ind w:right="40" w:firstLine="1492"/>
        <w:spacing w:after="0" w:line="294" w:lineRule="auto"/>
        <w:tabs>
          <w:tab w:leader="none" w:pos="172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consideration of the termination of the Existing Purchase Option and release of claims thereunder, during the period from the Effective Date through to the date of termination of that certain Employment Agreement between the Company and Wynn, dated as of October 4, 2002, as amended from time to time (the “</w:t>
      </w:r>
      <w:r>
        <w:rPr>
          <w:rFonts w:ascii="Arial" w:cs="Arial" w:eastAsia="Arial" w:hAnsi="Arial"/>
          <w:sz w:val="16"/>
          <w:szCs w:val="16"/>
          <w:u w:val="single" w:color="auto"/>
          <w:color w:val="auto"/>
        </w:rPr>
        <w:t>Aircraft Purchase Option Term</w:t>
      </w:r>
      <w:r>
        <w:rPr>
          <w:rFonts w:ascii="Arial" w:cs="Arial" w:eastAsia="Arial" w:hAnsi="Arial"/>
          <w:sz w:val="16"/>
          <w:szCs w:val="16"/>
          <w:color w:val="auto"/>
        </w:rPr>
        <w:t>”), Wynn shall have the right to elect, by written notice to the Company (the “</w:t>
      </w:r>
      <w:r>
        <w:rPr>
          <w:rFonts w:ascii="Arial" w:cs="Arial" w:eastAsia="Arial" w:hAnsi="Arial"/>
          <w:sz w:val="16"/>
          <w:szCs w:val="16"/>
          <w:u w:val="single" w:color="auto"/>
          <w:color w:val="auto"/>
        </w:rPr>
        <w:t>Option Exercise Notice</w:t>
      </w:r>
      <w:r>
        <w:rPr>
          <w:rFonts w:ascii="Arial" w:cs="Arial" w:eastAsia="Arial" w:hAnsi="Arial"/>
          <w:sz w:val="16"/>
          <w:szCs w:val="16"/>
          <w:color w:val="auto"/>
        </w:rPr>
        <w:t>”), to purchase any or all of the Aircraft, at a price equal to such Aircraft’s book value as shown on the Company’s financial statement as of the Option Exercise Notice date, within 30 days of the Option Notice Exercise Date (the “</w:t>
      </w:r>
      <w:r>
        <w:rPr>
          <w:rFonts w:ascii="Arial" w:cs="Arial" w:eastAsia="Arial" w:hAnsi="Arial"/>
          <w:sz w:val="16"/>
          <w:szCs w:val="16"/>
          <w:u w:val="single" w:color="auto"/>
          <w:color w:val="auto"/>
        </w:rPr>
        <w:t>Purchase Price Notice</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right="20" w:firstLine="1492"/>
        <w:spacing w:after="0" w:line="298" w:lineRule="auto"/>
        <w:tabs>
          <w:tab w:leader="none" w:pos="17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purchase shall be effected as follows: (</w:t>
      </w:r>
      <w:r>
        <w:rPr>
          <w:rFonts w:ascii="Arial" w:cs="Arial" w:eastAsia="Arial" w:hAnsi="Arial"/>
          <w:sz w:val="16"/>
          <w:szCs w:val="16"/>
          <w:u w:val="single" w:color="auto"/>
          <w:color w:val="auto"/>
        </w:rPr>
        <w:t>i</w:t>
      </w:r>
      <w:r>
        <w:rPr>
          <w:rFonts w:ascii="Arial" w:cs="Arial" w:eastAsia="Arial" w:hAnsi="Arial"/>
          <w:sz w:val="16"/>
          <w:szCs w:val="16"/>
          <w:color w:val="auto"/>
        </w:rPr>
        <w:t>) the parties shall mutually agree upon closing date within 30 days after the date of the Purchase Price Notice, (ii) on the closing date, Wynn shall pay in cash the Purchase Price in U.S. dollars by wire transfer of immediately available funds to the account specified by the Company, and (</w:t>
      </w:r>
      <w:r>
        <w:rPr>
          <w:rFonts w:ascii="Arial" w:cs="Arial" w:eastAsia="Arial" w:hAnsi="Arial"/>
          <w:sz w:val="16"/>
          <w:szCs w:val="16"/>
          <w:u w:val="single" w:color="auto"/>
          <w:color w:val="auto"/>
        </w:rPr>
        <w:t>iii</w:t>
      </w:r>
      <w:r>
        <w:rPr>
          <w:rFonts w:ascii="Arial" w:cs="Arial" w:eastAsia="Arial" w:hAnsi="Arial"/>
          <w:sz w:val="16"/>
          <w:szCs w:val="16"/>
          <w:color w:val="auto"/>
        </w:rPr>
        <w:t>) the parties shall execute such agreements and related documents as are reasonably necessary to complete the purchase and transfer all right, title and interest in and to the Aircraft being purchased free and clear of all liens.</w:t>
      </w:r>
    </w:p>
    <w:p>
      <w:pPr>
        <w:sectPr>
          <w:pgSz w:w="11900" w:h="16838" w:orient="portrait"/>
          <w:cols w:equalWidth="0" w:num="1">
            <w:col w:w="11420"/>
          </w:cols>
          <w:pgMar w:left="240" w:top="125" w:right="239" w:bottom="1440" w:gutter="0" w:footer="0" w:header="0"/>
        </w:sectPr>
      </w:pPr>
    </w:p>
    <w:bookmarkStart w:id="156" w:name="page157"/>
    <w:bookmarkEnd w:id="156"/>
    <w:p>
      <w:pPr>
        <w:ind w:right="120" w:firstLine="1492"/>
        <w:spacing w:after="0" w:line="256" w:lineRule="auto"/>
        <w:tabs>
          <w:tab w:leader="none" w:pos="1722" w:val="left"/>
        </w:tabs>
        <w:numPr>
          <w:ilvl w:val="2"/>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no circumstances shall this Agreement be interpreted to represent a present property interest in the Aircraft and shall not limit the Company’s right to sell or otherwise dispose of an Aircraft prior to the delivery of an Option Exercise Notice. Wynn shall have no right to deliver an Option Exercise Notice to the Company for an Aircraft that is subject to a fully executed aircraft sale agreement between the Company (or its affiliates) and a bona fide third party purchaser for such Aircraft.</w:t>
      </w:r>
    </w:p>
    <w:p>
      <w:pPr>
        <w:spacing w:after="0" w:line="143" w:lineRule="exact"/>
        <w:rPr>
          <w:rFonts w:ascii="Arial" w:cs="Arial" w:eastAsia="Arial" w:hAnsi="Arial"/>
          <w:sz w:val="18"/>
          <w:szCs w:val="18"/>
          <w:color w:val="auto"/>
        </w:rPr>
      </w:pPr>
    </w:p>
    <w:p>
      <w:pPr>
        <w:ind w:right="20" w:firstLine="464"/>
        <w:spacing w:after="0" w:line="302" w:lineRule="auto"/>
        <w:tabs>
          <w:tab w:leader="none" w:pos="632" w:val="left"/>
        </w:tabs>
        <w:numPr>
          <w:ilvl w:val="1"/>
          <w:numId w:val="5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paragraph. Notices delivered personally shall be deemed communicated as of actual receipt; facsimile notices (with a concurrent mailing) shall be deemed communicated three</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days after mailing.</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Wynn: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Kim Sinatra - General Counsel</w:t>
      </w:r>
    </w:p>
    <w:p>
      <w:pPr>
        <w:spacing w:after="0" w:line="165"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deemed to be made and shall be construed in accordance with the laws of the State of Nevada, without reference to its conflict of laws provisions.</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of reference only and are not to be given any legal effect and shall not affect the meaning or interpretation of this Agreement.</w:t>
      </w:r>
    </w:p>
    <w:p>
      <w:pPr>
        <w:spacing w:after="0" w:line="132"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this Agreement is in conflict with any applicable federal or state law now in force or hereafter enacted, such provision shall become inoperative, but all other provisions of this Agreement shall remain in full force and effect.</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Assignment</w:t>
      </w:r>
      <w:r>
        <w:rPr>
          <w:rFonts w:ascii="Arial" w:cs="Arial" w:eastAsia="Arial" w:hAnsi="Arial"/>
          <w:sz w:val="18"/>
          <w:szCs w:val="18"/>
          <w:color w:val="auto"/>
        </w:rPr>
        <w:t>. The Company may assign or otherwise transfer this Agreement only to an Affiliate or to the successor of all or a substantial portion of the business of the Company relating to this Agreement, and Wynn may assign or otherwise transfer this Agreement only to his heir(s) or other person or entity that succeeds to any rights that Wynn retains, which successor(s) in either such case shall thereafter be deemed substituted for Wynn hereunder effective upon such assignment.</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Construction</w:t>
      </w:r>
      <w:r>
        <w:rPr>
          <w:rFonts w:ascii="Arial" w:cs="Arial" w:eastAsia="Arial" w:hAnsi="Arial"/>
          <w:sz w:val="18"/>
          <w:szCs w:val="18"/>
          <w:color w:val="auto"/>
        </w:rPr>
        <w:t>. For purposes of construction of this Agreement, the language herein shall be deemed to be the language of all parties, and no party shall be deemed to be the drafting party.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written Amendments</w:t>
      </w:r>
      <w:r>
        <w:rPr>
          <w:rFonts w:ascii="Arial" w:cs="Arial" w:eastAsia="Arial" w:hAnsi="Arial"/>
          <w:sz w:val="18"/>
          <w:szCs w:val="18"/>
          <w:color w:val="auto"/>
        </w:rPr>
        <w:t>. This Agreement may be amended only by written agreement, executed by both parties.</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between the parties, and supersedes and replaces any and all prior written and oral agreements, including without limitation with respect to the Existing Purchase Option. There are no other terms and conditions except those set forth herein.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duly executed as of the Effective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20"/>
                <w:szCs w:val="20"/>
                <w:color w:val="auto"/>
              </w:rPr>
            </w:pPr>
            <w:r>
              <w:rPr>
                <w:rFonts w:ascii="Arial" w:cs="Arial" w:eastAsia="Arial" w:hAnsi="Arial"/>
                <w:sz w:val="18"/>
                <w:szCs w:val="18"/>
                <w:b w:val="1"/>
                <w:bCs w:val="1"/>
                <w:color w:val="auto"/>
              </w:rPr>
              <w:t>WYNN:</w:t>
            </w:r>
          </w:p>
        </w:tc>
        <w:tc>
          <w:tcPr>
            <w:tcW w:w="6280" w:type="dxa"/>
            <w:vAlign w:val="bottom"/>
            <w:gridSpan w:val="3"/>
          </w:tcPr>
          <w:p>
            <w:pPr>
              <w:ind w:left="820"/>
              <w:spacing w:after="0"/>
              <w:rPr>
                <w:sz w:val="20"/>
                <w:szCs w:val="20"/>
                <w:color w:val="auto"/>
              </w:rPr>
            </w:pPr>
            <w:r>
              <w:rPr>
                <w:rFonts w:ascii="Arial" w:cs="Arial" w:eastAsia="Arial" w:hAnsi="Arial"/>
                <w:sz w:val="18"/>
                <w:szCs w:val="18"/>
                <w:b w:val="1"/>
                <w:bCs w:val="1"/>
                <w:color w:val="auto"/>
              </w:rPr>
              <w:t>WYNN RESORTS, LIMITED:</w:t>
            </w:r>
          </w:p>
        </w:tc>
      </w:tr>
      <w:tr>
        <w:trPr>
          <w:trHeight w:val="441"/>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Wynn</w:t>
            </w:r>
          </w:p>
        </w:tc>
        <w:tc>
          <w:tcPr>
            <w:tcW w:w="82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Schorr</w:t>
            </w: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Stephen A. Wynn</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By</w:t>
            </w:r>
          </w:p>
        </w:tc>
        <w:tc>
          <w:tcPr>
            <w:tcW w:w="5200" w:type="dxa"/>
            <w:vAlign w:val="bottom"/>
          </w:tcPr>
          <w:p>
            <w:pPr>
              <w:ind w:left="60"/>
              <w:spacing w:after="0"/>
              <w:rPr>
                <w:sz w:val="20"/>
                <w:szCs w:val="20"/>
                <w:color w:val="auto"/>
              </w:rPr>
            </w:pPr>
            <w:r>
              <w:rPr>
                <w:rFonts w:ascii="Arial" w:cs="Arial" w:eastAsia="Arial" w:hAnsi="Arial"/>
                <w:sz w:val="18"/>
                <w:szCs w:val="18"/>
                <w:color w:val="auto"/>
              </w:rPr>
              <w:t>Marc Schorr</w:t>
            </w:r>
          </w:p>
        </w:tc>
      </w:tr>
      <w:tr>
        <w:trPr>
          <w:trHeight w:val="222"/>
        </w:trPr>
        <w:tc>
          <w:tcPr>
            <w:tcW w:w="5140" w:type="dxa"/>
            <w:vAlign w:val="bottom"/>
          </w:tcPr>
          <w:p>
            <w:pPr>
              <w:spacing w:after="0"/>
              <w:rPr>
                <w:sz w:val="19"/>
                <w:szCs w:val="19"/>
                <w:color w:val="auto"/>
              </w:rPr>
            </w:pP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Its</w:t>
            </w:r>
          </w:p>
        </w:tc>
        <w:tc>
          <w:tcPr>
            <w:tcW w:w="5200" w:type="dxa"/>
            <w:vAlign w:val="bottom"/>
          </w:tcPr>
          <w:p>
            <w:pPr>
              <w:ind w:left="60"/>
              <w:spacing w:after="0"/>
              <w:rPr>
                <w:sz w:val="20"/>
                <w:szCs w:val="20"/>
                <w:color w:val="auto"/>
              </w:rPr>
            </w:pPr>
            <w:r>
              <w:rPr>
                <w:rFonts w:ascii="Arial" w:cs="Arial" w:eastAsia="Arial" w:hAnsi="Arial"/>
                <w:sz w:val="18"/>
                <w:szCs w:val="18"/>
                <w:color w:val="auto"/>
              </w:rPr>
              <w:t>C.O.O.</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International Marketing, Ltd (an Isle of Man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PA,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IG Holdco,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Koval,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Macau, Limited (a Cayman Islands company and a 72.3% owned company)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Palo Real Estate Company Ltd.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Cotai Holding Company, Ltd. (an Isle of Man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Cotai Partner, Ltd. (an Isle of Man company)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Cotai Land Development Company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IOM Holdco II, Ltd. (as Isle of Man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 Hoteleria Limitada (a Macau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 owned unless otherwise specifically identified.</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consent to the incorporation by reference in Registration Statements No. 333-168323 and No. 333-100891 on Form S-8 of our reports dated March 1, 2013 with respect to the consolidated financial statements and schedules of Wynn Resorts, Limited and the effectiveness of internal control over financial reporting of Wynn Resorts, Limited, included in this Annual Report on Form 10-K for the year ended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21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auto"/>
              </w:rPr>
              <w:t>Date: March 1, 2013</w:t>
            </w:r>
          </w:p>
        </w:tc>
        <w:tc>
          <w:tcPr>
            <w:tcW w:w="24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/s/Stephen A. Wynn</w:t>
            </w:r>
          </w:p>
        </w:tc>
      </w:tr>
      <w:tr>
        <w:trPr>
          <w:trHeight w:val="228"/>
        </w:trPr>
        <w:tc>
          <w:tcPr>
            <w:tcW w:w="60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60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Chairman of the Board and</w:t>
            </w:r>
          </w:p>
        </w:tc>
      </w:tr>
      <w:tr>
        <w:trPr>
          <w:trHeight w:val="223"/>
        </w:trPr>
        <w:tc>
          <w:tcPr>
            <w:tcW w:w="60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2"/>
        </w:trPr>
        <w:tc>
          <w:tcPr>
            <w:tcW w:w="60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auto"/>
              </w:rPr>
              <w:t>Date: March 1, 2013</w:t>
            </w:r>
          </w:p>
        </w:tc>
        <w:tc>
          <w:tcPr>
            <w:tcW w:w="22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 Matt Maddox</w:t>
            </w:r>
          </w:p>
        </w:tc>
        <w:tc>
          <w:tcPr>
            <w:tcW w:w="420" w:type="dxa"/>
            <w:vAlign w:val="bottom"/>
          </w:tcPr>
          <w:p>
            <w:pPr>
              <w:spacing w:after="0"/>
              <w:rPr>
                <w:sz w:val="18"/>
                <w:szCs w:val="18"/>
                <w:color w:val="auto"/>
              </w:rPr>
            </w:pPr>
          </w:p>
        </w:tc>
      </w:tr>
      <w:tr>
        <w:trPr>
          <w:trHeight w:val="228"/>
        </w:trPr>
        <w:tc>
          <w:tcPr>
            <w:tcW w:w="60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Matt Maddox</w:t>
            </w:r>
          </w:p>
        </w:tc>
      </w:tr>
      <w:tr>
        <w:trPr>
          <w:trHeight w:val="216"/>
        </w:trPr>
        <w:tc>
          <w:tcPr>
            <w:tcW w:w="60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Chief Financial Officer and Treasurer</w:t>
            </w:r>
          </w:p>
        </w:tc>
      </w:tr>
      <w:tr>
        <w:trPr>
          <w:trHeight w:val="222"/>
        </w:trPr>
        <w:tc>
          <w:tcPr>
            <w:tcW w:w="60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2012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18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Stephen A. Wynn</w:t>
            </w:r>
          </w:p>
        </w:tc>
      </w:tr>
      <w:tr>
        <w:trPr>
          <w:trHeight w:val="202"/>
        </w:trPr>
        <w:tc>
          <w:tcPr>
            <w:tcW w:w="2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Stephen A. Wynn</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March 1, 2013</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Matt Maddox</w:t>
            </w:r>
          </w:p>
        </w:tc>
      </w:tr>
      <w:tr>
        <w:trPr>
          <w:trHeight w:val="202"/>
        </w:trPr>
        <w:tc>
          <w:tcPr>
            <w:tcW w:w="2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Matt Maddox</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March 1,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lvl w:ilvl="1">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decimal"/>
      <w:start w:val="2"/>
    </w:lvl>
  </w:abstractNum>
  <w:abstractNum w:abstractNumId="23">
    <w:nsid w:val="1D4ED43B"/>
    <w:multiLevelType w:val="hybridMultilevel"/>
    <w:lvl w:ilvl="0">
      <w:lvlJc w:val="left"/>
      <w:lvlText w:val="(%1)"/>
      <w:numFmt w:val="decimal"/>
      <w:start w:val="3"/>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2"/>
    </w:lvl>
  </w:abstractNum>
  <w:abstractNum w:abstractNumId="32">
    <w:nsid w:val="7644A45C"/>
    <w:multiLevelType w:val="hybridMultilevel"/>
    <w:lvl w:ilvl="0">
      <w:lvlJc w:val="left"/>
      <w:lvlText w:val="%1."/>
      <w:numFmt w:val="decimal"/>
      <w:start w:val="10"/>
    </w:lvl>
  </w:abstractNum>
  <w:abstractNum w:abstractNumId="33">
    <w:nsid w:val="32FFF902"/>
    <w:multiLevelType w:val="hybridMultilevel"/>
    <w:lvl w:ilvl="0">
      <w:lvlJc w:val="left"/>
      <w:lvlText w:val="%1."/>
      <w:numFmt w:val="decimal"/>
      <w:start w:val="12"/>
    </w:lvl>
  </w:abstractNum>
  <w:abstractNum w:abstractNumId="34">
    <w:nsid w:val="684A481A"/>
    <w:multiLevelType w:val="hybridMultilevel"/>
    <w:lvl w:ilvl="0">
      <w:lvlJc w:val="left"/>
      <w:lvlText w:val="%1."/>
      <w:numFmt w:val="decimal"/>
      <w:start w:val="14"/>
    </w:lvl>
  </w:abstractNum>
  <w:abstractNum w:abstractNumId="35">
    <w:nsid w:val="579478FE"/>
    <w:multiLevelType w:val="hybridMultilevel"/>
    <w:lvl w:ilvl="0">
      <w:lvlJc w:val="left"/>
      <w:lvlText w:val="%1."/>
      <w:numFmt w:val="decimal"/>
      <w:start w:val="16"/>
    </w:lvl>
  </w:abstractNum>
  <w:abstractNum w:abstractNumId="36">
    <w:nsid w:val="749ABB43"/>
    <w:multiLevelType w:val="hybridMultilevel"/>
    <w:lvl w:ilvl="0">
      <w:lvlJc w:val="left"/>
      <w:lvlText w:val="(%1)"/>
      <w:numFmt w:val="decimal"/>
      <w:start w:val="4"/>
    </w:lvl>
  </w:abstractNum>
  <w:abstractNum w:abstractNumId="37">
    <w:nsid w:val="3DC240FB"/>
    <w:multiLevelType w:val="hybridMultilevel"/>
    <w:lvl w:ilvl="0">
      <w:lvlJc w:val="left"/>
      <w:lvlText w:val="(%1)"/>
      <w:numFmt w:val="decimal"/>
      <w:start w:val="3"/>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3"/>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3"/>
    </w:lvl>
  </w:abstractNum>
  <w:abstractNum w:abstractNumId="44">
    <w:nsid w:val="374A3FE6"/>
    <w:multiLevelType w:val="hybridMultilevel"/>
    <w:lvl w:ilvl="0">
      <w:lvlJc w:val="left"/>
      <w:lvlText w:val="*"/>
      <w:numFmt w:val="bullet"/>
      <w:start w:val="1"/>
    </w:lvl>
    <w:lvl w:ilvl="1">
      <w:lvlJc w:val="left"/>
      <w:lvlText w:val="%2"/>
      <w:numFmt w:val="decimal"/>
      <w:start w:val="10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33"/>
    </w:lvl>
  </w:abstractNum>
  <w:abstractNum w:abstractNumId="47">
    <w:nsid w:val="649BB77C"/>
    <w:multiLevelType w:val="hybridMultilevel"/>
    <w:lvl w:ilvl="0">
      <w:lvlJc w:val="left"/>
      <w:lvlText w:val="%1"/>
      <w:numFmt w:val="decimal"/>
      <w:start w:val="1"/>
    </w:lvl>
    <w:lvl w:ilvl="1">
      <w:lvlJc w:val="left"/>
      <w:lvlText w:val="(%2)"/>
      <w:numFmt w:val="decimal"/>
      <w:start w:val="30"/>
    </w:lvl>
  </w:abstractNum>
  <w:abstractNum w:abstractNumId="48">
    <w:nsid w:val="275AC794"/>
    <w:multiLevelType w:val="hybridMultilevel"/>
    <w:lvl w:ilvl="0">
      <w:lvlJc w:val="left"/>
      <w:lvlText w:val="%1."/>
      <w:numFmt w:val="decimal"/>
      <w:start w:val="2"/>
    </w:lvl>
    <w:lvl w:ilvl="1">
      <w:lvlJc w:val="left"/>
      <w:lvlText w:val="%2"/>
      <w:numFmt w:val="decimal"/>
      <w:start w:val="1"/>
    </w:lvl>
  </w:abstractNum>
  <w:abstractNum w:abstractNumId="49">
    <w:nsid w:val="39386575"/>
    <w:multiLevelType w:val="hybridMultilevel"/>
    <w:lvl w:ilvl="0">
      <w:lvlJc w:val="left"/>
      <w:lvlText w:val="%1."/>
      <w:numFmt w:val="decimal"/>
      <w:start w:val="1"/>
    </w:lvl>
    <w:lvl w:ilvl="1">
      <w:lvlJc w:val="left"/>
      <w:lvlText w:val="%2"/>
      <w:numFmt w:val="lowerLetter"/>
      <w:start w:val="1"/>
    </w:lvl>
  </w:abstractNum>
  <w:abstractNum w:abstractNumId="50">
    <w:nsid w:val="1CF10FD8"/>
    <w:multiLevelType w:val="hybridMultilevel"/>
    <w:lvl w:ilvl="0">
      <w:lvlJc w:val="left"/>
      <w:lvlText w:val="%1."/>
      <w:numFmt w:val="lowerRoman"/>
      <w:start w:val="2"/>
    </w:lvl>
  </w:abstractNum>
  <w:abstractNum w:abstractNumId="51">
    <w:nsid w:val="180115BE"/>
    <w:multiLevelType w:val="hybridMultilevel"/>
    <w:lvl w:ilvl="0">
      <w:lvlJc w:val="left"/>
      <w:lvlText w:val="%1"/>
      <w:numFmt w:val="decimal"/>
      <w:start w:val="1"/>
    </w:lvl>
    <w:lvl w:ilvl="1">
      <w:lvlJc w:val="left"/>
      <w:lvlText w:val="%2."/>
      <w:numFmt w:val="lowerRoman"/>
      <w:start w:val="3"/>
    </w:lvl>
  </w:abstractNum>
  <w:abstractNum w:abstractNumId="52">
    <w:nsid w:val="235BA861"/>
    <w:multiLevelType w:val="hybridMultilevel"/>
    <w:lvl w:ilvl="0">
      <w:lvlJc w:val="left"/>
      <w:lvlText w:val="%1."/>
      <w:numFmt w:val="decimal"/>
      <w:start w:val="2"/>
    </w:lvl>
    <w:lvl w:ilvl="1">
      <w:lvlJc w:val="left"/>
      <w:lvlText w:val="%2"/>
      <w:numFmt w:val="lowerRoman"/>
      <w:start w:val="1"/>
    </w:lvl>
  </w:abstractNum>
  <w:abstractNum w:abstractNumId="53">
    <w:nsid w:val="47398C89"/>
    <w:multiLevelType w:val="hybridMultilevel"/>
    <w:lvl w:ilvl="0">
      <w:lvlJc w:val="left"/>
      <w:lvlText w:val="%1."/>
      <w:numFmt w:val="upperLetter"/>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7">
    <w:nsid w:val="D34B6A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8">
    <w:nsid w:val="10233C99"/>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59">
    <w:nsid w:val="3F6AB60F"/>
    <w:multiLevelType w:val="hybridMultilevel"/>
    <w:lvl w:ilvl="0">
      <w:lvlJc w:val="left"/>
      <w:lvlText w:val="%1."/>
      <w:numFmt w:val="decimal"/>
      <w:start w:val="3"/>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2019-12-07T04:36:54Z</dcterms:created>
  <dcterms:modified xsi:type="dcterms:W3CDTF">2019-12-07T04:36:54Z</dcterms:modified>
</cp:coreProperties>
</file>