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231140</wp:posOffset>
            </wp:positionV>
            <wp:extent cx="29171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251460</wp:posOffset>
            </wp:positionV>
            <wp:extent cx="29171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CURRENT REPORT</w:t>
      </w:r>
    </w:p>
    <w:p>
      <w:pPr>
        <w:spacing w:after="0" w:line="118"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Pursuant to Section 13 or 15(d)</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of the Securities Exchange Act of 1934, as Amended</w:t>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Report (Date of earliest event reported): April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241300</wp:posOffset>
            </wp:positionV>
            <wp:extent cx="29171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260"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520" w:type="dxa"/>
            <w:vAlign w:val="bottom"/>
          </w:tcPr>
          <w:p>
            <w:pPr>
              <w:jc w:val="center"/>
              <w:ind w:right="766"/>
              <w:spacing w:after="0"/>
              <w:rPr>
                <w:sz w:val="20"/>
                <w:szCs w:val="20"/>
                <w:color w:val="auto"/>
              </w:rPr>
            </w:pPr>
            <w:r>
              <w:rPr>
                <w:rFonts w:ascii="Arial" w:cs="Arial" w:eastAsia="Arial" w:hAnsi="Arial"/>
                <w:sz w:val="12"/>
                <w:szCs w:val="12"/>
                <w:b w:val="1"/>
                <w:bCs w:val="1"/>
                <w:color w:val="auto"/>
                <w:w w:val="88"/>
              </w:rPr>
              <w:t>Nevada</w:t>
            </w:r>
          </w:p>
        </w:tc>
        <w:tc>
          <w:tcPr>
            <w:tcW w:w="4500" w:type="dxa"/>
            <w:vAlign w:val="bottom"/>
          </w:tcPr>
          <w:p>
            <w:pPr>
              <w:ind w:left="1920"/>
              <w:spacing w:after="0"/>
              <w:rPr>
                <w:sz w:val="20"/>
                <w:szCs w:val="20"/>
                <w:color w:val="auto"/>
              </w:rPr>
            </w:pPr>
            <w:r>
              <w:rPr>
                <w:rFonts w:ascii="Arial" w:cs="Arial" w:eastAsia="Arial" w:hAnsi="Arial"/>
                <w:sz w:val="12"/>
                <w:szCs w:val="12"/>
                <w:b w:val="1"/>
                <w:bCs w:val="1"/>
                <w:color w:val="auto"/>
              </w:rPr>
              <w:t>000-50028</w:t>
            </w:r>
          </w:p>
        </w:tc>
        <w:tc>
          <w:tcPr>
            <w:tcW w:w="1840" w:type="dxa"/>
            <w:vAlign w:val="bottom"/>
          </w:tcPr>
          <w:p>
            <w:pPr>
              <w:jc w:val="right"/>
              <w:ind w:right="27"/>
              <w:spacing w:after="0"/>
              <w:rPr>
                <w:sz w:val="20"/>
                <w:szCs w:val="20"/>
                <w:color w:val="auto"/>
              </w:rPr>
            </w:pPr>
            <w:r>
              <w:rPr>
                <w:rFonts w:ascii="Arial" w:cs="Arial" w:eastAsia="Arial" w:hAnsi="Arial"/>
                <w:sz w:val="12"/>
                <w:szCs w:val="12"/>
                <w:b w:val="1"/>
                <w:bCs w:val="1"/>
                <w:color w:val="auto"/>
              </w:rPr>
              <w:t>46-0484987</w:t>
            </w:r>
          </w:p>
        </w:tc>
        <w:tc>
          <w:tcPr>
            <w:tcW w:w="0" w:type="dxa"/>
            <w:vAlign w:val="bottom"/>
          </w:tcPr>
          <w:p>
            <w:pPr>
              <w:spacing w:after="0"/>
              <w:rPr>
                <w:sz w:val="1"/>
                <w:szCs w:val="1"/>
                <w:color w:val="auto"/>
              </w:rPr>
            </w:pPr>
          </w:p>
        </w:tc>
      </w:tr>
      <w:tr>
        <w:trPr>
          <w:trHeight w:val="121"/>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(State or other jurisdiction</w:t>
            </w:r>
          </w:p>
        </w:tc>
        <w:tc>
          <w:tcPr>
            <w:tcW w:w="4500" w:type="dxa"/>
            <w:vAlign w:val="bottom"/>
          </w:tcPr>
          <w:p>
            <w:pPr>
              <w:ind w:left="1900"/>
              <w:spacing w:after="0"/>
              <w:rPr>
                <w:sz w:val="20"/>
                <w:szCs w:val="20"/>
                <w:color w:val="auto"/>
              </w:rPr>
            </w:pPr>
            <w:r>
              <w:rPr>
                <w:rFonts w:ascii="Arial" w:cs="Arial" w:eastAsia="Arial" w:hAnsi="Arial"/>
                <w:sz w:val="10"/>
                <w:szCs w:val="10"/>
                <w:b w:val="1"/>
                <w:bCs w:val="1"/>
                <w:color w:val="auto"/>
              </w:rPr>
              <w:t>(Commission</w:t>
            </w:r>
          </w:p>
        </w:tc>
        <w:tc>
          <w:tcPr>
            <w:tcW w:w="1840" w:type="dxa"/>
            <w:vAlign w:val="bottom"/>
          </w:tcPr>
          <w:p>
            <w:pPr>
              <w:jc w:val="center"/>
              <w:ind w:left="1047"/>
              <w:spacing w:after="0"/>
              <w:rPr>
                <w:sz w:val="20"/>
                <w:szCs w:val="20"/>
                <w:color w:val="auto"/>
              </w:rPr>
            </w:pPr>
            <w:r>
              <w:rPr>
                <w:rFonts w:ascii="Arial" w:cs="Arial" w:eastAsia="Arial" w:hAnsi="Arial"/>
                <w:sz w:val="10"/>
                <w:szCs w:val="10"/>
                <w:b w:val="1"/>
                <w:bCs w:val="1"/>
                <w:color w:val="auto"/>
                <w:w w:val="90"/>
              </w:rPr>
              <w:t>(IRS Employer</w:t>
            </w:r>
          </w:p>
        </w:tc>
        <w:tc>
          <w:tcPr>
            <w:tcW w:w="0" w:type="dxa"/>
            <w:vAlign w:val="bottom"/>
          </w:tcPr>
          <w:p>
            <w:pPr>
              <w:spacing w:after="0"/>
              <w:rPr>
                <w:sz w:val="1"/>
                <w:szCs w:val="1"/>
                <w:color w:val="auto"/>
              </w:rPr>
            </w:pPr>
          </w:p>
        </w:tc>
      </w:tr>
      <w:tr>
        <w:trPr>
          <w:trHeight w:val="124"/>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of incorporation)</w:t>
            </w:r>
          </w:p>
        </w:tc>
        <w:tc>
          <w:tcPr>
            <w:tcW w:w="4500" w:type="dxa"/>
            <w:vAlign w:val="bottom"/>
          </w:tcPr>
          <w:p>
            <w:pPr>
              <w:ind w:left="1900"/>
              <w:spacing w:after="0"/>
              <w:rPr>
                <w:sz w:val="20"/>
                <w:szCs w:val="20"/>
                <w:color w:val="auto"/>
              </w:rPr>
            </w:pPr>
            <w:r>
              <w:rPr>
                <w:rFonts w:ascii="Arial" w:cs="Arial" w:eastAsia="Arial" w:hAnsi="Arial"/>
                <w:sz w:val="10"/>
                <w:szCs w:val="10"/>
                <w:b w:val="1"/>
                <w:bCs w:val="1"/>
                <w:color w:val="auto"/>
              </w:rPr>
              <w:t>File Number)</w:t>
            </w:r>
          </w:p>
        </w:tc>
        <w:tc>
          <w:tcPr>
            <w:tcW w:w="1840" w:type="dxa"/>
            <w:vAlign w:val="bottom"/>
          </w:tcPr>
          <w:p>
            <w:pPr>
              <w:jc w:val="center"/>
              <w:ind w:left="1027"/>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373"/>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3131 Las Vegas Boulevard South</w:t>
            </w:r>
          </w:p>
        </w:tc>
        <w:tc>
          <w:tcPr>
            <w:tcW w:w="4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Las Vegas, Nevada</w:t>
            </w:r>
          </w:p>
        </w:tc>
        <w:tc>
          <w:tcPr>
            <w:tcW w:w="4500" w:type="dxa"/>
            <w:vAlign w:val="bottom"/>
          </w:tcPr>
          <w:p>
            <w:pPr>
              <w:spacing w:after="0"/>
              <w:rPr>
                <w:sz w:val="13"/>
                <w:szCs w:val="13"/>
                <w:color w:val="auto"/>
              </w:rPr>
            </w:pPr>
          </w:p>
        </w:tc>
        <w:tc>
          <w:tcPr>
            <w:tcW w:w="1840" w:type="dxa"/>
            <w:vAlign w:val="bottom"/>
          </w:tcPr>
          <w:p>
            <w:pPr>
              <w:jc w:val="right"/>
              <w:ind w:right="167"/>
              <w:spacing w:after="0"/>
              <w:rPr>
                <w:sz w:val="20"/>
                <w:szCs w:val="20"/>
                <w:color w:val="auto"/>
              </w:rPr>
            </w:pPr>
            <w:r>
              <w:rPr>
                <w:rFonts w:ascii="Arial" w:cs="Arial" w:eastAsia="Arial" w:hAnsi="Arial"/>
                <w:sz w:val="12"/>
                <w:szCs w:val="12"/>
                <w:b w:val="1"/>
                <w:bCs w:val="1"/>
                <w:color w:val="auto"/>
              </w:rPr>
              <w:t>89109</w:t>
            </w:r>
          </w:p>
        </w:tc>
        <w:tc>
          <w:tcPr>
            <w:tcW w:w="0" w:type="dxa"/>
            <w:vAlign w:val="bottom"/>
          </w:tcPr>
          <w:p>
            <w:pPr>
              <w:spacing w:after="0"/>
              <w:rPr>
                <w:sz w:val="1"/>
                <w:szCs w:val="1"/>
                <w:color w:val="auto"/>
              </w:rPr>
            </w:pPr>
          </w:p>
        </w:tc>
      </w:tr>
      <w:tr>
        <w:trPr>
          <w:trHeight w:val="145"/>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4500" w:type="dxa"/>
            <w:vAlign w:val="bottom"/>
          </w:tcPr>
          <w:p>
            <w:pPr>
              <w:spacing w:after="0"/>
              <w:rPr>
                <w:sz w:val="12"/>
                <w:szCs w:val="12"/>
                <w:color w:val="auto"/>
              </w:rPr>
            </w:pPr>
          </w:p>
        </w:tc>
        <w:tc>
          <w:tcPr>
            <w:tcW w:w="1840" w:type="dxa"/>
            <w:vAlign w:val="bottom"/>
            <w:vMerge w:val="restart"/>
          </w:tcPr>
          <w:p>
            <w:pPr>
              <w:jc w:val="center"/>
              <w:ind w:left="1027"/>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45"/>
        </w:trPr>
        <w:tc>
          <w:tcPr>
            <w:tcW w:w="252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520" w:type="dxa"/>
            <w:vAlign w:val="bottom"/>
          </w:tcPr>
          <w:p>
            <w:pPr>
              <w:spacing w:after="0"/>
              <w:rPr>
                <w:sz w:val="21"/>
                <w:szCs w:val="21"/>
                <w:color w:val="auto"/>
              </w:rPr>
            </w:pPr>
          </w:p>
        </w:tc>
        <w:tc>
          <w:tcPr>
            <w:tcW w:w="4500" w:type="dxa"/>
            <w:vAlign w:val="bottom"/>
          </w:tcPr>
          <w:p>
            <w:pPr>
              <w:jc w:val="center"/>
              <w:ind w:right="227"/>
              <w:spacing w:after="0"/>
              <w:rPr>
                <w:sz w:val="20"/>
                <w:szCs w:val="20"/>
                <w:color w:val="auto"/>
              </w:rPr>
            </w:pPr>
            <w:r>
              <w:rPr>
                <w:rFonts w:ascii="Arial" w:cs="Arial" w:eastAsia="Arial" w:hAnsi="Arial"/>
                <w:sz w:val="12"/>
                <w:szCs w:val="12"/>
                <w:b w:val="1"/>
                <w:bCs w:val="1"/>
                <w:color w:val="auto"/>
                <w:w w:val="90"/>
              </w:rPr>
              <w:t>(702) 770-7555</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500" w:type="dxa"/>
            <w:vAlign w:val="bottom"/>
          </w:tcPr>
          <w:p>
            <w:pPr>
              <w:jc w:val="center"/>
              <w:ind w:right="20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4500" w:type="dxa"/>
            <w:vAlign w:val="bottom"/>
          </w:tcPr>
          <w:p>
            <w:pPr>
              <w:jc w:val="center"/>
              <w:ind w:right="227"/>
              <w:spacing w:after="0"/>
              <w:rPr>
                <w:sz w:val="20"/>
                <w:szCs w:val="20"/>
                <w:color w:val="auto"/>
              </w:rPr>
            </w:pPr>
            <w:r>
              <w:rPr>
                <w:rFonts w:ascii="Arial" w:cs="Arial" w:eastAsia="Arial" w:hAnsi="Arial"/>
                <w:sz w:val="12"/>
                <w:szCs w:val="12"/>
                <w:b w:val="1"/>
                <w:bCs w:val="1"/>
                <w:color w:val="auto"/>
                <w:w w:val="92"/>
              </w:rPr>
              <w:t>Not Applicable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500" w:type="dxa"/>
            <w:vAlign w:val="bottom"/>
          </w:tcPr>
          <w:p>
            <w:pPr>
              <w:jc w:val="center"/>
              <w:ind w:right="207"/>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147955</wp:posOffset>
            </wp:positionV>
            <wp:extent cx="29171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05" w:lineRule="exact"/>
        <w:rPr>
          <w:sz w:val="24"/>
          <w:szCs w:val="24"/>
          <w:color w:val="auto"/>
        </w:rPr>
      </w:pPr>
    </w:p>
    <w:p>
      <w:pPr>
        <w:ind w:right="2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1"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380"/>
          </w:cols>
          <w:pgMar w:left="220" w:top="499" w:right="299" w:bottom="1440" w:gutter="0" w:footer="0" w:header="0"/>
        </w:sectPr>
      </w:pPr>
    </w:p>
    <w:bookmarkStart w:id="1" w:name="page2"/>
    <w:bookmarkEnd w:id="1"/>
    <w:p>
      <w:pPr>
        <w:ind w:left="20"/>
        <w:spacing w:after="0"/>
        <w:tabs>
          <w:tab w:leader="none" w:pos="25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firstLine="288"/>
        <w:spacing w:after="0" w:line="290" w:lineRule="auto"/>
        <w:rPr>
          <w:sz w:val="20"/>
          <w:szCs w:val="20"/>
          <w:color w:val="auto"/>
        </w:rPr>
      </w:pPr>
      <w:r>
        <w:rPr>
          <w:rFonts w:ascii="Arial" w:cs="Arial" w:eastAsia="Arial" w:hAnsi="Arial"/>
          <w:sz w:val="11"/>
          <w:szCs w:val="11"/>
          <w:color w:val="auto"/>
        </w:rPr>
        <w:t>On April 24, 2017, Wynn Macau, Limited (“WML”), an indirect subsidiary of Wynn Resorts, Limited (the “Registrant”) with ordinary shares of its common stock listed on The Stock Exchange of Hong Kong Limited, filed its annual report in respect of the year ended December 31, 2016 (the “Annual Report”) with The Stock Exchange of Hong Kong Limited.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60"/>
          </w:cols>
          <w:pgMar w:left="220" w:top="541" w:right="219" w:bottom="1440" w:gutter="0" w:footer="0" w:header="0"/>
        </w:sect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9.01.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and Exhibits.</w:t>
      </w:r>
    </w:p>
    <w:p>
      <w:pPr>
        <w:spacing w:after="0" w:line="105" w:lineRule="exact"/>
        <w:rPr>
          <w:sz w:val="20"/>
          <w:szCs w:val="20"/>
          <w:color w:val="auto"/>
        </w:rPr>
      </w:pPr>
    </w:p>
    <w:p>
      <w:pPr>
        <w:sectPr>
          <w:pgSz w:w="11900" w:h="16838" w:orient="portrait"/>
          <w:cols w:equalWidth="0" w:num="2">
            <w:col w:w="1820" w:space="720"/>
            <w:col w:w="8920"/>
          </w:cols>
          <w:pgMar w:left="220" w:top="541" w:right="219" w:bottom="1440" w:gutter="0" w:footer="0" w:header="0"/>
          <w:type w:val="continuous"/>
        </w:sectPr>
      </w:pPr>
    </w:p>
    <w:p>
      <w:pPr>
        <w:ind w:left="280"/>
        <w:spacing w:after="0"/>
        <w:rPr>
          <w:sz w:val="20"/>
          <w:szCs w:val="20"/>
          <w:color w:val="auto"/>
        </w:rPr>
      </w:pPr>
      <w:r>
        <w:rPr>
          <w:rFonts w:ascii="Arial" w:cs="Arial" w:eastAsia="Arial" w:hAnsi="Arial"/>
          <w:sz w:val="11"/>
          <w:szCs w:val="11"/>
          <w:color w:val="auto"/>
        </w:rPr>
        <w:t>(d) Exhibits.</w:t>
      </w:r>
    </w:p>
    <w:p>
      <w:pPr>
        <w:sectPr>
          <w:pgSz w:w="11900" w:h="16838" w:orient="portrait"/>
          <w:cols w:equalWidth="0" w:num="1">
            <w:col w:w="11460"/>
          </w:cols>
          <w:pgMar w:left="220" w:top="541" w:right="219" w:bottom="1440" w:gutter="0" w:footer="0" w:header="0"/>
          <w:type w:val="continuous"/>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Exhibit No.</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w:t>
      </w:r>
    </w:p>
    <w:p>
      <w:pPr>
        <w:spacing w:after="0" w:line="69" w:lineRule="exact"/>
        <w:rPr>
          <w:sz w:val="20"/>
          <w:szCs w:val="20"/>
          <w:color w:val="auto"/>
        </w:rPr>
      </w:pPr>
    </w:p>
    <w:p>
      <w:pPr>
        <w:sectPr>
          <w:pgSz w:w="11900" w:h="16838" w:orient="portrait"/>
          <w:cols w:equalWidth="0" w:num="2">
            <w:col w:w="1820" w:space="720"/>
            <w:col w:w="8920"/>
          </w:cols>
          <w:pgMar w:left="220" w:top="541" w:right="21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Annual Report of Wynn Macau, Limited in respect of the year ended December 31, 2016.</w:t>
      </w:r>
    </w:p>
    <w:p>
      <w:pPr>
        <w:sectPr>
          <w:pgSz w:w="11900" w:h="16838" w:orient="portrait"/>
          <w:cols w:equalWidth="0" w:num="2">
            <w:col w:w="1820" w:space="720"/>
            <w:col w:w="8920"/>
          </w:cols>
          <w:pgMar w:left="220" w:top="541" w:right="219" w:bottom="1440" w:gutter="0" w:footer="0" w:header="0"/>
          <w:type w:val="continuous"/>
        </w:sectPr>
      </w:pPr>
    </w:p>
    <w:bookmarkStart w:id="2" w:name="page3"/>
    <w:bookmarkEnd w:id="2"/>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7980" w:type="dxa"/>
            <w:vAlign w:val="bottom"/>
            <w:gridSpan w:val="2"/>
          </w:tcPr>
          <w:p>
            <w:pPr>
              <w:ind w:left="2500"/>
              <w:spacing w:after="0"/>
              <w:rPr>
                <w:sz w:val="20"/>
                <w:szCs w:val="20"/>
                <w:color w:val="auto"/>
              </w:rPr>
            </w:pPr>
            <w:r>
              <w:rPr>
                <w:rFonts w:ascii="Arial" w:cs="Arial" w:eastAsia="Arial" w:hAnsi="Arial"/>
                <w:sz w:val="12"/>
                <w:szCs w:val="12"/>
                <w:b w:val="1"/>
                <w:bCs w:val="1"/>
                <w:color w:val="auto"/>
              </w:rPr>
              <w:t>WYNN RESORTS, LIMITED</w:t>
            </w:r>
          </w:p>
        </w:tc>
      </w:tr>
      <w:tr>
        <w:trPr>
          <w:trHeight w:val="405"/>
        </w:trPr>
        <w:tc>
          <w:tcPr>
            <w:tcW w:w="3480" w:type="dxa"/>
            <w:vAlign w:val="bottom"/>
          </w:tcPr>
          <w:p>
            <w:pPr>
              <w:spacing w:after="0"/>
              <w:rPr>
                <w:sz w:val="20"/>
                <w:szCs w:val="20"/>
                <w:color w:val="auto"/>
              </w:rPr>
            </w:pPr>
            <w:r>
              <w:rPr>
                <w:rFonts w:ascii="Arial" w:cs="Arial" w:eastAsia="Arial" w:hAnsi="Arial"/>
                <w:sz w:val="12"/>
                <w:szCs w:val="12"/>
                <w:color w:val="auto"/>
              </w:rPr>
              <w:t>Date: April 24, 2017</w:t>
            </w:r>
          </w:p>
        </w:tc>
        <w:tc>
          <w:tcPr>
            <w:tcW w:w="3620" w:type="dxa"/>
            <w:vAlign w:val="bottom"/>
          </w:tcPr>
          <w:p>
            <w:pPr>
              <w:ind w:left="2500"/>
              <w:spacing w:after="0"/>
              <w:rPr>
                <w:sz w:val="20"/>
                <w:szCs w:val="20"/>
                <w:color w:val="auto"/>
              </w:rPr>
            </w:pPr>
            <w:r>
              <w:rPr>
                <w:rFonts w:ascii="Arial" w:cs="Arial" w:eastAsia="Arial" w:hAnsi="Arial"/>
                <w:sz w:val="12"/>
                <w:szCs w:val="12"/>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Craig S. Billings</w:t>
            </w:r>
          </w:p>
        </w:tc>
      </w:tr>
      <w:tr>
        <w:trPr>
          <w:trHeight w:val="160"/>
        </w:trPr>
        <w:tc>
          <w:tcPr>
            <w:tcW w:w="3480" w:type="dxa"/>
            <w:vAlign w:val="bottom"/>
          </w:tcPr>
          <w:p>
            <w:pPr>
              <w:spacing w:after="0"/>
              <w:rPr>
                <w:sz w:val="13"/>
                <w:szCs w:val="13"/>
                <w:color w:val="auto"/>
              </w:rPr>
            </w:pPr>
          </w:p>
        </w:tc>
        <w:tc>
          <w:tcPr>
            <w:tcW w:w="3620" w:type="dxa"/>
            <w:vAlign w:val="bottom"/>
          </w:tcPr>
          <w:p>
            <w:pPr>
              <w:ind w:left="2500"/>
              <w:spacing w:after="0"/>
              <w:rPr>
                <w:sz w:val="20"/>
                <w:szCs w:val="20"/>
                <w:color w:val="auto"/>
              </w:rPr>
            </w:pPr>
            <w:r>
              <w:rPr>
                <w:rFonts w:ascii="Arial" w:cs="Arial" w:eastAsia="Arial" w:hAnsi="Arial"/>
                <w:sz w:val="12"/>
                <w:szCs w:val="12"/>
                <w:color w:val="auto"/>
              </w:rPr>
              <w:t>Name:</w:t>
            </w:r>
          </w:p>
        </w:tc>
        <w:tc>
          <w:tcPr>
            <w:tcW w:w="4360" w:type="dxa"/>
            <w:vAlign w:val="bottom"/>
          </w:tcPr>
          <w:p>
            <w:pPr>
              <w:ind w:left="20"/>
              <w:spacing w:after="0"/>
              <w:rPr>
                <w:sz w:val="20"/>
                <w:szCs w:val="20"/>
                <w:color w:val="auto"/>
              </w:rPr>
            </w:pPr>
            <w:r>
              <w:rPr>
                <w:rFonts w:ascii="Arial" w:cs="Arial" w:eastAsia="Arial" w:hAnsi="Arial"/>
                <w:sz w:val="12"/>
                <w:szCs w:val="12"/>
                <w:color w:val="auto"/>
              </w:rPr>
              <w:t>Craig S. Billings</w:t>
            </w:r>
          </w:p>
        </w:tc>
      </w:tr>
      <w:tr>
        <w:trPr>
          <w:trHeight w:val="180"/>
        </w:trPr>
        <w:tc>
          <w:tcPr>
            <w:tcW w:w="3480" w:type="dxa"/>
            <w:vAlign w:val="bottom"/>
          </w:tcPr>
          <w:p>
            <w:pPr>
              <w:spacing w:after="0"/>
              <w:rPr>
                <w:sz w:val="15"/>
                <w:szCs w:val="15"/>
                <w:color w:val="auto"/>
              </w:rPr>
            </w:pPr>
          </w:p>
        </w:tc>
        <w:tc>
          <w:tcPr>
            <w:tcW w:w="3620" w:type="dxa"/>
            <w:vAlign w:val="bottom"/>
          </w:tcPr>
          <w:p>
            <w:pPr>
              <w:ind w:left="2500"/>
              <w:spacing w:after="0"/>
              <w:rPr>
                <w:sz w:val="20"/>
                <w:szCs w:val="20"/>
                <w:color w:val="auto"/>
              </w:rPr>
            </w:pPr>
            <w:r>
              <w:rPr>
                <w:rFonts w:ascii="Arial" w:cs="Arial" w:eastAsia="Arial" w:hAnsi="Arial"/>
                <w:sz w:val="12"/>
                <w:szCs w:val="12"/>
                <w:color w:val="auto"/>
              </w:rPr>
              <w:t>Title:</w:t>
            </w:r>
          </w:p>
        </w:tc>
        <w:tc>
          <w:tcPr>
            <w:tcW w:w="436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r>
      <w:tr>
        <w:trPr>
          <w:trHeight w:val="180"/>
        </w:trPr>
        <w:tc>
          <w:tcPr>
            <w:tcW w:w="34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2"/>
                <w:szCs w:val="12"/>
                <w:color w:val="auto"/>
              </w:rPr>
              <w:t>(Principal Financial and Accounting Officer)</w:t>
            </w:r>
          </w:p>
        </w:tc>
      </w:tr>
    </w:tbl>
    <w:p>
      <w:pPr>
        <w:sectPr>
          <w:pgSz w:w="11900" w:h="16838" w:orient="portrait"/>
          <w:cols w:equalWidth="0" w:num="1">
            <w:col w:w="11460"/>
          </w:cols>
          <w:pgMar w:left="240" w:top="433" w:right="199" w:bottom="1440" w:gutter="0" w:footer="0" w:header="0"/>
        </w:sectPr>
      </w:pPr>
    </w:p>
    <w:bookmarkStart w:id="3" w:name="page4"/>
    <w:bookmarkEnd w:id="3"/>
    <w:p>
      <w:pPr>
        <w:ind w:left="5240"/>
        <w:spacing w:after="0"/>
        <w:rPr>
          <w:sz w:val="20"/>
          <w:szCs w:val="20"/>
          <w:color w:val="auto"/>
        </w:rPr>
      </w:pPr>
      <w:r>
        <w:rPr>
          <w:rFonts w:ascii="Arial" w:cs="Arial" w:eastAsia="Arial" w:hAnsi="Arial"/>
          <w:sz w:val="12"/>
          <w:szCs w:val="12"/>
          <w:b w:val="1"/>
          <w:bCs w:val="1"/>
          <w:color w:val="auto"/>
        </w:rPr>
        <w:t>EXHIBIT INDEX</w:t>
      </w:r>
    </w:p>
    <w:p>
      <w:pPr>
        <w:sectPr>
          <w:pgSz w:w="11900" w:h="16838" w:orient="portrait"/>
          <w:cols w:equalWidth="0" w:num="1">
            <w:col w:w="10219"/>
          </w:cols>
          <w:pgMar w:left="240" w:top="433" w:right="1440"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No.</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w:t>
      </w:r>
    </w:p>
    <w:p>
      <w:pPr>
        <w:spacing w:after="0" w:line="69" w:lineRule="exact"/>
        <w:rPr>
          <w:sz w:val="20"/>
          <w:szCs w:val="20"/>
          <w:color w:val="auto"/>
        </w:rPr>
      </w:pPr>
    </w:p>
    <w:p>
      <w:pPr>
        <w:sectPr>
          <w:pgSz w:w="11900" w:h="16838" w:orient="portrait"/>
          <w:cols w:equalWidth="0" w:num="2">
            <w:col w:w="1800" w:space="720"/>
            <w:col w:w="7699"/>
          </w:cols>
          <w:pgMar w:left="240" w:top="433" w:right="1440" w:bottom="1440" w:gutter="0" w:footer="0" w:header="0"/>
          <w:type w:val="continuous"/>
        </w:sectPr>
      </w:pPr>
    </w:p>
    <w:p>
      <w:pPr>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Annual Report of Wynn Macau, Limited in respect of the year ended December 31, 2016.</w:t>
      </w:r>
    </w:p>
    <w:p>
      <w:pPr>
        <w:sectPr>
          <w:pgSz w:w="11900" w:h="16838" w:orient="portrait"/>
          <w:cols w:equalWidth="0" w:num="2">
            <w:col w:w="1800" w:space="720"/>
            <w:col w:w="7699"/>
          </w:cols>
          <w:pgMar w:left="240" w:top="433"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6502400</wp:posOffset>
            </wp:positionV>
            <wp:extent cx="724471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6497320</wp:posOffset>
            </wp:positionV>
            <wp:extent cx="724471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6497320</wp:posOffset>
            </wp:positionV>
            <wp:extent cx="724471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2019-12-06T17:49:22Z</dcterms:created>
  <dcterms:modified xsi:type="dcterms:W3CDTF">2019-12-06T17:49:22Z</dcterms:modified>
</cp:coreProperties>
</file>