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withholding obligation upon the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cancellation of previously granted restricted stock in accordance with the terms of the reporting person's restricted stock grant agreement.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2023-03-10T18:18:36Z</dcterms:created>
  <dcterms:modified xsi:type="dcterms:W3CDTF">2023-03-10T18:18:36Z</dcterms:modified>
</cp:coreProperties>
</file>