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UNITED STATES</w:t>
      </w:r>
    </w:p>
    <w:p>
      <w:pPr>
        <w:spacing w:after="0" w:line="18"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SECURITIES AND EXCHANGE COMMISISON</w:t>
      </w:r>
    </w:p>
    <w:p>
      <w:pPr>
        <w:spacing w:after="0" w:line="10"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ind w:left="5042"/>
        <w:spacing w:after="0"/>
        <w:rPr>
          <w:sz w:val="20"/>
          <w:szCs w:val="20"/>
          <w:color w:val="auto"/>
        </w:rPr>
      </w:pPr>
      <w:r>
        <w:rPr>
          <w:rFonts w:ascii="Arial" w:cs="Arial" w:eastAsia="Arial" w:hAnsi="Arial"/>
          <w:sz w:val="16"/>
          <w:szCs w:val="16"/>
          <w:b w:val="1"/>
          <w:bCs w:val="1"/>
          <w:color w:val="auto"/>
        </w:rPr>
        <w:t>__________________</w:t>
      </w:r>
    </w:p>
    <w:p>
      <w:pPr>
        <w:spacing w:after="0" w:line="196"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FORM 8-K</w:t>
      </w:r>
    </w:p>
    <w:p>
      <w:pPr>
        <w:spacing w:after="0" w:line="18" w:lineRule="exact"/>
        <w:rPr>
          <w:sz w:val="24"/>
          <w:szCs w:val="24"/>
          <w:color w:val="auto"/>
        </w:rPr>
      </w:pPr>
    </w:p>
    <w:p>
      <w:pPr>
        <w:ind w:left="5042"/>
        <w:spacing w:after="0"/>
        <w:rPr>
          <w:sz w:val="20"/>
          <w:szCs w:val="20"/>
          <w:color w:val="auto"/>
        </w:rPr>
      </w:pPr>
      <w:r>
        <w:rPr>
          <w:rFonts w:ascii="Arial" w:cs="Arial" w:eastAsia="Arial" w:hAnsi="Arial"/>
          <w:sz w:val="16"/>
          <w:szCs w:val="16"/>
          <w:b w:val="1"/>
          <w:bCs w:val="1"/>
          <w:color w:val="auto"/>
        </w:rPr>
        <w:t>__________________</w:t>
      </w:r>
    </w:p>
    <w:p>
      <w:pPr>
        <w:spacing w:after="0" w:line="196"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CURRENT REPORT</w:t>
      </w:r>
    </w:p>
    <w:p>
      <w:pPr>
        <w:spacing w:after="0" w:line="204"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PURSUANT TO SECTION 13 OR 15(d) OF THE</w:t>
      </w:r>
    </w:p>
    <w:p>
      <w:pPr>
        <w:spacing w:after="0" w:line="18"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SECURITIES EXCHANGE ACT OF 1934</w:t>
      </w:r>
    </w:p>
    <w:p>
      <w:pPr>
        <w:spacing w:after="0" w:line="196" w:lineRule="exact"/>
        <w:rPr>
          <w:sz w:val="24"/>
          <w:szCs w:val="24"/>
          <w:color w:val="auto"/>
        </w:rPr>
      </w:pPr>
    </w:p>
    <w:p>
      <w:pPr>
        <w:jc w:val="center"/>
        <w:ind w:right="-1001"/>
        <w:spacing w:after="0"/>
        <w:rPr>
          <w:sz w:val="20"/>
          <w:szCs w:val="20"/>
          <w:color w:val="auto"/>
        </w:rPr>
      </w:pPr>
      <w:r>
        <w:rPr>
          <w:rFonts w:ascii="Arial" w:cs="Arial" w:eastAsia="Arial" w:hAnsi="Arial"/>
          <w:sz w:val="14"/>
          <w:szCs w:val="14"/>
          <w:b w:val="1"/>
          <w:bCs w:val="1"/>
          <w:color w:val="auto"/>
        </w:rPr>
        <w:t>Date of Report (Date of earliest event reported): June 30, 2006</w:t>
      </w:r>
    </w:p>
    <w:p>
      <w:pPr>
        <w:spacing w:after="0" w:line="41" w:lineRule="exact"/>
        <w:rPr>
          <w:sz w:val="24"/>
          <w:szCs w:val="24"/>
          <w:color w:val="auto"/>
        </w:rPr>
      </w:pPr>
    </w:p>
    <w:p>
      <w:pPr>
        <w:ind w:left="5042"/>
        <w:spacing w:after="0"/>
        <w:rPr>
          <w:sz w:val="20"/>
          <w:szCs w:val="20"/>
          <w:color w:val="auto"/>
        </w:rPr>
      </w:pPr>
      <w:r>
        <w:rPr>
          <w:rFonts w:ascii="Arial" w:cs="Arial" w:eastAsia="Arial" w:hAnsi="Arial"/>
          <w:sz w:val="16"/>
          <w:szCs w:val="16"/>
          <w:b w:val="1"/>
          <w:bCs w:val="1"/>
          <w:color w:val="auto"/>
        </w:rPr>
        <w:t>__________________</w:t>
      </w:r>
    </w:p>
    <w:p>
      <w:pPr>
        <w:spacing w:after="0" w:line="196"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Wynn Resorts, Limited</w:t>
      </w:r>
    </w:p>
    <w:p>
      <w:pPr>
        <w:spacing w:after="0" w:line="18" w:lineRule="exact"/>
        <w:rPr>
          <w:sz w:val="24"/>
          <w:szCs w:val="24"/>
          <w:color w:val="auto"/>
        </w:rPr>
      </w:pPr>
    </w:p>
    <w:p>
      <w:pPr>
        <w:jc w:val="center"/>
        <w:ind w:right="-1001"/>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0482"/>
          </w:cols>
          <w:pgMar w:left="218" w:top="1440" w:right="1199" w:bottom="1440" w:gutter="0" w:footer="0" w:header="0"/>
        </w:sectPr>
      </w:pPr>
    </w:p>
    <w:p>
      <w:pPr>
        <w:spacing w:after="0" w:line="396" w:lineRule="exact"/>
        <w:rPr>
          <w:sz w:val="24"/>
          <w:szCs w:val="24"/>
          <w:color w:val="auto"/>
        </w:rPr>
      </w:pPr>
    </w:p>
    <w:p>
      <w:pPr>
        <w:jc w:val="center"/>
        <w:ind w:right="258"/>
        <w:spacing w:after="0"/>
        <w:rPr>
          <w:sz w:val="20"/>
          <w:szCs w:val="20"/>
          <w:color w:val="auto"/>
        </w:rPr>
      </w:pPr>
      <w:r>
        <w:rPr>
          <w:rFonts w:ascii="Arial" w:cs="Arial" w:eastAsia="Arial" w:hAnsi="Arial"/>
          <w:sz w:val="16"/>
          <w:szCs w:val="16"/>
          <w:color w:val="auto"/>
        </w:rPr>
        <w:t>Nevada</w:t>
      </w:r>
    </w:p>
    <w:p>
      <w:pPr>
        <w:spacing w:after="0" w:line="12" w:lineRule="exact"/>
        <w:rPr>
          <w:sz w:val="24"/>
          <w:szCs w:val="24"/>
          <w:color w:val="auto"/>
        </w:rPr>
      </w:pPr>
    </w:p>
    <w:p>
      <w:pPr>
        <w:jc w:val="center"/>
        <w:ind w:right="258"/>
        <w:spacing w:after="0"/>
        <w:rPr>
          <w:sz w:val="20"/>
          <w:szCs w:val="20"/>
          <w:color w:val="auto"/>
        </w:rPr>
      </w:pPr>
      <w:r>
        <w:rPr>
          <w:rFonts w:ascii="Arial" w:cs="Arial" w:eastAsia="Arial" w:hAnsi="Arial"/>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000-50028</w:t>
      </w:r>
    </w:p>
    <w:p>
      <w:pPr>
        <w:spacing w:after="0" w:line="12" w:lineRule="exact"/>
        <w:rPr>
          <w:sz w:val="24"/>
          <w:szCs w:val="24"/>
          <w:color w:val="auto"/>
        </w:rPr>
      </w:pPr>
    </w:p>
    <w:p>
      <w:pPr>
        <w:jc w:val="center"/>
        <w:ind w:right="12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46-0484987</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(IRS Employer Identification No.)</w:t>
      </w:r>
    </w:p>
    <w:p>
      <w:pPr>
        <w:spacing w:after="0" w:line="33" w:lineRule="exact"/>
        <w:rPr>
          <w:sz w:val="24"/>
          <w:szCs w:val="24"/>
          <w:color w:val="auto"/>
        </w:rPr>
      </w:pPr>
    </w:p>
    <w:p>
      <w:pPr>
        <w:sectPr>
          <w:pgSz w:w="11900" w:h="16838" w:orient="portrait"/>
          <w:cols w:equalWidth="0" w:num="3">
            <w:col w:w="3922" w:space="720"/>
            <w:col w:w="2980" w:space="720"/>
            <w:col w:w="2140"/>
          </w:cols>
          <w:pgMar w:left="218" w:top="1440" w:right="1199" w:bottom="1440" w:gutter="0" w:footer="0" w:header="0"/>
          <w:type w:val="continuous"/>
        </w:sectPr>
      </w:pPr>
    </w:p>
    <w:p>
      <w:pPr>
        <w:ind w:left="1302"/>
        <w:spacing w:after="0"/>
        <w:rPr>
          <w:sz w:val="20"/>
          <w:szCs w:val="20"/>
          <w:color w:val="auto"/>
        </w:rPr>
      </w:pPr>
      <w:r>
        <w:rPr>
          <w:rFonts w:ascii="Arial" w:cs="Arial" w:eastAsia="Arial" w:hAnsi="Arial"/>
          <w:sz w:val="16"/>
          <w:szCs w:val="16"/>
          <w:color w:val="auto"/>
        </w:rPr>
        <w:t>of incorporation)</w:t>
      </w:r>
    </w:p>
    <w:p>
      <w:pPr>
        <w:spacing w:after="0" w:line="390" w:lineRule="exact"/>
        <w:rPr>
          <w:sz w:val="24"/>
          <w:szCs w:val="24"/>
          <w:color w:val="auto"/>
        </w:rPr>
      </w:pPr>
    </w:p>
    <w:p>
      <w:pPr>
        <w:jc w:val="center"/>
        <w:ind w:right="-981"/>
        <w:spacing w:after="0"/>
        <w:rPr>
          <w:sz w:val="20"/>
          <w:szCs w:val="20"/>
          <w:color w:val="auto"/>
        </w:rPr>
      </w:pPr>
      <w:r>
        <w:rPr>
          <w:rFonts w:ascii="Arial" w:cs="Arial" w:eastAsia="Arial" w:hAnsi="Arial"/>
          <w:sz w:val="16"/>
          <w:szCs w:val="16"/>
          <w:b w:val="1"/>
          <w:bCs w:val="1"/>
          <w:color w:val="auto"/>
        </w:rPr>
        <w:t>Wynn Las Vegas, LLC</w:t>
      </w:r>
    </w:p>
    <w:p>
      <w:pPr>
        <w:spacing w:after="0" w:line="18" w:lineRule="exact"/>
        <w:rPr>
          <w:sz w:val="24"/>
          <w:szCs w:val="24"/>
          <w:color w:val="auto"/>
        </w:rPr>
      </w:pPr>
    </w:p>
    <w:p>
      <w:pPr>
        <w:jc w:val="center"/>
        <w:ind w:right="-981"/>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0482"/>
          </w:cols>
          <w:pgMar w:left="218" w:top="1440" w:right="1199" w:bottom="1440" w:gutter="0" w:footer="0" w:header="0"/>
          <w:type w:val="continuous"/>
        </w:sectPr>
      </w:pPr>
    </w:p>
    <w:p>
      <w:pPr>
        <w:spacing w:after="0" w:line="236" w:lineRule="exact"/>
        <w:rPr>
          <w:sz w:val="24"/>
          <w:szCs w:val="24"/>
          <w:color w:val="auto"/>
        </w:rPr>
      </w:pPr>
    </w:p>
    <w:p>
      <w:pPr>
        <w:jc w:val="center"/>
        <w:ind w:right="178"/>
        <w:spacing w:after="0"/>
        <w:rPr>
          <w:sz w:val="20"/>
          <w:szCs w:val="20"/>
          <w:color w:val="auto"/>
        </w:rPr>
      </w:pPr>
      <w:r>
        <w:rPr>
          <w:rFonts w:ascii="Arial" w:cs="Arial" w:eastAsia="Arial" w:hAnsi="Arial"/>
          <w:sz w:val="16"/>
          <w:szCs w:val="16"/>
          <w:color w:val="auto"/>
        </w:rPr>
        <w:t>Nevada</w:t>
      </w:r>
    </w:p>
    <w:p>
      <w:pPr>
        <w:spacing w:after="0" w:line="12" w:lineRule="exact"/>
        <w:rPr>
          <w:sz w:val="24"/>
          <w:szCs w:val="24"/>
          <w:color w:val="auto"/>
        </w:rPr>
      </w:pPr>
    </w:p>
    <w:p>
      <w:pPr>
        <w:jc w:val="center"/>
        <w:ind w:right="178"/>
        <w:spacing w:after="0"/>
        <w:rPr>
          <w:sz w:val="20"/>
          <w:szCs w:val="20"/>
          <w:color w:val="auto"/>
        </w:rPr>
      </w:pPr>
      <w:r>
        <w:rPr>
          <w:rFonts w:ascii="Arial" w:cs="Arial" w:eastAsia="Arial" w:hAnsi="Arial"/>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333-98369</w:t>
      </w:r>
    </w:p>
    <w:p>
      <w:pPr>
        <w:spacing w:after="0" w:line="12"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88-0494878</w:t>
      </w:r>
    </w:p>
    <w:p>
      <w:pPr>
        <w:spacing w:after="0" w:line="12" w:lineRule="exact"/>
        <w:rPr>
          <w:sz w:val="24"/>
          <w:szCs w:val="24"/>
          <w:color w:val="auto"/>
        </w:rPr>
      </w:pPr>
    </w:p>
    <w:p>
      <w:pPr>
        <w:jc w:val="center"/>
        <w:ind w:right="160"/>
        <w:spacing w:after="0"/>
        <w:rPr>
          <w:sz w:val="20"/>
          <w:szCs w:val="20"/>
          <w:color w:val="auto"/>
        </w:rPr>
      </w:pPr>
      <w:r>
        <w:rPr>
          <w:rFonts w:ascii="Arial" w:cs="Arial" w:eastAsia="Arial" w:hAnsi="Arial"/>
          <w:sz w:val="14"/>
          <w:szCs w:val="14"/>
          <w:color w:val="auto"/>
        </w:rPr>
        <w:t>(IRS Employer Identification No.)</w:t>
      </w:r>
    </w:p>
    <w:p>
      <w:pPr>
        <w:spacing w:after="0" w:line="33" w:lineRule="exact"/>
        <w:rPr>
          <w:sz w:val="24"/>
          <w:szCs w:val="24"/>
          <w:color w:val="auto"/>
        </w:rPr>
      </w:pPr>
    </w:p>
    <w:p>
      <w:pPr>
        <w:sectPr>
          <w:pgSz w:w="11900" w:h="16838" w:orient="portrait"/>
          <w:cols w:equalWidth="0" w:num="3">
            <w:col w:w="3702" w:space="720"/>
            <w:col w:w="3040" w:space="720"/>
            <w:col w:w="2300"/>
          </w:cols>
          <w:pgMar w:left="218" w:top="1440" w:right="1199" w:bottom="1440" w:gutter="0" w:footer="0" w:header="0"/>
          <w:type w:val="continuous"/>
        </w:sectPr>
      </w:pPr>
    </w:p>
    <w:p>
      <w:pPr>
        <w:ind w:left="1242"/>
        <w:spacing w:after="0"/>
        <w:rPr>
          <w:sz w:val="20"/>
          <w:szCs w:val="20"/>
          <w:color w:val="auto"/>
        </w:rPr>
      </w:pPr>
      <w:r>
        <w:rPr>
          <w:rFonts w:ascii="Arial" w:cs="Arial" w:eastAsia="Arial" w:hAnsi="Arial"/>
          <w:sz w:val="14"/>
          <w:szCs w:val="14"/>
          <w:color w:val="auto"/>
        </w:rPr>
        <w:t>of incorporation)</w:t>
      </w:r>
    </w:p>
    <w:p>
      <w:pPr>
        <w:sectPr>
          <w:pgSz w:w="11900" w:h="16838" w:orient="portrait"/>
          <w:cols w:equalWidth="0" w:num="1">
            <w:col w:w="10482"/>
          </w:cols>
          <w:pgMar w:left="218" w:top="1440" w:right="1199" w:bottom="1440" w:gutter="0" w:footer="0" w:header="0"/>
          <w:type w:val="continuous"/>
        </w:sectPr>
      </w:pPr>
    </w:p>
    <w:p>
      <w:pPr>
        <w:spacing w:after="0" w:line="205" w:lineRule="exact"/>
        <w:rPr>
          <w:sz w:val="24"/>
          <w:szCs w:val="24"/>
          <w:color w:val="auto"/>
        </w:rPr>
      </w:pPr>
    </w:p>
    <w:p>
      <w:pPr>
        <w:jc w:val="center"/>
        <w:ind w:right="2078"/>
        <w:spacing w:after="0"/>
        <w:rPr>
          <w:sz w:val="20"/>
          <w:szCs w:val="20"/>
          <w:color w:val="auto"/>
        </w:rPr>
      </w:pPr>
      <w:r>
        <w:rPr>
          <w:rFonts w:ascii="Arial" w:cs="Arial" w:eastAsia="Arial" w:hAnsi="Arial"/>
          <w:sz w:val="14"/>
          <w:szCs w:val="14"/>
          <w:color w:val="auto"/>
        </w:rPr>
        <w:t>3131 Las Vegas Boulevard South, Las Vegas, Nevada</w:t>
      </w:r>
    </w:p>
    <w:p>
      <w:pPr>
        <w:spacing w:after="0" w:line="35" w:lineRule="exact"/>
        <w:rPr>
          <w:sz w:val="24"/>
          <w:szCs w:val="24"/>
          <w:color w:val="auto"/>
        </w:rPr>
      </w:pPr>
    </w:p>
    <w:p>
      <w:pPr>
        <w:jc w:val="center"/>
        <w:ind w:right="2078"/>
        <w:spacing w:after="0"/>
        <w:rPr>
          <w:sz w:val="20"/>
          <w:szCs w:val="20"/>
          <w:color w:val="auto"/>
        </w:rPr>
      </w:pPr>
      <w:r>
        <w:rPr>
          <w:rFonts w:ascii="Arial" w:cs="Arial" w:eastAsia="Arial" w:hAnsi="Arial"/>
          <w:sz w:val="14"/>
          <w:szCs w:val="14"/>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89109</w:t>
      </w:r>
    </w:p>
    <w:p>
      <w:pPr>
        <w:spacing w:after="0" w:line="12" w:lineRule="exact"/>
        <w:rPr>
          <w:sz w:val="24"/>
          <w:szCs w:val="24"/>
          <w:color w:val="auto"/>
        </w:rPr>
      </w:pPr>
    </w:p>
    <w:p>
      <w:pPr>
        <w:jc w:val="center"/>
        <w:ind w:right="1780"/>
        <w:spacing w:after="0"/>
        <w:rPr>
          <w:sz w:val="20"/>
          <w:szCs w:val="20"/>
          <w:color w:val="auto"/>
        </w:rPr>
      </w:pPr>
      <w:r>
        <w:rPr>
          <w:rFonts w:ascii="Arial" w:cs="Arial" w:eastAsia="Arial" w:hAnsi="Arial"/>
          <w:sz w:val="14"/>
          <w:szCs w:val="14"/>
          <w:color w:val="auto"/>
        </w:rPr>
        <w:t>(zip code)</w:t>
      </w:r>
    </w:p>
    <w:p>
      <w:pPr>
        <w:spacing w:after="0" w:line="205" w:lineRule="exact"/>
        <w:rPr>
          <w:sz w:val="24"/>
          <w:szCs w:val="24"/>
          <w:color w:val="auto"/>
        </w:rPr>
      </w:pPr>
    </w:p>
    <w:p>
      <w:pPr>
        <w:sectPr>
          <w:pgSz w:w="11900" w:h="16838" w:orient="portrait"/>
          <w:cols w:equalWidth="0" w:num="2">
            <w:col w:w="7362" w:space="720"/>
            <w:col w:w="2400"/>
          </w:cols>
          <w:pgMar w:left="218" w:top="1440" w:right="1199" w:bottom="1440" w:gutter="0" w:footer="0" w:header="0"/>
          <w:type w:val="continuous"/>
        </w:sectPr>
      </w:pPr>
    </w:p>
    <w:p>
      <w:pPr>
        <w:ind w:left="4822"/>
        <w:spacing w:after="0"/>
        <w:rPr>
          <w:sz w:val="20"/>
          <w:szCs w:val="20"/>
          <w:color w:val="auto"/>
        </w:rPr>
      </w:pPr>
      <w:r>
        <w:rPr>
          <w:rFonts w:ascii="Arial" w:cs="Arial" w:eastAsia="Arial" w:hAnsi="Arial"/>
          <w:sz w:val="16"/>
          <w:szCs w:val="16"/>
          <w:color w:val="auto"/>
        </w:rPr>
        <w:t>(702) 770-7555</w:t>
      </w:r>
    </w:p>
    <w:p>
      <w:pPr>
        <w:spacing w:after="0" w:line="3" w:lineRule="exact"/>
        <w:rPr>
          <w:sz w:val="24"/>
          <w:szCs w:val="24"/>
          <w:color w:val="auto"/>
        </w:rPr>
      </w:pPr>
    </w:p>
    <w:p>
      <w:pPr>
        <w:ind w:left="2942"/>
        <w:spacing w:after="0"/>
        <w:rPr>
          <w:sz w:val="20"/>
          <w:szCs w:val="20"/>
          <w:color w:val="auto"/>
        </w:rPr>
      </w:pPr>
      <w:r>
        <w:rPr>
          <w:rFonts w:ascii="Arial" w:cs="Arial" w:eastAsia="Arial" w:hAnsi="Arial"/>
          <w:sz w:val="14"/>
          <w:szCs w:val="14"/>
          <w:color w:val="auto"/>
        </w:rPr>
        <w:t>(Each registrant’s telephone number including area code)</w:t>
      </w:r>
    </w:p>
    <w:p>
      <w:pPr>
        <w:sectPr>
          <w:pgSz w:w="11900" w:h="16838" w:orient="portrait"/>
          <w:cols w:equalWidth="0" w:num="1">
            <w:col w:w="10482"/>
          </w:cols>
          <w:pgMar w:left="218" w:top="1440" w:right="1199" w:bottom="1440" w:gutter="0" w:footer="0" w:header="0"/>
          <w:type w:val="continuous"/>
        </w:sectPr>
      </w:pPr>
    </w:p>
    <w:p>
      <w:pPr>
        <w:spacing w:after="0" w:line="399" w:lineRule="exact"/>
        <w:rPr>
          <w:sz w:val="24"/>
          <w:szCs w:val="24"/>
          <w:color w:val="auto"/>
        </w:rPr>
      </w:pPr>
    </w:p>
    <w:p>
      <w:pPr>
        <w:ind w:left="2"/>
        <w:spacing w:after="0"/>
        <w:rPr>
          <w:sz w:val="20"/>
          <w:szCs w:val="20"/>
          <w:color w:val="auto"/>
        </w:rPr>
      </w:pPr>
      <w:r>
        <w:rPr>
          <w:rFonts w:ascii="Arial" w:cs="Arial" w:eastAsia="Arial" w:hAnsi="Arial"/>
          <w:sz w:val="14"/>
          <w:szCs w:val="14"/>
          <w:color w:val="auto"/>
        </w:rPr>
        <w:t>Check the appropriate box below if the Form 8-K is intended to simultaneously satisfy the filing obligation of the registrant under any of the following provisions:</w:t>
      </w:r>
    </w:p>
    <w:p>
      <w:pPr>
        <w:spacing w:after="0" w:line="227" w:lineRule="exact"/>
        <w:rPr>
          <w:sz w:val="24"/>
          <w:szCs w:val="24"/>
          <w:color w:val="auto"/>
        </w:rPr>
      </w:pPr>
    </w:p>
    <w:p>
      <w:pPr>
        <w:ind w:left="122" w:hanging="122"/>
        <w:spacing w:after="0"/>
        <w:tabs>
          <w:tab w:leader="none" w:pos="12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12" w:lineRule="exact"/>
        <w:rPr>
          <w:rFonts w:ascii="Arial" w:cs="Arial" w:eastAsia="Arial" w:hAnsi="Arial"/>
          <w:sz w:val="16"/>
          <w:szCs w:val="16"/>
          <w:color w:val="auto"/>
        </w:rPr>
      </w:pPr>
    </w:p>
    <w:p>
      <w:pPr>
        <w:ind w:left="142" w:hanging="142"/>
        <w:spacing w:after="0"/>
        <w:tabs>
          <w:tab w:leader="none" w:pos="142"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6"/>
          <w:szCs w:val="16"/>
          <w:color w:val="auto"/>
        </w:rPr>
      </w:pPr>
    </w:p>
    <w:p>
      <w:pPr>
        <w:ind w:left="142" w:hanging="142"/>
        <w:spacing w:after="0"/>
        <w:tabs>
          <w:tab w:leader="none" w:pos="14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6"/>
          <w:szCs w:val="16"/>
          <w:color w:val="auto"/>
        </w:rPr>
      </w:pPr>
    </w:p>
    <w:p>
      <w:pPr>
        <w:ind w:left="142" w:hanging="142"/>
        <w:spacing w:after="0"/>
        <w:tabs>
          <w:tab w:leader="none" w:pos="14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9170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19050"/>
                    </a:xfrm>
                    <a:prstGeom prst="rect">
                      <a:avLst/>
                    </a:prstGeom>
                    <a:noFill/>
                  </pic:spPr>
                </pic:pic>
              </a:graphicData>
            </a:graphic>
          </wp:anchor>
        </w:drawing>
      </w:r>
    </w:p>
    <w:p>
      <w:pPr>
        <w:sectPr>
          <w:pgSz w:w="11900" w:h="16838" w:orient="portrait"/>
          <w:cols w:equalWidth="0" w:num="1">
            <w:col w:w="10482"/>
          </w:cols>
          <w:pgMar w:left="218" w:top="1440" w:right="1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w:t>
      </w:r>
      <w:r>
        <w:rPr>
          <w:rFonts w:ascii="Arial" w:cs="Arial" w:eastAsia="Arial" w:hAnsi="Arial"/>
          <w:sz w:val="16"/>
          <w:szCs w:val="16"/>
          <w:color w:val="auto"/>
        </w:rPr>
        <w:t>. Entry into a Material Definitive Agreement.</w:t>
      </w:r>
    </w:p>
    <w:p>
      <w:pPr>
        <w:spacing w:after="0" w:line="210"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On June 30, 2006, Wynn Las Vegas, LLC, a wholly owned subsidiary of Wynn Resorts, Limited, entered into a Fourth Amendment to Credit Agreement (the “Credit Agreement Amendment”) with Wynn Golf, LLC, Wynn Sunrise, LLC, World Travel, LLC, Las Vegas Jet, LLC, Wynn Show Performers, LLC, Wynn Las Vegas Capital Corp., Kevyn, LLC, Wynn Resorts Holdings, LLC, Wynn Completion Guarantor, LLC and Deutsche Bank Trust Company Americas, as administrative agent under the Credit Agreement, dated as of December 14, 2004, among Wynn Las Vegas, LLC, Deutsche Bank Securities Inc., Deutsche Bank Trust Company Americas, Banc of America Securities LLC, Bank of America, N.A., Bear, Stearns &amp; Co. Inc., Bear Stearns Corporate Lending Inc., J.P. Morgan Securities Inc., JPMorgan Chase Bank, N.A., SG Americas Securities, LLC, Societe Generale and the several banks and financial institutions or entities from time to time parties thereto (the “Credit Agreement”).</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Credit Agreement Amendment, entered into anticipation of a contemplated refinancing of Wynn Las Vegas, LLC’s current senior facilities: (i) clarifies the Credit Agreement’s definition of “Consolidated Total Debt”; and (ii) changes the Consolidated Interest Coverage Ratio (as defined in the Credit Agreement) applicable on Quarterly Dates (as defined in the Credit Agreement) on or prior to September 30, 2007 from 2.25:1 to 2.00:1. The Fourth Amendment to Credit Agreement is filed herewith as Exhibit 10.1 and incorporated herein by reference.</w:t>
      </w:r>
    </w:p>
    <w:p>
      <w:pPr>
        <w:spacing w:after="0" w:line="179"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color w:val="auto"/>
        </w:rPr>
        <w:t>On July 7, 2006, Wynn Las Vegas, LLC engaged Deutsche Bank Trust Company Americas, Deutsche Bank Securities Inc., Bank of America, N.A. and Banc of America Securities LLC in connection with the proposed refinancing of its senior facilities.</w:t>
      </w:r>
    </w:p>
    <w:p>
      <w:pPr>
        <w:spacing w:after="0" w:line="169"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lenders and agents under the Credit Agreement and certain of their affiliates have performed investment banking, commercial lending and advisory services for the Registrants and their affiliates, from time to time, for which they have received customary fees and expenses. These parties may, from time to time, engage in transactions with, and perform services for, the Registrants and their affiliates in the ordinary course of their business.</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Deutsche Bank AG, Hong Kong Branch, an affiliate of Deutsche Bank Securities Inc., and Societe Generale Asia Limited, an affiliate of SG Americas Securities, LLC, acted as global coordinating lead arrangers under a $397 million definitive credit agreement executed on September 14, 2004 by one of the Registrants’ affiliates to partially finance the Registrants’ Wynn Macau project.</w:t>
      </w:r>
    </w:p>
    <w:p>
      <w:pPr>
        <w:spacing w:after="0" w:line="176"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This current report on Form 8-K contains “forward-looking statements” within the meaning of the Federal securities laws. These forward-looking statements are subject to risks and uncertainties that could cause actual results and outcomes to differ from those expressed in or implied by the statements herein.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9.01 </w:t>
      </w:r>
      <w:r>
        <w:rPr>
          <w:rFonts w:ascii="Arial" w:cs="Arial" w:eastAsia="Arial" w:hAnsi="Arial"/>
          <w:sz w:val="16"/>
          <w:szCs w:val="16"/>
          <w:color w:val="auto"/>
        </w:rPr>
        <w:t>Financial Statements and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(d) Exhibits:</w:t>
            </w:r>
          </w:p>
        </w:tc>
        <w:tc>
          <w:tcPr>
            <w:tcW w:w="10300" w:type="dxa"/>
            <w:vAlign w:val="bottom"/>
          </w:tcPr>
          <w:p>
            <w:pPr>
              <w:spacing w:after="0"/>
              <w:rPr>
                <w:sz w:val="17"/>
                <w:szCs w:val="17"/>
                <w:color w:val="auto"/>
              </w:rPr>
            </w:pPr>
          </w:p>
        </w:tc>
      </w:tr>
      <w:tr>
        <w:trPr>
          <w:trHeight w:val="389"/>
        </w:trPr>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3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Description</w:t>
            </w:r>
          </w:p>
        </w:tc>
      </w:tr>
      <w:tr>
        <w:trPr>
          <w:trHeight w:val="180"/>
        </w:trPr>
        <w:tc>
          <w:tcPr>
            <w:tcW w:w="1180" w:type="dxa"/>
            <w:vAlign w:val="bottom"/>
          </w:tcPr>
          <w:p>
            <w:pPr>
              <w:spacing w:after="0" w:line="180" w:lineRule="exact"/>
              <w:rPr>
                <w:sz w:val="20"/>
                <w:szCs w:val="20"/>
                <w:color w:val="auto"/>
              </w:rPr>
            </w:pPr>
            <w:r>
              <w:rPr>
                <w:rFonts w:ascii="Arial" w:cs="Arial" w:eastAsia="Arial" w:hAnsi="Arial"/>
                <w:sz w:val="16"/>
                <w:szCs w:val="16"/>
                <w:color w:val="auto"/>
              </w:rPr>
              <w:t>10.1</w:t>
            </w:r>
          </w:p>
        </w:tc>
        <w:tc>
          <w:tcPr>
            <w:tcW w:w="10300" w:type="dxa"/>
            <w:vAlign w:val="bottom"/>
          </w:tcPr>
          <w:p>
            <w:pPr>
              <w:ind w:left="400"/>
              <w:spacing w:after="0" w:line="180" w:lineRule="exact"/>
              <w:rPr>
                <w:sz w:val="20"/>
                <w:szCs w:val="20"/>
                <w:color w:val="auto"/>
              </w:rPr>
            </w:pPr>
            <w:r>
              <w:rPr>
                <w:rFonts w:ascii="Arial" w:cs="Arial" w:eastAsia="Arial" w:hAnsi="Arial"/>
                <w:sz w:val="16"/>
                <w:szCs w:val="16"/>
                <w:color w:val="auto"/>
                <w:w w:val="90"/>
              </w:rPr>
              <w:t>Fourth Amendment to Credit Agreement, dated June 30, 2006 among Wynn Las Vegas, LLC, Wynn Golf, LLC, Wynn Sunrise, LLC, World Travel, LLC, Las</w:t>
            </w:r>
          </w:p>
        </w:tc>
      </w:tr>
      <w:tr>
        <w:trPr>
          <w:trHeight w:val="194"/>
        </w:trPr>
        <w:tc>
          <w:tcPr>
            <w:tcW w:w="1180" w:type="dxa"/>
            <w:vAlign w:val="bottom"/>
          </w:tcPr>
          <w:p>
            <w:pPr>
              <w:spacing w:after="0"/>
              <w:rPr>
                <w:sz w:val="16"/>
                <w:szCs w:val="16"/>
                <w:color w:val="auto"/>
              </w:rPr>
            </w:pPr>
          </w:p>
        </w:tc>
        <w:tc>
          <w:tcPr>
            <w:tcW w:w="10300" w:type="dxa"/>
            <w:vAlign w:val="bottom"/>
          </w:tcPr>
          <w:p>
            <w:pPr>
              <w:ind w:left="400"/>
              <w:spacing w:after="0"/>
              <w:rPr>
                <w:sz w:val="20"/>
                <w:szCs w:val="20"/>
                <w:color w:val="auto"/>
              </w:rPr>
            </w:pPr>
            <w:r>
              <w:rPr>
                <w:rFonts w:ascii="Arial" w:cs="Arial" w:eastAsia="Arial" w:hAnsi="Arial"/>
                <w:sz w:val="16"/>
                <w:szCs w:val="16"/>
                <w:color w:val="auto"/>
                <w:w w:val="91"/>
              </w:rPr>
              <w:t>Vegas Jet, LLC, Wynn Show Performers, LLC, Wynn Las Vegas Capital Corp., Kevyn, LLC, Wynn Resorts Holdings, LLC, Wynn Completion Guarantor,</w:t>
            </w:r>
          </w:p>
        </w:tc>
      </w:tr>
      <w:tr>
        <w:trPr>
          <w:trHeight w:val="196"/>
        </w:trPr>
        <w:tc>
          <w:tcPr>
            <w:tcW w:w="1180" w:type="dxa"/>
            <w:vAlign w:val="bottom"/>
          </w:tcPr>
          <w:p>
            <w:pPr>
              <w:spacing w:after="0"/>
              <w:rPr>
                <w:sz w:val="17"/>
                <w:szCs w:val="17"/>
                <w:color w:val="auto"/>
              </w:rPr>
            </w:pPr>
          </w:p>
        </w:tc>
        <w:tc>
          <w:tcPr>
            <w:tcW w:w="10300" w:type="dxa"/>
            <w:vAlign w:val="bottom"/>
          </w:tcPr>
          <w:p>
            <w:pPr>
              <w:ind w:left="400"/>
              <w:spacing w:after="0"/>
              <w:rPr>
                <w:sz w:val="20"/>
                <w:szCs w:val="20"/>
                <w:color w:val="auto"/>
              </w:rPr>
            </w:pPr>
            <w:r>
              <w:rPr>
                <w:rFonts w:ascii="Arial" w:cs="Arial" w:eastAsia="Arial" w:hAnsi="Arial"/>
                <w:sz w:val="16"/>
                <w:szCs w:val="16"/>
                <w:color w:val="auto"/>
              </w:rPr>
              <w:t>LLC and Deutsche Bank Trust Company Americas.</w:t>
            </w:r>
          </w:p>
        </w:tc>
      </w:tr>
      <w:tr>
        <w:trPr>
          <w:trHeight w:val="473"/>
        </w:trPr>
        <w:tc>
          <w:tcPr>
            <w:tcW w:w="118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517" w:right="19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6"/>
          <w:szCs w:val="16"/>
          <w:color w:val="auto"/>
        </w:rPr>
        <w:t>SIGNATURES</w:t>
      </w:r>
    </w:p>
    <w:p>
      <w:pPr>
        <w:spacing w:after="0" w:line="204" w:lineRule="exact"/>
        <w:rPr>
          <w:sz w:val="20"/>
          <w:szCs w:val="20"/>
          <w:color w:val="auto"/>
        </w:rPr>
      </w:pPr>
    </w:p>
    <w:p>
      <w:pPr>
        <w:ind w:firstLine="465"/>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 July 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WYNN RESORTS, LIMITED</w:t>
      </w:r>
    </w:p>
    <w:p>
      <w:pPr>
        <w:spacing w:after="0" w:line="185" w:lineRule="exact"/>
        <w:rPr>
          <w:sz w:val="20"/>
          <w:szCs w:val="20"/>
          <w:color w:val="auto"/>
        </w:rPr>
      </w:pPr>
    </w:p>
    <w:p>
      <w:pPr>
        <w:ind w:left="7140"/>
        <w:spacing w:after="0"/>
        <w:tabs>
          <w:tab w:leader="none" w:pos="7520" w:val="left"/>
        </w:tabs>
        <w:rPr>
          <w:sz w:val="20"/>
          <w:szCs w:val="20"/>
          <w:color w:val="auto"/>
        </w:rPr>
      </w:pPr>
      <w:r>
        <w:rPr>
          <w:rFonts w:ascii="Arial" w:cs="Arial" w:eastAsia="Arial" w:hAnsi="Arial"/>
          <w:sz w:val="16"/>
          <w:szCs w:val="16"/>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9525</wp:posOffset>
            </wp:positionV>
            <wp:extent cx="24999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9995" cy="6350"/>
                    </a:xfrm>
                    <a:prstGeom prst="rect">
                      <a:avLst/>
                    </a:prstGeom>
                    <a:noFill/>
                  </pic:spPr>
                </pic:pic>
              </a:graphicData>
            </a:graphic>
          </wp:anchor>
        </w:drawing>
      </w:r>
    </w:p>
    <w:p>
      <w:pPr>
        <w:ind w:left="7540"/>
        <w:spacing w:after="0"/>
        <w:rPr>
          <w:sz w:val="20"/>
          <w:szCs w:val="20"/>
          <w:color w:val="auto"/>
        </w:rPr>
      </w:pPr>
      <w:r>
        <w:rPr>
          <w:rFonts w:ascii="Arial" w:cs="Arial" w:eastAsia="Arial" w:hAnsi="Arial"/>
          <w:sz w:val="16"/>
          <w:szCs w:val="16"/>
          <w:color w:val="auto"/>
        </w:rPr>
        <w:t>John Strzemp</w:t>
      </w:r>
    </w:p>
    <w:p>
      <w:pPr>
        <w:spacing w:after="0" w:line="12"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729170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1705" cy="19050"/>
                    </a:xfrm>
                    <a:prstGeom prst="rect">
                      <a:avLst/>
                    </a:prstGeom>
                    <a:noFill/>
                  </pic:spPr>
                </pic:pic>
              </a:graphicData>
            </a:graphic>
          </wp:anchor>
        </w:drawing>
      </w:r>
    </w:p>
    <w:p>
      <w:pPr>
        <w:sectPr>
          <w:pgSz w:w="11900" w:h="16838" w:orient="portrait"/>
          <w:cols w:equalWidth="0" w:num="1">
            <w:col w:w="11060"/>
          </w:cols>
          <w:pgMar w:left="220" w:top="329" w:right="6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color w:val="auto"/>
        </w:rPr>
        <w:t>SIGNATURES</w:t>
      </w:r>
    </w:p>
    <w:p>
      <w:pPr>
        <w:spacing w:after="0" w:line="204" w:lineRule="exact"/>
        <w:rPr>
          <w:sz w:val="20"/>
          <w:szCs w:val="20"/>
          <w:color w:val="auto"/>
        </w:rPr>
      </w:pPr>
    </w:p>
    <w:p>
      <w:pPr>
        <w:ind w:right="420" w:firstLine="465"/>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 July 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WYNN LAS VEGAS, LLC</w:t>
      </w:r>
    </w:p>
    <w:p>
      <w:pPr>
        <w:spacing w:after="0" w:line="185" w:lineRule="exact"/>
        <w:rPr>
          <w:sz w:val="20"/>
          <w:szCs w:val="20"/>
          <w:color w:val="auto"/>
        </w:rPr>
      </w:pPr>
    </w:p>
    <w:tbl>
      <w:tblPr>
        <w:tblLayout w:type="fixed"/>
        <w:tblInd w:w="7120" w:type="dxa"/>
        <w:tblCellMar>
          <w:top w:w="0" w:type="dxa"/>
          <w:left w:w="0" w:type="dxa"/>
          <w:bottom w:w="0" w:type="dxa"/>
          <w:right w:w="0" w:type="dxa"/>
        </w:tblCellMar>
      </w:tblPr>
      <w:tr>
        <w:trPr>
          <w:trHeight w:val="19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800" w:type="dxa"/>
            <w:vAlign w:val="bottom"/>
          </w:tcPr>
          <w:p>
            <w:pPr>
              <w:spacing w:after="0"/>
              <w:rPr>
                <w:sz w:val="20"/>
                <w:szCs w:val="20"/>
                <w:color w:val="auto"/>
              </w:rPr>
            </w:pPr>
            <w:r>
              <w:rPr>
                <w:rFonts w:ascii="Arial" w:cs="Arial" w:eastAsia="Arial" w:hAnsi="Arial"/>
                <w:sz w:val="16"/>
                <w:szCs w:val="16"/>
                <w:color w:val="auto"/>
              </w:rPr>
              <w:t>Wynn Resorts Holdings, LLC,</w:t>
            </w:r>
          </w:p>
        </w:tc>
      </w:tr>
      <w:tr>
        <w:trPr>
          <w:trHeight w:val="196"/>
        </w:trPr>
        <w:tc>
          <w:tcPr>
            <w:tcW w:w="56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its sole member</w:t>
            </w:r>
          </w:p>
        </w:tc>
      </w:tr>
      <w:tr>
        <w:trPr>
          <w:trHeight w:val="366"/>
        </w:trPr>
        <w:tc>
          <w:tcPr>
            <w:tcW w:w="560" w:type="dxa"/>
            <w:vAlign w:val="bottom"/>
          </w:tcPr>
          <w:p>
            <w:pPr>
              <w:ind w:left="180"/>
              <w:spacing w:after="0"/>
              <w:rPr>
                <w:sz w:val="20"/>
                <w:szCs w:val="20"/>
                <w:color w:val="auto"/>
              </w:rPr>
            </w:pPr>
            <w:r>
              <w:rPr>
                <w:rFonts w:ascii="Arial" w:cs="Arial" w:eastAsia="Arial" w:hAnsi="Arial"/>
                <w:sz w:val="16"/>
                <w:szCs w:val="16"/>
                <w:color w:val="auto"/>
              </w:rPr>
              <w:t>By:</w:t>
            </w:r>
          </w:p>
        </w:tc>
        <w:tc>
          <w:tcPr>
            <w:tcW w:w="3800" w:type="dxa"/>
            <w:vAlign w:val="bottom"/>
          </w:tcPr>
          <w:p>
            <w:pPr>
              <w:spacing w:after="0"/>
              <w:rPr>
                <w:sz w:val="20"/>
                <w:szCs w:val="20"/>
                <w:color w:val="auto"/>
              </w:rPr>
            </w:pPr>
            <w:r>
              <w:rPr>
                <w:rFonts w:ascii="Arial" w:cs="Arial" w:eastAsia="Arial" w:hAnsi="Arial"/>
                <w:sz w:val="16"/>
                <w:szCs w:val="16"/>
                <w:color w:val="auto"/>
              </w:rPr>
              <w:t>Wynn Resorts, Limited,</w:t>
            </w:r>
          </w:p>
        </w:tc>
      </w:tr>
      <w:tr>
        <w:trPr>
          <w:trHeight w:val="196"/>
        </w:trPr>
        <w:tc>
          <w:tcPr>
            <w:tcW w:w="56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its sole member</w:t>
            </w:r>
          </w:p>
        </w:tc>
      </w:tr>
      <w:tr>
        <w:trPr>
          <w:trHeight w:val="54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Strzemp</w:t>
            </w:r>
          </w:p>
        </w:tc>
      </w:tr>
      <w:tr>
        <w:trPr>
          <w:trHeight w:val="180"/>
        </w:trPr>
        <w:tc>
          <w:tcPr>
            <w:tcW w:w="560" w:type="dxa"/>
            <w:vAlign w:val="bottom"/>
          </w:tcPr>
          <w:p>
            <w:pPr>
              <w:spacing w:after="0"/>
              <w:rPr>
                <w:sz w:val="15"/>
                <w:szCs w:val="15"/>
                <w:color w:val="auto"/>
              </w:rPr>
            </w:pPr>
          </w:p>
        </w:tc>
        <w:tc>
          <w:tcPr>
            <w:tcW w:w="3800" w:type="dxa"/>
            <w:vAlign w:val="bottom"/>
          </w:tcPr>
          <w:p>
            <w:pPr>
              <w:spacing w:after="0" w:line="180" w:lineRule="exact"/>
              <w:rPr>
                <w:sz w:val="20"/>
                <w:szCs w:val="20"/>
                <w:color w:val="auto"/>
              </w:rPr>
            </w:pPr>
            <w:r>
              <w:rPr>
                <w:rFonts w:ascii="Arial" w:cs="Arial" w:eastAsia="Arial" w:hAnsi="Arial"/>
                <w:sz w:val="16"/>
                <w:szCs w:val="16"/>
                <w:color w:val="auto"/>
              </w:rPr>
              <w:t>John Strzemp</w:t>
            </w:r>
          </w:p>
        </w:tc>
      </w:tr>
      <w:tr>
        <w:trPr>
          <w:trHeight w:val="196"/>
        </w:trPr>
        <w:tc>
          <w:tcPr>
            <w:tcW w:w="56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80"/>
          </w:cols>
          <w:pgMar w:left="220" w:top="329"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Exhibit</w:t>
      </w:r>
    </w:p>
    <w:p>
      <w:pPr>
        <w:spacing w:after="0" w:line="4" w:lineRule="exact"/>
        <w:rPr>
          <w:sz w:val="20"/>
          <w:szCs w:val="20"/>
          <w:color w:val="auto"/>
        </w:rPr>
      </w:pPr>
    </w:p>
    <w:p>
      <w:pPr>
        <w:ind w:left="11202"/>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310"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FOURTH AMENDMENT TO</w:t>
      </w:r>
    </w:p>
    <w:p>
      <w:pPr>
        <w:spacing w:after="0" w:line="208"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CREDIT AGREEMENT</w:t>
      </w:r>
    </w:p>
    <w:p>
      <w:pPr>
        <w:spacing w:after="0" w:line="212" w:lineRule="exact"/>
        <w:rPr>
          <w:sz w:val="20"/>
          <w:szCs w:val="20"/>
          <w:color w:val="auto"/>
        </w:rPr>
      </w:pPr>
    </w:p>
    <w:p>
      <w:pPr>
        <w:jc w:val="both"/>
        <w:ind w:left="2" w:right="80" w:firstLine="465"/>
        <w:spacing w:after="0" w:line="274" w:lineRule="auto"/>
        <w:rPr>
          <w:sz w:val="20"/>
          <w:szCs w:val="20"/>
          <w:color w:val="auto"/>
        </w:rPr>
      </w:pPr>
      <w:r>
        <w:rPr>
          <w:rFonts w:ascii="Arial" w:cs="Arial" w:eastAsia="Arial" w:hAnsi="Arial"/>
          <w:sz w:val="14"/>
          <w:szCs w:val="14"/>
          <w:color w:val="auto"/>
        </w:rPr>
        <w:t>THIS FOURTH AMENDMENT TO CREDIT AGREEMENT (this “</w:t>
      </w:r>
      <w:r>
        <w:rPr>
          <w:rFonts w:ascii="Arial" w:cs="Arial" w:eastAsia="Arial" w:hAnsi="Arial"/>
          <w:sz w:val="14"/>
          <w:szCs w:val="14"/>
          <w:u w:val="single" w:color="auto"/>
          <w:color w:val="auto"/>
        </w:rPr>
        <w:t>Fourth Amendment</w:t>
      </w:r>
      <w:r>
        <w:rPr>
          <w:rFonts w:ascii="Arial" w:cs="Arial" w:eastAsia="Arial" w:hAnsi="Arial"/>
          <w:sz w:val="14"/>
          <w:szCs w:val="14"/>
          <w:color w:val="auto"/>
        </w:rPr>
        <w:t>”), dated as of June 30, 2006, is made and entered into among WYNN LAS VEGAS, LLC, a Nevada limited liability company (the “</w:t>
      </w:r>
      <w:r>
        <w:rPr>
          <w:rFonts w:ascii="Arial" w:cs="Arial" w:eastAsia="Arial" w:hAnsi="Arial"/>
          <w:sz w:val="14"/>
          <w:szCs w:val="14"/>
          <w:u w:val="single" w:color="auto"/>
          <w:color w:val="auto"/>
        </w:rPr>
        <w:t>Borrower</w:t>
      </w:r>
      <w:r>
        <w:rPr>
          <w:rFonts w:ascii="Arial" w:cs="Arial" w:eastAsia="Arial" w:hAnsi="Arial"/>
          <w:sz w:val="14"/>
          <w:szCs w:val="14"/>
          <w:color w:val="auto"/>
        </w:rPr>
        <w:t>”), the Wynn Amendment Parties (as hereinafter defined) and DEUTSCHE BANK TRUST COMPANY AMERICAS, as Administrative Agent (in such capacity,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on behalf of the Lenders (as hereinafter defined).</w:t>
      </w:r>
    </w:p>
    <w:p>
      <w:pPr>
        <w:spacing w:after="0" w:line="160"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RECITALS</w:t>
      </w:r>
    </w:p>
    <w:p>
      <w:pPr>
        <w:spacing w:after="0" w:line="206" w:lineRule="exact"/>
        <w:rPr>
          <w:sz w:val="20"/>
          <w:szCs w:val="20"/>
          <w:color w:val="auto"/>
        </w:rPr>
      </w:pPr>
    </w:p>
    <w:p>
      <w:pPr>
        <w:jc w:val="both"/>
        <w:ind w:left="2" w:right="80" w:firstLine="465"/>
        <w:spacing w:after="0" w:line="292" w:lineRule="auto"/>
        <w:rPr>
          <w:sz w:val="20"/>
          <w:szCs w:val="20"/>
          <w:color w:val="auto"/>
        </w:rPr>
      </w:pPr>
      <w:r>
        <w:rPr>
          <w:rFonts w:ascii="Arial" w:cs="Arial" w:eastAsia="Arial" w:hAnsi="Arial"/>
          <w:sz w:val="13"/>
          <w:szCs w:val="13"/>
          <w:color w:val="auto"/>
        </w:rPr>
        <w:t>A. The Borrower and the Administrative Agent are parties to that certain Credit Agreement dated as of December 14, 2004 (as amended, modified or supplemented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and the several banks and other financial institutions or entities from time to time parties thereto (the “</w:t>
      </w:r>
      <w:r>
        <w:rPr>
          <w:rFonts w:ascii="Arial" w:cs="Arial" w:eastAsia="Arial" w:hAnsi="Arial"/>
          <w:sz w:val="13"/>
          <w:szCs w:val="13"/>
          <w:u w:val="single" w:color="auto"/>
          <w:color w:val="auto"/>
        </w:rPr>
        <w:t>Lenders</w:t>
      </w:r>
      <w:r>
        <w:rPr>
          <w:rFonts w:ascii="Arial" w:cs="Arial" w:eastAsia="Arial" w:hAnsi="Arial"/>
          <w:sz w:val="13"/>
          <w:szCs w:val="13"/>
          <w:color w:val="auto"/>
        </w:rPr>
        <w:t>”).</w:t>
      </w:r>
    </w:p>
    <w:p>
      <w:pPr>
        <w:spacing w:after="0" w:line="157" w:lineRule="exact"/>
        <w:rPr>
          <w:sz w:val="20"/>
          <w:szCs w:val="20"/>
          <w:color w:val="auto"/>
        </w:rPr>
      </w:pPr>
    </w:p>
    <w:p>
      <w:pPr>
        <w:jc w:val="both"/>
        <w:ind w:left="2" w:right="80" w:firstLine="465"/>
        <w:spacing w:after="0" w:line="267" w:lineRule="auto"/>
        <w:rPr>
          <w:sz w:val="20"/>
          <w:szCs w:val="20"/>
          <w:color w:val="auto"/>
        </w:rPr>
      </w:pPr>
      <w:r>
        <w:rPr>
          <w:rFonts w:ascii="Arial" w:cs="Arial" w:eastAsia="Arial" w:hAnsi="Arial"/>
          <w:sz w:val="14"/>
          <w:szCs w:val="14"/>
          <w:color w:val="auto"/>
        </w:rPr>
        <w:t>B. In connection with the Credit Agreement, each of Wynn Las Vegas Capital Corp., a Nevada corporation (“</w:t>
      </w:r>
      <w:r>
        <w:rPr>
          <w:rFonts w:ascii="Arial" w:cs="Arial" w:eastAsia="Arial" w:hAnsi="Arial"/>
          <w:sz w:val="14"/>
          <w:szCs w:val="14"/>
          <w:u w:val="single" w:color="auto"/>
          <w:color w:val="auto"/>
        </w:rPr>
        <w:t>Capital Corp.</w:t>
      </w:r>
      <w:r>
        <w:rPr>
          <w:rFonts w:ascii="Arial" w:cs="Arial" w:eastAsia="Arial" w:hAnsi="Arial"/>
          <w:sz w:val="14"/>
          <w:szCs w:val="14"/>
          <w:color w:val="auto"/>
        </w:rPr>
        <w:t>”), Wynn Show Performers, LLC, a Nevada limited liability company (“</w:t>
      </w:r>
      <w:r>
        <w:rPr>
          <w:rFonts w:ascii="Arial" w:cs="Arial" w:eastAsia="Arial" w:hAnsi="Arial"/>
          <w:sz w:val="14"/>
          <w:szCs w:val="14"/>
          <w:u w:val="single" w:color="auto"/>
          <w:color w:val="auto"/>
        </w:rPr>
        <w:t>Show Performers</w:t>
      </w:r>
      <w:r>
        <w:rPr>
          <w:rFonts w:ascii="Arial" w:cs="Arial" w:eastAsia="Arial" w:hAnsi="Arial"/>
          <w:sz w:val="14"/>
          <w:szCs w:val="14"/>
          <w:color w:val="auto"/>
        </w:rPr>
        <w:t>”), Wynn Golf, LLC, a Nevada limited liability company (“</w:t>
      </w:r>
      <w:r>
        <w:rPr>
          <w:rFonts w:ascii="Arial" w:cs="Arial" w:eastAsia="Arial" w:hAnsi="Arial"/>
          <w:sz w:val="14"/>
          <w:szCs w:val="14"/>
          <w:u w:val="single" w:color="auto"/>
          <w:color w:val="auto"/>
        </w:rPr>
        <w:t>Wynn Golf</w:t>
      </w:r>
      <w:r>
        <w:rPr>
          <w:rFonts w:ascii="Arial" w:cs="Arial" w:eastAsia="Arial" w:hAnsi="Arial"/>
          <w:sz w:val="14"/>
          <w:szCs w:val="14"/>
          <w:color w:val="auto"/>
        </w:rPr>
        <w:t>”), Wynn Sunrise, LLC, a Nevada limited liability company (“</w:t>
      </w:r>
      <w:r>
        <w:rPr>
          <w:rFonts w:ascii="Arial" w:cs="Arial" w:eastAsia="Arial" w:hAnsi="Arial"/>
          <w:sz w:val="14"/>
          <w:szCs w:val="14"/>
          <w:u w:val="single" w:color="auto"/>
          <w:color w:val="auto"/>
        </w:rPr>
        <w:t>Wynn Sunrise</w:t>
      </w:r>
      <w:r>
        <w:rPr>
          <w:rFonts w:ascii="Arial" w:cs="Arial" w:eastAsia="Arial" w:hAnsi="Arial"/>
          <w:sz w:val="14"/>
          <w:szCs w:val="14"/>
          <w:color w:val="auto"/>
        </w:rPr>
        <w:t>”), World Travel, LLC, a Nevada limited liability company (“</w:t>
      </w:r>
      <w:r>
        <w:rPr>
          <w:rFonts w:ascii="Arial" w:cs="Arial" w:eastAsia="Arial" w:hAnsi="Arial"/>
          <w:sz w:val="14"/>
          <w:szCs w:val="14"/>
          <w:u w:val="single" w:color="auto"/>
          <w:color w:val="auto"/>
        </w:rPr>
        <w:t>World Travel</w:t>
      </w:r>
      <w:r>
        <w:rPr>
          <w:rFonts w:ascii="Arial" w:cs="Arial" w:eastAsia="Arial" w:hAnsi="Arial"/>
          <w:sz w:val="14"/>
          <w:szCs w:val="14"/>
          <w:color w:val="auto"/>
        </w:rPr>
        <w:t>”), Kevyn, LLC, a Nevada limited liability company (“</w:t>
      </w:r>
      <w:r>
        <w:rPr>
          <w:rFonts w:ascii="Arial" w:cs="Arial" w:eastAsia="Arial" w:hAnsi="Arial"/>
          <w:sz w:val="14"/>
          <w:szCs w:val="14"/>
          <w:u w:val="single" w:color="auto"/>
          <w:color w:val="auto"/>
        </w:rPr>
        <w:t>Kevyn</w:t>
      </w:r>
      <w:r>
        <w:rPr>
          <w:rFonts w:ascii="Arial" w:cs="Arial" w:eastAsia="Arial" w:hAnsi="Arial"/>
          <w:sz w:val="14"/>
          <w:szCs w:val="14"/>
          <w:color w:val="auto"/>
        </w:rPr>
        <w:t>”), and Las Vegas Jet, LLC, a Nevada limited liability company (“</w:t>
      </w:r>
      <w:r>
        <w:rPr>
          <w:rFonts w:ascii="Arial" w:cs="Arial" w:eastAsia="Arial" w:hAnsi="Arial"/>
          <w:sz w:val="14"/>
          <w:szCs w:val="14"/>
          <w:u w:val="single" w:color="auto"/>
          <w:color w:val="auto"/>
        </w:rPr>
        <w:t>Las Vegas Jet</w:t>
      </w:r>
      <w:r>
        <w:rPr>
          <w:rFonts w:ascii="Arial" w:cs="Arial" w:eastAsia="Arial" w:hAnsi="Arial"/>
          <w:sz w:val="14"/>
          <w:szCs w:val="14"/>
          <w:color w:val="auto"/>
        </w:rPr>
        <w:t>” and together with Capital Corp., Show Performers, Wynn Golf, Wynn Sunrise, World Travel, Kevyn, Wynn Resorts Holdings, LLC, a Nevada limited liability company, and Wynn Completion Guarantor, LLC, a Nevada limited liability company, the “</w:t>
      </w:r>
      <w:r>
        <w:rPr>
          <w:rFonts w:ascii="Arial" w:cs="Arial" w:eastAsia="Arial" w:hAnsi="Arial"/>
          <w:sz w:val="14"/>
          <w:szCs w:val="14"/>
          <w:u w:val="single" w:color="auto"/>
          <w:color w:val="auto"/>
        </w:rPr>
        <w:t>Wynn Amendment Parties</w:t>
      </w:r>
      <w:r>
        <w:rPr>
          <w:rFonts w:ascii="Arial" w:cs="Arial" w:eastAsia="Arial" w:hAnsi="Arial"/>
          <w:sz w:val="14"/>
          <w:szCs w:val="14"/>
          <w:color w:val="auto"/>
        </w:rPr>
        <w:t>”), have executed certain Loan Documents.</w:t>
      </w:r>
    </w:p>
    <w:p>
      <w:pPr>
        <w:spacing w:after="0" w:line="171" w:lineRule="exact"/>
        <w:rPr>
          <w:sz w:val="20"/>
          <w:szCs w:val="20"/>
          <w:color w:val="auto"/>
        </w:rPr>
      </w:pPr>
    </w:p>
    <w:p>
      <w:pPr>
        <w:ind w:left="462"/>
        <w:spacing w:after="0"/>
        <w:rPr>
          <w:sz w:val="20"/>
          <w:szCs w:val="20"/>
          <w:color w:val="auto"/>
        </w:rPr>
      </w:pPr>
      <w:r>
        <w:rPr>
          <w:rFonts w:ascii="Arial" w:cs="Arial" w:eastAsia="Arial" w:hAnsi="Arial"/>
          <w:sz w:val="13"/>
          <w:szCs w:val="13"/>
          <w:color w:val="auto"/>
        </w:rPr>
        <w:t>C. The Borrower has requested that the Lenders agree, subject to the conditions and on the terms set forth in this Fourth Amendment, to amend certain provisions of the Credit Agreement.</w:t>
      </w:r>
    </w:p>
    <w:p>
      <w:pPr>
        <w:spacing w:after="0" w:line="219" w:lineRule="exact"/>
        <w:rPr>
          <w:sz w:val="20"/>
          <w:szCs w:val="20"/>
          <w:color w:val="auto"/>
        </w:rPr>
      </w:pPr>
    </w:p>
    <w:p>
      <w:pPr>
        <w:ind w:left="462"/>
        <w:spacing w:after="0"/>
        <w:rPr>
          <w:sz w:val="20"/>
          <w:szCs w:val="20"/>
          <w:color w:val="auto"/>
        </w:rPr>
      </w:pPr>
      <w:r>
        <w:rPr>
          <w:rFonts w:ascii="Arial" w:cs="Arial" w:eastAsia="Arial" w:hAnsi="Arial"/>
          <w:sz w:val="14"/>
          <w:szCs w:val="14"/>
          <w:color w:val="auto"/>
        </w:rPr>
        <w:t>D. The Lenders are willing to agree to such amendments, subject to the conditions and on the terms set forth below.</w:t>
      </w:r>
    </w:p>
    <w:p>
      <w:pPr>
        <w:spacing w:after="0" w:line="202" w:lineRule="exact"/>
        <w:rPr>
          <w:sz w:val="20"/>
          <w:szCs w:val="20"/>
          <w:color w:val="auto"/>
        </w:rPr>
      </w:pPr>
    </w:p>
    <w:p>
      <w:pPr>
        <w:jc w:val="both"/>
        <w:ind w:left="2" w:right="80" w:firstLine="465"/>
        <w:spacing w:after="0" w:line="271" w:lineRule="auto"/>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Borrower, the Administrative Agent on behalf of the Lenders and the Wynn Amendment Parties agree as follows:</w:t>
      </w:r>
    </w:p>
    <w:p>
      <w:pPr>
        <w:spacing w:after="0" w:line="173" w:lineRule="exact"/>
        <w:rPr>
          <w:sz w:val="20"/>
          <w:szCs w:val="20"/>
          <w:color w:val="auto"/>
        </w:rPr>
      </w:pPr>
    </w:p>
    <w:p>
      <w:pPr>
        <w:ind w:left="642" w:hanging="177"/>
        <w:spacing w:after="0"/>
        <w:tabs>
          <w:tab w:leader="none" w:pos="642"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208" w:lineRule="exact"/>
        <w:rPr>
          <w:sz w:val="20"/>
          <w:szCs w:val="20"/>
          <w:color w:val="auto"/>
        </w:rPr>
      </w:pPr>
    </w:p>
    <w:p>
      <w:pPr>
        <w:ind w:left="2" w:right="60" w:firstLine="491"/>
        <w:spacing w:after="0" w:line="289" w:lineRule="auto"/>
        <w:rPr>
          <w:sz w:val="20"/>
          <w:szCs w:val="20"/>
          <w:color w:val="auto"/>
        </w:rPr>
      </w:pPr>
      <w:r>
        <w:rPr>
          <w:rFonts w:ascii="Arial" w:cs="Arial" w:eastAsia="Arial" w:hAnsi="Arial"/>
          <w:sz w:val="14"/>
          <w:szCs w:val="14"/>
          <w:color w:val="auto"/>
        </w:rPr>
        <w:t>Except as otherwise expressly provided herein, capitalized terms used in this Fourth Amendment shall have the meanings given in the Credit Agreement, and the rules of interpretation set forth in the Credit Agreement shall apply to this Fourth Amendment.</w:t>
      </w:r>
    </w:p>
    <w:p>
      <w:pPr>
        <w:spacing w:after="0" w:line="155" w:lineRule="exact"/>
        <w:rPr>
          <w:sz w:val="20"/>
          <w:szCs w:val="20"/>
          <w:color w:val="auto"/>
        </w:rPr>
      </w:pPr>
    </w:p>
    <w:p>
      <w:pPr>
        <w:ind w:left="642" w:hanging="177"/>
        <w:spacing w:after="0"/>
        <w:tabs>
          <w:tab w:leader="none" w:pos="642" w:val="left"/>
        </w:tabs>
        <w:numPr>
          <w:ilvl w:val="1"/>
          <w:numId w:val="3"/>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w:t>
      </w:r>
    </w:p>
    <w:p>
      <w:pPr>
        <w:spacing w:after="0" w:line="207" w:lineRule="exact"/>
        <w:rPr>
          <w:rFonts w:ascii="Arial" w:cs="Arial" w:eastAsia="Arial" w:hAnsi="Arial"/>
          <w:sz w:val="14"/>
          <w:szCs w:val="14"/>
          <w:color w:val="auto"/>
        </w:rPr>
      </w:pPr>
    </w:p>
    <w:p>
      <w:pPr>
        <w:ind w:left="182" w:hanging="182"/>
        <w:spacing w:after="0"/>
        <w:tabs>
          <w:tab w:leader="none" w:pos="18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definition of “Consolidated Total Debt” is deleted from Section 1.1 of the Credit Agreement and replaced with the following:</w:t>
      </w:r>
    </w:p>
    <w:p>
      <w:pPr>
        <w:spacing w:after="0" w:line="208" w:lineRule="exact"/>
        <w:rPr>
          <w:sz w:val="20"/>
          <w:szCs w:val="20"/>
          <w:color w:val="auto"/>
        </w:rPr>
      </w:pPr>
    </w:p>
    <w:p>
      <w:pPr>
        <w:ind w:left="922" w:right="1000"/>
        <w:spacing w:after="0" w:line="37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Total Debt</w:t>
      </w:r>
      <w:r>
        <w:rPr>
          <w:rFonts w:ascii="Arial" w:cs="Arial" w:eastAsia="Arial" w:hAnsi="Arial"/>
          <w:sz w:val="12"/>
          <w:szCs w:val="12"/>
          <w:color w:val="auto"/>
        </w:rPr>
        <w:t xml:space="preserve">”: at any date, an aggregate amount equal to (a) the aggregate principal amount of all Indebtedness of the Borrower and its Subsidiaries at such date </w:t>
      </w:r>
      <w:r>
        <w:rPr>
          <w:rFonts w:ascii="Arial" w:cs="Arial" w:eastAsia="Arial" w:hAnsi="Arial"/>
          <w:sz w:val="12"/>
          <w:szCs w:val="12"/>
          <w:u w:val="single" w:color="auto"/>
          <w:color w:val="auto"/>
        </w:rPr>
        <w:t>less</w:t>
      </w:r>
      <w:r>
        <w:rPr>
          <w:rFonts w:ascii="Arial" w:cs="Arial" w:eastAsia="Arial" w:hAnsi="Arial"/>
          <w:sz w:val="12"/>
          <w:szCs w:val="12"/>
          <w:color w:val="auto"/>
        </w:rPr>
        <w:t xml:space="preserve"> (b) an amount equal to A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w:t>
      </w:r>
      <w:r>
        <w:rPr>
          <w:rFonts w:ascii="Arial" w:cs="Arial" w:eastAsia="Arial" w:hAnsi="Arial"/>
          <w:sz w:val="12"/>
          <w:szCs w:val="12"/>
          <w:u w:val="single" w:color="auto"/>
          <w:color w:val="auto"/>
        </w:rPr>
        <w:t>less</w:t>
      </w:r>
      <w:r>
        <w:rPr>
          <w:rFonts w:ascii="Arial" w:cs="Arial" w:eastAsia="Arial" w:hAnsi="Arial"/>
          <w:sz w:val="12"/>
          <w:szCs w:val="12"/>
          <w:color w:val="auto"/>
        </w:rPr>
        <w:t xml:space="preserve"> C </w:t>
      </w:r>
      <w:r>
        <w:rPr>
          <w:rFonts w:ascii="Arial" w:cs="Arial" w:eastAsia="Arial" w:hAnsi="Arial"/>
          <w:sz w:val="12"/>
          <w:szCs w:val="12"/>
          <w:u w:val="single" w:color="auto"/>
          <w:color w:val="auto"/>
        </w:rPr>
        <w:t>less</w:t>
      </w:r>
      <w:r>
        <w:rPr>
          <w:rFonts w:ascii="Arial" w:cs="Arial" w:eastAsia="Arial" w:hAnsi="Arial"/>
          <w:sz w:val="12"/>
          <w:szCs w:val="12"/>
          <w:color w:val="auto"/>
        </w:rPr>
        <w:t xml:space="preserve"> D (in each case as defined below), in each case determined on a consolidated basis in accordance with GAAP.</w:t>
      </w:r>
    </w:p>
    <w:p>
      <w:pPr>
        <w:spacing w:after="0" w:line="110" w:lineRule="exact"/>
        <w:rPr>
          <w:sz w:val="20"/>
          <w:szCs w:val="20"/>
          <w:color w:val="auto"/>
        </w:rPr>
      </w:pPr>
    </w:p>
    <w:p>
      <w:pPr>
        <w:ind w:left="922"/>
        <w:spacing w:after="0"/>
        <w:rPr>
          <w:sz w:val="20"/>
          <w:szCs w:val="20"/>
          <w:color w:val="auto"/>
        </w:rPr>
      </w:pPr>
      <w:r>
        <w:rPr>
          <w:rFonts w:ascii="Arial" w:cs="Arial" w:eastAsia="Arial" w:hAnsi="Arial"/>
          <w:sz w:val="14"/>
          <w:szCs w:val="14"/>
          <w:color w:val="auto"/>
        </w:rPr>
        <w:t>For purposes of the definition of Consolidated Total Debt at any date:</w:t>
      </w:r>
    </w:p>
    <w:p>
      <w:pPr>
        <w:spacing w:after="0" w:line="208" w:lineRule="exact"/>
        <w:rPr>
          <w:sz w:val="20"/>
          <w:szCs w:val="20"/>
          <w:color w:val="auto"/>
        </w:rPr>
      </w:pPr>
    </w:p>
    <w:p>
      <w:pPr>
        <w:ind w:left="922" w:right="1000"/>
        <w:spacing w:after="0" w:line="289" w:lineRule="auto"/>
        <w:rPr>
          <w:sz w:val="20"/>
          <w:szCs w:val="20"/>
          <w:color w:val="auto"/>
        </w:rPr>
      </w:pPr>
      <w:r>
        <w:rPr>
          <w:rFonts w:ascii="Arial" w:cs="Arial" w:eastAsia="Arial" w:hAnsi="Arial"/>
          <w:sz w:val="14"/>
          <w:szCs w:val="14"/>
          <w:color w:val="auto"/>
        </w:rPr>
        <w:t>A = the aggregate amount of cash and Cash Equivalents of the Borrower and the other Loan Parties on such date on deposit in an Account with respect to which the Secured Parties have a perfected first priority Lien securing the Obligations pursuant to a Control Agreement,</w:t>
      </w:r>
    </w:p>
    <w:p>
      <w:pPr>
        <w:spacing w:after="0" w:line="149" w:lineRule="exact"/>
        <w:rPr>
          <w:sz w:val="20"/>
          <w:szCs w:val="20"/>
          <w:color w:val="auto"/>
        </w:rPr>
      </w:pPr>
    </w:p>
    <w:p>
      <w:pPr>
        <w:ind w:left="1402"/>
        <w:spacing w:after="0"/>
        <w:rPr>
          <w:sz w:val="20"/>
          <w:szCs w:val="20"/>
          <w:color w:val="auto"/>
        </w:rPr>
      </w:pPr>
      <w:r>
        <w:rPr>
          <w:rFonts w:ascii="Arial" w:cs="Arial" w:eastAsia="Arial" w:hAnsi="Arial"/>
          <w:sz w:val="13"/>
          <w:szCs w:val="13"/>
          <w:color w:val="auto"/>
        </w:rPr>
        <w:t>B = the aggregate amount of cash and Cash Equivalents of the Borrower and the other Loan Parties on such date on deposit in the 2014 Notes Proceeds Account,</w:t>
      </w:r>
    </w:p>
    <w:p>
      <w:pPr>
        <w:spacing w:after="0" w:line="200" w:lineRule="exact"/>
        <w:rPr>
          <w:sz w:val="20"/>
          <w:szCs w:val="20"/>
          <w:color w:val="auto"/>
        </w:rPr>
      </w:pPr>
    </w:p>
    <w:p>
      <w:pPr>
        <w:ind w:left="1402"/>
        <w:spacing w:after="0"/>
        <w:rPr>
          <w:sz w:val="20"/>
          <w:szCs w:val="20"/>
          <w:color w:val="auto"/>
        </w:rPr>
      </w:pPr>
      <w:r>
        <w:rPr>
          <w:rFonts w:ascii="Arial" w:cs="Arial" w:eastAsia="Arial" w:hAnsi="Arial"/>
          <w:sz w:val="13"/>
          <w:szCs w:val="13"/>
          <w:color w:val="auto"/>
        </w:rPr>
        <w:t>C = to the extent included in A above, cage cash related to casino operations in an amount up to $16,000,000 (or from and after the Phase II Opening Date, $20,000,000), and</w:t>
      </w:r>
    </w:p>
    <w:p>
      <w:pPr>
        <w:spacing w:after="0" w:line="200" w:lineRule="exact"/>
        <w:rPr>
          <w:sz w:val="20"/>
          <w:szCs w:val="20"/>
          <w:color w:val="auto"/>
        </w:rPr>
      </w:pPr>
    </w:p>
    <w:p>
      <w:pPr>
        <w:ind w:left="922" w:right="1000" w:firstLine="466"/>
        <w:spacing w:after="0" w:line="271" w:lineRule="auto"/>
        <w:rPr>
          <w:sz w:val="20"/>
          <w:szCs w:val="20"/>
          <w:color w:val="auto"/>
        </w:rPr>
      </w:pPr>
      <w:r>
        <w:rPr>
          <w:rFonts w:ascii="Arial" w:cs="Arial" w:eastAsia="Arial" w:hAnsi="Arial"/>
          <w:sz w:val="13"/>
          <w:szCs w:val="13"/>
          <w:color w:val="auto"/>
        </w:rPr>
        <w:t>D = the aggregate amount of cash and Cash Equivalents of the Borrower and the other Loan Parties on such date on deposit in each of the Completion Guaranty Deposit Account and the Project Liquidity Reserve Account.</w:t>
      </w:r>
    </w:p>
    <w:p>
      <w:pPr>
        <w:spacing w:after="0" w:line="173" w:lineRule="exact"/>
        <w:rPr>
          <w:sz w:val="20"/>
          <w:szCs w:val="20"/>
          <w:color w:val="auto"/>
        </w:rPr>
      </w:pPr>
    </w:p>
    <w:p>
      <w:pPr>
        <w:ind w:left="202" w:hanging="202"/>
        <w:spacing w:after="0"/>
        <w:tabs>
          <w:tab w:leader="none" w:pos="202" w:val="left"/>
        </w:tabs>
        <w:numPr>
          <w:ilvl w:val="0"/>
          <w:numId w:val="5"/>
        </w:numPr>
        <w:rPr>
          <w:rFonts w:ascii="Arial" w:cs="Arial" w:eastAsia="Arial" w:hAnsi="Arial"/>
          <w:sz w:val="14"/>
          <w:szCs w:val="14"/>
          <w:color w:val="auto"/>
        </w:rPr>
      </w:pPr>
      <w:r>
        <w:rPr>
          <w:rFonts w:ascii="Arial" w:cs="Arial" w:eastAsia="Arial" w:hAnsi="Arial"/>
          <w:sz w:val="14"/>
          <w:szCs w:val="14"/>
          <w:color w:val="auto"/>
        </w:rPr>
        <w:t>Section 7.1(d) of the Credit Agreement is amended by deleting the ratio “2.25:1” as used in the table therein and replacing such ratio with the ratio “2.00:1”.</w:t>
      </w:r>
    </w:p>
    <w:p>
      <w:pPr>
        <w:spacing w:after="0" w:line="207" w:lineRule="exact"/>
        <w:rPr>
          <w:rFonts w:ascii="Arial" w:cs="Arial" w:eastAsia="Arial" w:hAnsi="Arial"/>
          <w:sz w:val="14"/>
          <w:szCs w:val="14"/>
          <w:color w:val="auto"/>
        </w:rPr>
      </w:pPr>
    </w:p>
    <w:p>
      <w:pPr>
        <w:ind w:left="642" w:hanging="177"/>
        <w:spacing w:after="0"/>
        <w:tabs>
          <w:tab w:leader="none" w:pos="642" w:val="left"/>
        </w:tabs>
        <w:numPr>
          <w:ilvl w:val="1"/>
          <w:numId w:val="5"/>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208" w:lineRule="exact"/>
        <w:rPr>
          <w:sz w:val="20"/>
          <w:szCs w:val="20"/>
          <w:color w:val="auto"/>
        </w:rPr>
      </w:pPr>
    </w:p>
    <w:p>
      <w:pPr>
        <w:ind w:left="482"/>
        <w:spacing w:after="0"/>
        <w:rPr>
          <w:sz w:val="20"/>
          <w:szCs w:val="20"/>
          <w:color w:val="auto"/>
        </w:rPr>
      </w:pPr>
      <w:r>
        <w:rPr>
          <w:rFonts w:ascii="Arial" w:cs="Arial" w:eastAsia="Arial" w:hAnsi="Arial"/>
          <w:sz w:val="14"/>
          <w:szCs w:val="14"/>
          <w:color w:val="auto"/>
        </w:rPr>
        <w:t>To induce the Lenders to agree to this Fourth Amendment, the Borrower represents to the Administrative Agent and the Lenders that as of the date hereof:</w:t>
      </w:r>
    </w:p>
    <w:p>
      <w:pPr>
        <w:spacing w:after="0" w:line="208" w:lineRule="exact"/>
        <w:rPr>
          <w:sz w:val="20"/>
          <w:szCs w:val="20"/>
          <w:color w:val="auto"/>
        </w:rPr>
      </w:pPr>
    </w:p>
    <w:p>
      <w:pPr>
        <w:ind w:left="2" w:right="180" w:firstLine="463"/>
        <w:spacing w:after="0" w:line="289" w:lineRule="auto"/>
        <w:tabs>
          <w:tab w:leader="none" w:pos="697"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Borrower and each of the Wynn Amendment Parties has all power and authority to enter into this Fourth Amendment, and to carry out the transactions contemplated by, and to perform its obligations under or in respect of, this Fourth Amendment;</w:t>
      </w:r>
    </w:p>
    <w:p>
      <w:pPr>
        <w:spacing w:after="0" w:line="155" w:lineRule="exact"/>
        <w:rPr>
          <w:rFonts w:ascii="Arial" w:cs="Arial" w:eastAsia="Arial" w:hAnsi="Arial"/>
          <w:sz w:val="14"/>
          <w:szCs w:val="14"/>
          <w:color w:val="auto"/>
        </w:rPr>
      </w:pPr>
    </w:p>
    <w:p>
      <w:pPr>
        <w:ind w:left="2" w:right="280" w:firstLine="463"/>
        <w:spacing w:after="0" w:line="289" w:lineRule="auto"/>
        <w:tabs>
          <w:tab w:leader="none" w:pos="705"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execution and delivery of this Fourth Amendment and the performance of the obligations of the Borrower and each of the Wynn Amendment Parties under or in respect of this Fourth Amendment have been duly authorized by all necessary action on the part of the Borrower and each of the Wynn Amendment Parties;</w:t>
      </w:r>
    </w:p>
    <w:p>
      <w:pPr>
        <w:spacing w:after="0" w:line="155" w:lineRule="exact"/>
        <w:rPr>
          <w:rFonts w:ascii="Arial" w:cs="Arial" w:eastAsia="Arial" w:hAnsi="Arial"/>
          <w:sz w:val="14"/>
          <w:szCs w:val="14"/>
          <w:color w:val="auto"/>
        </w:rPr>
      </w:pPr>
    </w:p>
    <w:p>
      <w:pPr>
        <w:jc w:val="both"/>
        <w:ind w:left="2" w:right="260" w:firstLine="463"/>
        <w:spacing w:after="0" w:line="308" w:lineRule="auto"/>
        <w:tabs>
          <w:tab w:leader="none" w:pos="697" w:val="left"/>
        </w:tabs>
        <w:numPr>
          <w:ilvl w:val="1"/>
          <w:numId w:val="6"/>
        </w:numPr>
        <w:rPr>
          <w:rFonts w:ascii="Arial" w:cs="Arial" w:eastAsia="Arial" w:hAnsi="Arial"/>
          <w:sz w:val="12"/>
          <w:szCs w:val="12"/>
          <w:color w:val="auto"/>
        </w:rPr>
      </w:pPr>
      <w:r>
        <w:rPr>
          <w:rFonts w:ascii="Arial" w:cs="Arial" w:eastAsia="Arial" w:hAnsi="Arial"/>
          <w:sz w:val="12"/>
          <w:szCs w:val="12"/>
          <w:color w:val="auto"/>
        </w:rPr>
        <w:t>the execution and delivery of this Fourth Amendment and the performance of the obligations of the Borrower and each of the Wynn Amendment Parties under or in respect of this Fourth Amendment do not and will not conflict with or violate (i) any provision of the articles of incorporation or bylaws (or similar constituent documents) of the Borrower or any Wynn Amendment Party,</w:t>
      </w:r>
    </w:p>
    <w:p>
      <w:pPr>
        <w:spacing w:after="0" w:line="1" w:lineRule="exact"/>
        <w:rPr>
          <w:rFonts w:ascii="Arial" w:cs="Arial" w:eastAsia="Arial" w:hAnsi="Arial"/>
          <w:sz w:val="12"/>
          <w:szCs w:val="12"/>
          <w:color w:val="auto"/>
        </w:rPr>
      </w:pPr>
    </w:p>
    <w:p>
      <w:pPr>
        <w:jc w:val="both"/>
        <w:ind w:left="2" w:right="120" w:hanging="2"/>
        <w:spacing w:after="0" w:line="270" w:lineRule="auto"/>
        <w:tabs>
          <w:tab w:leader="none" w:pos="212"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168" w:lineRule="exact"/>
        <w:rPr>
          <w:rFonts w:ascii="Arial" w:cs="Arial" w:eastAsia="Arial" w:hAnsi="Arial"/>
          <w:sz w:val="14"/>
          <w:szCs w:val="14"/>
          <w:color w:val="auto"/>
        </w:rPr>
      </w:pPr>
    </w:p>
    <w:p>
      <w:pPr>
        <w:ind w:left="2" w:right="80" w:firstLine="463"/>
        <w:spacing w:after="0" w:line="305" w:lineRule="auto"/>
        <w:tabs>
          <w:tab w:leader="none" w:pos="705" w:val="left"/>
        </w:tabs>
        <w:numPr>
          <w:ilvl w:val="1"/>
          <w:numId w:val="7"/>
        </w:numPr>
        <w:rPr>
          <w:rFonts w:ascii="Arial" w:cs="Arial" w:eastAsia="Arial" w:hAnsi="Arial"/>
          <w:sz w:val="13"/>
          <w:szCs w:val="13"/>
          <w:color w:val="auto"/>
        </w:rPr>
      </w:pPr>
      <w:r>
        <w:rPr>
          <w:rFonts w:ascii="Arial" w:cs="Arial" w:eastAsia="Arial" w:hAnsi="Arial"/>
          <w:sz w:val="13"/>
          <w:szCs w:val="13"/>
          <w:color w:val="auto"/>
        </w:rPr>
        <w:t>this Fourth Amendment has been duly executed and delivered by the Borrower and each of the Wynn Amendment Parties, is the legal, valid and binding obligation of the Borrower and each of the Wynn Amendment Parties, enforceable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7" w:lineRule="exact"/>
        <w:rPr>
          <w:rFonts w:ascii="Arial" w:cs="Arial" w:eastAsia="Arial" w:hAnsi="Arial"/>
          <w:sz w:val="13"/>
          <w:szCs w:val="13"/>
          <w:color w:val="auto"/>
        </w:rPr>
      </w:pPr>
    </w:p>
    <w:p>
      <w:pPr>
        <w:ind w:left="2" w:right="480" w:firstLine="463"/>
        <w:spacing w:after="0" w:line="289" w:lineRule="auto"/>
        <w:tabs>
          <w:tab w:leader="none" w:pos="697" w:val="left"/>
        </w:tabs>
        <w:numPr>
          <w:ilvl w:val="1"/>
          <w:numId w:val="7"/>
        </w:numPr>
        <w:rPr>
          <w:rFonts w:ascii="Arial" w:cs="Arial" w:eastAsia="Arial" w:hAnsi="Arial"/>
          <w:sz w:val="14"/>
          <w:szCs w:val="14"/>
          <w:color w:val="auto"/>
        </w:rPr>
      </w:pPr>
      <w:r>
        <w:rPr>
          <w:rFonts w:ascii="Arial" w:cs="Arial" w:eastAsia="Arial" w:hAnsi="Arial"/>
          <w:sz w:val="14"/>
          <w:szCs w:val="14"/>
          <w:color w:val="auto"/>
        </w:rPr>
        <w:t>after giving effect to this Fourth Amendment, no event has occurred and is continuing or will result from the execution and delivery of this Fourth Amendment that would constitute a Default or an Event of Default;</w:t>
      </w:r>
    </w:p>
    <w:p>
      <w:pPr>
        <w:spacing w:after="0" w:line="155" w:lineRule="exact"/>
        <w:rPr>
          <w:rFonts w:ascii="Arial" w:cs="Arial" w:eastAsia="Arial" w:hAnsi="Arial"/>
          <w:sz w:val="14"/>
          <w:szCs w:val="14"/>
          <w:color w:val="auto"/>
        </w:rPr>
      </w:pPr>
    </w:p>
    <w:p>
      <w:pPr>
        <w:ind w:left="682" w:hanging="217"/>
        <w:spacing w:after="0"/>
        <w:tabs>
          <w:tab w:leader="none" w:pos="682" w:val="left"/>
        </w:tabs>
        <w:numPr>
          <w:ilvl w:val="1"/>
          <w:numId w:val="7"/>
        </w:numPr>
        <w:rPr>
          <w:rFonts w:ascii="Arial" w:cs="Arial" w:eastAsia="Arial" w:hAnsi="Arial"/>
          <w:sz w:val="14"/>
          <w:szCs w:val="14"/>
          <w:color w:val="auto"/>
        </w:rPr>
      </w:pPr>
      <w:r>
        <w:rPr>
          <w:rFonts w:ascii="Arial" w:cs="Arial" w:eastAsia="Arial" w:hAnsi="Arial"/>
          <w:sz w:val="14"/>
          <w:szCs w:val="14"/>
          <w:color w:val="auto"/>
        </w:rPr>
        <w:t>since the Closing Date, no event has occurred that has resulted, or could reasonably be expected to result, in a Material Adverse Effect; and</w:t>
      </w:r>
    </w:p>
    <w:p>
      <w:pPr>
        <w:spacing w:after="0" w:line="207" w:lineRule="exact"/>
        <w:rPr>
          <w:rFonts w:ascii="Arial" w:cs="Arial" w:eastAsia="Arial" w:hAnsi="Arial"/>
          <w:sz w:val="14"/>
          <w:szCs w:val="14"/>
          <w:color w:val="auto"/>
        </w:rPr>
      </w:pPr>
    </w:p>
    <w:p>
      <w:pPr>
        <w:ind w:left="2" w:right="180" w:firstLine="463"/>
        <w:spacing w:after="0" w:line="274" w:lineRule="auto"/>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66" w:lineRule="exact"/>
        <w:rPr>
          <w:sz w:val="20"/>
          <w:szCs w:val="20"/>
          <w:color w:val="auto"/>
        </w:rPr>
      </w:pPr>
    </w:p>
    <w:p>
      <w:pPr>
        <w:ind w:left="642" w:hanging="177"/>
        <w:spacing w:after="0"/>
        <w:tabs>
          <w:tab w:leader="none" w:pos="642"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Effectiveness of this Fourth Amendment</w:t>
      </w:r>
      <w:r>
        <w:rPr>
          <w:rFonts w:ascii="Arial" w:cs="Arial" w:eastAsia="Arial" w:hAnsi="Arial"/>
          <w:sz w:val="14"/>
          <w:szCs w:val="14"/>
          <w:color w:val="auto"/>
        </w:rPr>
        <w:t>.</w:t>
      </w:r>
    </w:p>
    <w:p>
      <w:pPr>
        <w:spacing w:after="0" w:line="208" w:lineRule="exact"/>
        <w:rPr>
          <w:sz w:val="20"/>
          <w:szCs w:val="20"/>
          <w:color w:val="auto"/>
        </w:rPr>
      </w:pPr>
    </w:p>
    <w:p>
      <w:pPr>
        <w:ind w:left="482"/>
        <w:spacing w:after="0"/>
        <w:rPr>
          <w:sz w:val="20"/>
          <w:szCs w:val="20"/>
          <w:color w:val="auto"/>
        </w:rPr>
      </w:pPr>
      <w:r>
        <w:rPr>
          <w:rFonts w:ascii="Arial" w:cs="Arial" w:eastAsia="Arial" w:hAnsi="Arial"/>
          <w:sz w:val="14"/>
          <w:szCs w:val="14"/>
          <w:color w:val="auto"/>
        </w:rPr>
        <w:t>This Fourth Amendment shall be effective only if and when executed by the Borrower, the Wynn Amendment Parties and the Administrative Agent, on behalf of the Lenders.</w:t>
      </w:r>
    </w:p>
    <w:p>
      <w:pPr>
        <w:sectPr>
          <w:pgSz w:w="11900" w:h="16838" w:orient="portrait"/>
          <w:cols w:equalWidth="0" w:num="1">
            <w:col w:w="11542"/>
          </w:cols>
          <w:pgMar w:left="218" w:top="124" w:right="139" w:bottom="0" w:gutter="0" w:footer="0" w:header="0"/>
        </w:sectPr>
      </w:pPr>
    </w:p>
    <w:bookmarkStart w:id="5" w:name="page6"/>
    <w:bookmarkEnd w:id="5"/>
    <w:p>
      <w:pPr>
        <w:ind w:left="640" w:hanging="177"/>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Acknowledgments</w:t>
      </w:r>
      <w:r>
        <w:rPr>
          <w:rFonts w:ascii="Arial" w:cs="Arial" w:eastAsia="Arial" w:hAnsi="Arial"/>
          <w:sz w:val="14"/>
          <w:szCs w:val="14"/>
          <w:color w:val="auto"/>
        </w:rPr>
        <w:t>.</w:t>
      </w:r>
    </w:p>
    <w:p>
      <w:pPr>
        <w:spacing w:after="0" w:line="208" w:lineRule="exact"/>
        <w:rPr>
          <w:sz w:val="20"/>
          <w:szCs w:val="20"/>
          <w:color w:val="auto"/>
        </w:rPr>
      </w:pPr>
    </w:p>
    <w:p>
      <w:pPr>
        <w:jc w:val="both"/>
        <w:ind w:firstLine="501"/>
        <w:spacing w:after="0" w:line="296" w:lineRule="auto"/>
        <w:rPr>
          <w:sz w:val="20"/>
          <w:szCs w:val="20"/>
          <w:color w:val="auto"/>
        </w:rPr>
      </w:pPr>
      <w:r>
        <w:rPr>
          <w:rFonts w:ascii="Arial" w:cs="Arial" w:eastAsia="Arial" w:hAnsi="Arial"/>
          <w:sz w:val="13"/>
          <w:szCs w:val="13"/>
          <w:color w:val="auto"/>
        </w:rPr>
        <w:t>By executing this Fourth Amendment, each of the Wynn Amendment Parties (a) consents to this Fourth Amendment, (b) acknowledges that, notwithstanding the execution and delivery of this Fourth Amendment, the obligations of each of the Wynn Amendment Parties under the Guarantee, the Completion Guaranty Collateral Account Agreement, the Completion Guaranty and the Security Agreement are not impaired or affected, and the Guarantee, the Completion Guaranty Collateral Account Agreement, the Completion Guaranty and the Security Agreement continue in full force and effect, and (c) affirms and ratifies, to the extent it is a party thereto, the Guarantee, the Completion Guaranty Collateral Account Agreement, the Completion Guaranty and the Security Agreement.</w:t>
      </w:r>
    </w:p>
    <w:p>
      <w:pPr>
        <w:spacing w:after="0" w:line="155" w:lineRule="exact"/>
        <w:rPr>
          <w:sz w:val="20"/>
          <w:szCs w:val="20"/>
          <w:color w:val="auto"/>
        </w:rPr>
      </w:pPr>
    </w:p>
    <w:p>
      <w:pPr>
        <w:ind w:left="640" w:hanging="177"/>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204" w:lineRule="exact"/>
        <w:rPr>
          <w:sz w:val="20"/>
          <w:szCs w:val="20"/>
          <w:color w:val="auto"/>
        </w:rPr>
      </w:pPr>
    </w:p>
    <w:p>
      <w:pPr>
        <w:jc w:val="both"/>
        <w:ind w:firstLine="552"/>
        <w:spacing w:after="0" w:line="291" w:lineRule="auto"/>
        <w:rPr>
          <w:sz w:val="20"/>
          <w:szCs w:val="20"/>
          <w:color w:val="auto"/>
        </w:rPr>
      </w:pPr>
      <w:r>
        <w:rPr>
          <w:rFonts w:ascii="Arial" w:cs="Arial" w:eastAsia="Arial" w:hAnsi="Arial"/>
          <w:sz w:val="13"/>
          <w:szCs w:val="13"/>
          <w:b w:val="1"/>
          <w:bCs w:val="1"/>
          <w:color w:val="auto"/>
        </w:rPr>
        <w:t xml:space="preserve">THIS FOURTH AMENDMENT SHALL BE GOVERNED BY, AND CONSTRUED AND INTERPRETED IN ACCORDANCE WITH, THE LAW OF THE STATE OF NEW YORK, WITHOUT REGARD TO CONFLICT OF LAW RULES THEREOF (OTHER THAN SECTIONS 5-1401 AND 5-1402 OF THE NEW YORK GENERAL OBLIGATIONS LAW). </w:t>
      </w:r>
      <w:r>
        <w:rPr>
          <w:rFonts w:ascii="Arial" w:cs="Arial" w:eastAsia="Arial" w:hAnsi="Arial"/>
          <w:sz w:val="13"/>
          <w:szCs w:val="13"/>
          <w:color w:val="auto"/>
        </w:rPr>
        <w:t>This Fourth Amendment may be executed in one or more 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Fourth Amendment shall be deemed a “Loan Document” as defined in the Credit Agreement. Section 10.12 of the Credit Agreement shall apply to this Fourth Amendment and all past and future amendments to the Credit Agreement and other Loan Documents as if expressly set forth therein.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9170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705" cy="19050"/>
                    </a:xfrm>
                    <a:prstGeom prst="rect">
                      <a:avLst/>
                    </a:prstGeom>
                    <a:noFill/>
                  </pic:spPr>
                </pic:pic>
              </a:graphicData>
            </a:graphic>
          </wp:anchor>
        </w:drawing>
      </w:r>
    </w:p>
    <w:p>
      <w:pPr>
        <w:sectPr>
          <w:pgSz w:w="11900" w:h="16838" w:orient="portrait"/>
          <w:cols w:equalWidth="0" w:num="1">
            <w:col w:w="11460"/>
          </w:cols>
          <w:pgMar w:left="220" w:top="331" w:right="219" w:bottom="1440" w:gutter="0" w:footer="0" w:header="0"/>
        </w:sectPr>
      </w:pPr>
    </w:p>
    <w:bookmarkStart w:id="6" w:name="page7"/>
    <w:bookmarkEnd w:id="6"/>
    <w:p>
      <w:pPr>
        <w:ind w:firstLine="465"/>
        <w:spacing w:after="0" w:line="289" w:lineRule="auto"/>
        <w:rPr>
          <w:sz w:val="20"/>
          <w:szCs w:val="20"/>
          <w:color w:val="auto"/>
        </w:rPr>
      </w:pPr>
      <w:r>
        <w:rPr>
          <w:rFonts w:ascii="Arial" w:cs="Arial" w:eastAsia="Arial" w:hAnsi="Arial"/>
          <w:sz w:val="14"/>
          <w:szCs w:val="14"/>
          <w:color w:val="auto"/>
        </w:rPr>
        <w:t>IN WITNESS WHEREOF, the parties have caused this Fourth Amendment to be duly executed by their officers or officers of their sole ultimate members thereunto duly authorized as of the day and year first above written.</w:t>
      </w:r>
    </w:p>
    <w:p>
      <w:pPr>
        <w:sectPr>
          <w:pgSz w:w="11900" w:h="16838" w:orient="portrait"/>
          <w:cols w:equalWidth="0" w:num="1">
            <w:col w:w="11460"/>
          </w:cols>
          <w:pgMar w:left="220" w:top="311" w:right="21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By: Wynn Resorts, Limited,</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Nevada corporation,</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-7620</wp:posOffset>
            </wp:positionV>
            <wp:extent cx="12661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Title: President</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WYNN SUNRISE,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By: Wynn Resorts, Limited, a Nevada corporation, its sole member</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13785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8585" cy="63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Title: President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WYNN GOLF,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jc w:val="right"/>
        <w:ind w:right="1820"/>
        <w:spacing w:after="0"/>
        <w:rPr>
          <w:sz w:val="20"/>
          <w:szCs w:val="20"/>
          <w:color w:val="auto"/>
        </w:rPr>
      </w:pPr>
      <w:r>
        <w:rPr>
          <w:rFonts w:ascii="Arial" w:cs="Arial" w:eastAsia="Arial" w:hAnsi="Arial"/>
          <w:sz w:val="14"/>
          <w:szCs w:val="14"/>
          <w:color w:val="auto"/>
        </w:rPr>
        <w:t>By: Wynn Resorts, Limited, a Nevada corporation, its sole member</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-7620</wp:posOffset>
            </wp:positionV>
            <wp:extent cx="14916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63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Title: President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WORLD TRAVEL,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jc w:val="right"/>
        <w:ind w:right="1820"/>
        <w:spacing w:after="0"/>
        <w:rPr>
          <w:sz w:val="20"/>
          <w:szCs w:val="20"/>
          <w:color w:val="auto"/>
        </w:rPr>
      </w:pPr>
      <w:r>
        <w:rPr>
          <w:rFonts w:ascii="Arial" w:cs="Arial" w:eastAsia="Arial" w:hAnsi="Arial"/>
          <w:sz w:val="14"/>
          <w:szCs w:val="14"/>
          <w:color w:val="auto"/>
        </w:rPr>
        <w:t>By: Wynn Resorts, Limited, a Nevada corporation, its sole member</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-7620</wp:posOffset>
            </wp:positionV>
            <wp:extent cx="16268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6870" cy="63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391160</wp:posOffset>
            </wp:positionV>
            <wp:extent cx="729170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19050"/>
                    </a:xfrm>
                    <a:prstGeom prst="rect">
                      <a:avLst/>
                    </a:prstGeom>
                    <a:noFill/>
                  </pic:spPr>
                </pic:pic>
              </a:graphicData>
            </a:graphic>
          </wp:anchor>
        </w:drawing>
      </w:r>
    </w:p>
    <w:p>
      <w:pPr>
        <w:sectPr>
          <w:pgSz w:w="11900" w:h="16838" w:orient="portrait"/>
          <w:cols w:equalWidth="0" w:num="2">
            <w:col w:w="4520" w:space="720"/>
            <w:col w:w="6220"/>
          </w:cols>
          <w:pgMar w:left="220" w:top="311" w:right="2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auto"/>
        </w:rPr>
        <w:t>LAS VEGAS JET,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ind w:left="580" w:right="620"/>
        <w:spacing w:after="0" w:line="289" w:lineRule="auto"/>
        <w:rPr>
          <w:sz w:val="20"/>
          <w:szCs w:val="20"/>
          <w:color w:val="auto"/>
        </w:rPr>
      </w:pPr>
      <w:r>
        <w:rPr>
          <w:rFonts w:ascii="Arial" w:cs="Arial" w:eastAsia="Arial" w:hAnsi="Arial"/>
          <w:sz w:val="14"/>
          <w:szCs w:val="14"/>
          <w:color w:val="auto"/>
        </w:rPr>
        <w:t>By: Wynn Resorts, Limited, a Nevada corporation, its sole member</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14465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6530" cy="63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Title: President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WYNN LAS VEGAS CAPITAL CORP.,</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 Nevada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-7620</wp:posOffset>
            </wp:positionV>
            <wp:extent cx="16541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WYNN RESORTS HOLDINGS,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ind w:right="1640"/>
        <w:spacing w:after="0" w:line="289" w:lineRule="auto"/>
        <w:rPr>
          <w:sz w:val="20"/>
          <w:szCs w:val="20"/>
          <w:color w:val="auto"/>
        </w:rPr>
      </w:pPr>
      <w:r>
        <w:rPr>
          <w:rFonts w:ascii="Arial" w:cs="Arial" w:eastAsia="Arial" w:hAnsi="Arial"/>
          <w:sz w:val="14"/>
          <w:szCs w:val="14"/>
          <w:color w:val="auto"/>
        </w:rPr>
        <w:t>By: Wynn Resorts, Limited, a Nevada corporation, its sole member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13106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DEUTSCHE BANK TRUST COMPANY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AMERICAS, as the Administrative Agent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on behalf of the Lenders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/s/ Brenda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-7620</wp:posOffset>
            </wp:positionV>
            <wp:extent cx="135636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636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Brenda Casey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Title: Director</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/s/ Joanna Soliman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-7620</wp:posOffset>
            </wp:positionV>
            <wp:extent cx="138112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112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Joanna Soliman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Title: Assistant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WYNN SHOW PERFORMERS,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jc w:val="right"/>
        <w:ind w:right="599"/>
        <w:spacing w:after="0"/>
        <w:rPr>
          <w:sz w:val="20"/>
          <w:szCs w:val="20"/>
          <w:color w:val="auto"/>
        </w:rPr>
      </w:pPr>
      <w:r>
        <w:rPr>
          <w:rFonts w:ascii="Arial" w:cs="Arial" w:eastAsia="Arial" w:hAnsi="Arial"/>
          <w:sz w:val="14"/>
          <w:szCs w:val="14"/>
          <w:color w:val="auto"/>
        </w:rPr>
        <w:t>By: Wynn Resorts, Limited, a Nevada corporation, its sole member</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-7620</wp:posOffset>
            </wp:positionV>
            <wp:extent cx="144653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6530" cy="63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Title: President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KEVYN,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its sole member</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jc w:val="right"/>
        <w:ind w:right="599"/>
        <w:spacing w:after="0"/>
        <w:rPr>
          <w:sz w:val="20"/>
          <w:szCs w:val="20"/>
          <w:color w:val="auto"/>
        </w:rPr>
      </w:pPr>
      <w:r>
        <w:rPr>
          <w:rFonts w:ascii="Arial" w:cs="Arial" w:eastAsia="Arial" w:hAnsi="Arial"/>
          <w:sz w:val="14"/>
          <w:szCs w:val="14"/>
          <w:color w:val="auto"/>
        </w:rPr>
        <w:t>By: Wynn Resorts, Limited, a Nevada corporation, its sole member</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wp:posOffset>
            </wp:positionV>
            <wp:extent cx="158178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1785" cy="63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Title: President</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WYNN COMPLETION GUARANTOR,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 Nevada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Las Vegas, LLC, a Nevada limited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liability company, its sole member</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Wynn Resorts Holdings, LLC,</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 Nevada limited liability company, its sole member</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By: Wynn Resorts, Limited, a Nevada corporation, its sole member</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-7620</wp:posOffset>
            </wp:positionV>
            <wp:extent cx="124333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333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Ronald J. Kramer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Title: President</w:t>
      </w:r>
    </w:p>
    <w:sectPr>
      <w:pgSz w:w="11900" w:h="16838" w:orient="portrait"/>
      <w:cols w:equalWidth="0" w:num="2">
        <w:col w:w="4520" w:space="720"/>
        <w:col w:w="4999"/>
      </w:cols>
      <w:pgMar w:left="220" w:top="5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lvl w:ilvl="1">
      <w:lvlJc w:val="left"/>
      <w:lvlText w:val="%2."/>
      <w:numFmt w:val="decimal"/>
      <w:start w:val="2"/>
    </w:lvl>
  </w:abstractNum>
  <w:abstractNum w:abstractNumId="3">
    <w:nsid w:val="41B71EFB"/>
    <w:multiLevelType w:val="hybridMultilevel"/>
    <w:lvl w:ilvl="0">
      <w:lvlJc w:val="left"/>
      <w:lvlText w:val="(%1)"/>
      <w:numFmt w:val="lowerLetter"/>
      <w:start w:val="1"/>
    </w:lvl>
    <w:lvl w:ilvl="1">
      <w:lvlJc w:val="left"/>
      <w:lvlText w:val="%2"/>
      <w:numFmt w:val="decimal"/>
      <w:start w:val="1"/>
    </w:lvl>
  </w:abstractNum>
  <w:abstractNum w:abstractNumId="4">
    <w:nsid w:val="79E2A9E3"/>
    <w:multiLevelType w:val="hybridMultilevel"/>
    <w:lvl w:ilvl="0">
      <w:lvlJc w:val="left"/>
      <w:lvlText w:val="(%1)"/>
      <w:numFmt w:val="lowerLetter"/>
      <w:start w:val="2"/>
    </w:lvl>
    <w:lvl w:ilvl="1">
      <w:lvlJc w:val="left"/>
      <w:lvlText w:val="%2."/>
      <w:numFmt w:val="decimal"/>
      <w:start w:val="3"/>
    </w:lvl>
  </w:abstractNum>
  <w:abstractNum w:abstractNumId="5">
    <w:nsid w:val="7545E146"/>
    <w:multiLevelType w:val="hybridMultilevel"/>
    <w:lvl w:ilvl="0">
      <w:lvlJc w:val="left"/>
      <w:lvlText w:val="%1"/>
      <w:numFmt w:val="lowerLetter"/>
      <w:start w:val="1"/>
    </w:lvl>
    <w:lvl w:ilvl="1">
      <w:lvlJc w:val="left"/>
      <w:lvlText w:val="(%2)"/>
      <w:numFmt w:val="lowerLetter"/>
      <w:start w:val="1"/>
    </w:lvl>
  </w:abstractNum>
  <w:abstractNum w:abstractNumId="6">
    <w:nsid w:val="515F007C"/>
    <w:multiLevelType w:val="hybridMultilevel"/>
    <w:lvl w:ilvl="0">
      <w:lvlJc w:val="left"/>
      <w:lvlText w:val="(%1)"/>
      <w:numFmt w:val="lowerLetter"/>
      <w:start w:val="35"/>
    </w:lvl>
    <w:lvl w:ilvl="1">
      <w:lvlJc w:val="left"/>
      <w:lvlText w:val="(%2)"/>
      <w:numFmt w:val="lowerLetter"/>
      <w:start w:val="4"/>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2019-12-12T04:07:06Z</dcterms:created>
  <dcterms:modified xsi:type="dcterms:W3CDTF">2019-12-12T04:07:06Z</dcterms:modified>
</cp:coreProperties>
</file>