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54"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780"/>
              <w:spacing w:after="0"/>
              <w:rPr>
                <w:sz w:val="20"/>
                <w:szCs w:val="20"/>
                <w:color w:val="auto"/>
              </w:rPr>
            </w:pPr>
            <w:r>
              <w:rPr>
                <w:rFonts w:ascii="Arial" w:cs="Arial" w:eastAsia="Arial" w:hAnsi="Arial"/>
                <w:sz w:val="18"/>
                <w:szCs w:val="18"/>
                <w:color w:val="auto"/>
              </w:rPr>
              <w:t>x</w:t>
            </w:r>
          </w:p>
        </w:tc>
        <w:tc>
          <w:tcPr>
            <w:tcW w:w="458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58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8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Las Vegas Holdings, LLC owns all of the membership interests of the Registrant as of May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right="320" w:firstLine="43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62865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10140" w:type="dxa"/>
            <w:vAlign w:val="bottom"/>
            <w:gridSpan w:val="15"/>
          </w:tcPr>
          <w:p>
            <w:pPr>
              <w:ind w:left="440"/>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2017 (unaudited) and December 31, 2016</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(unaudited) – Three Months Ended March 31, 2017 and</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Three Months Ended March 31, 2017 and 2016</w:t>
              </w:r>
            </w:hyperlink>
          </w:p>
        </w:tc>
        <w:tc>
          <w:tcPr>
            <w:tcW w:w="1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6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372"/>
        </w:trPr>
        <w:tc>
          <w:tcPr>
            <w:tcW w:w="3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372"/>
        </w:trPr>
        <w:tc>
          <w:tcPr>
            <w:tcW w:w="34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72"/>
        </w:trPr>
        <w:tc>
          <w:tcPr>
            <w:tcW w:w="3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92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12"/>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10140" w:type="dxa"/>
            <w:vAlign w:val="bottom"/>
            <w:gridSpan w:val="15"/>
          </w:tcPr>
          <w:p>
            <w:pPr>
              <w:ind w:left="440"/>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10140" w:type="dxa"/>
            <w:vAlign w:val="bottom"/>
            <w:gridSpan w:val="15"/>
          </w:tcPr>
          <w:p>
            <w:pPr>
              <w:ind w:left="440"/>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3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372"/>
        </w:trPr>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tcBorders>
              <w:top w:val="single" w:sz="8" w:color="0000EE"/>
            </w:tcBorders>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53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Signature</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669"/>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8"/>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-2923540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36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tcPr>
          <w:p>
            <w:pPr>
              <w:spacing w:after="0"/>
              <w:rPr>
                <w:sz w:val="21"/>
                <w:szCs w:val="21"/>
                <w:color w:val="auto"/>
              </w:rPr>
            </w:pPr>
          </w:p>
        </w:tc>
        <w:tc>
          <w:tcPr>
            <w:tcW w:w="5080" w:type="dxa"/>
            <w:vAlign w:val="bottom"/>
            <w:gridSpan w:val="2"/>
          </w:tcPr>
          <w:p>
            <w:pPr>
              <w:jc w:val="center"/>
              <w:ind w:right="930"/>
              <w:spacing w:after="0"/>
              <w:rPr>
                <w:sz w:val="20"/>
                <w:szCs w:val="20"/>
                <w:color w:val="auto"/>
              </w:rPr>
            </w:pPr>
            <w:r>
              <w:rPr>
                <w:rFonts w:ascii="Arial" w:cs="Arial" w:eastAsia="Arial" w:hAnsi="Arial"/>
                <w:sz w:val="18"/>
                <w:szCs w:val="18"/>
                <w:b w:val="1"/>
                <w:bCs w:val="1"/>
                <w:color w:val="auto"/>
                <w:w w:val="91"/>
              </w:rPr>
              <w:t>ASSETS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239,178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225,686</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112,558</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23,938</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4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31,556</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394,868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393,738</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2,699,996</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1,387</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35,116</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3,117,118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3,130,237</w:t>
            </w:r>
          </w:p>
        </w:tc>
      </w:tr>
      <w:tr>
        <w:trPr>
          <w:trHeight w:val="67"/>
        </w:trPr>
        <w:tc>
          <w:tcPr>
            <w:tcW w:w="3680" w:type="dxa"/>
            <w:vAlign w:val="bottom"/>
            <w:tcBorders>
              <w:bottom w:val="single" w:sz="8" w:color="CCEEFF"/>
            </w:tcBorders>
          </w:tcPr>
          <w:p>
            <w:pPr>
              <w:spacing w:after="0"/>
              <w:rPr>
                <w:sz w:val="5"/>
                <w:szCs w:val="5"/>
                <w:color w:val="auto"/>
              </w:rPr>
            </w:pPr>
          </w:p>
        </w:tc>
        <w:tc>
          <w:tcPr>
            <w:tcW w:w="49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4"/>
        </w:trPr>
        <w:tc>
          <w:tcPr>
            <w:tcW w:w="368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CCEEFF"/>
            </w:tcBorders>
            <w:shd w:val="clear" w:color="auto" w:fill="CCEEFF"/>
          </w:tcPr>
          <w:p>
            <w:pPr>
              <w:jc w:val="center"/>
              <w:ind w:right="730"/>
              <w:spacing w:after="0" w:line="196" w:lineRule="exact"/>
              <w:rPr>
                <w:sz w:val="20"/>
                <w:szCs w:val="20"/>
                <w:color w:val="auto"/>
              </w:rPr>
            </w:pPr>
            <w:r>
              <w:rPr>
                <w:rFonts w:ascii="Arial" w:cs="Arial" w:eastAsia="Arial" w:hAnsi="Arial"/>
                <w:sz w:val="18"/>
                <w:szCs w:val="18"/>
                <w:b w:val="1"/>
                <w:bCs w:val="1"/>
                <w:color w:val="auto"/>
              </w:rPr>
              <w:t>LIABILITIES AND MEMBER'S DEFICIT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41,329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95,259</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Gaming taxes payable</w:t>
            </w: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11,121</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61,822</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48,939</w:t>
            </w: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25,512</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4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19,004</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266,009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302,986</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3,168,959</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2,253</w:t>
            </w:r>
          </w:p>
        </w:tc>
      </w:tr>
      <w:tr>
        <w:trPr>
          <w:trHeight w:val="27"/>
        </w:trPr>
        <w:tc>
          <w:tcPr>
            <w:tcW w:w="3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3,474,198</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deficit</w:t>
            </w:r>
          </w:p>
        </w:tc>
        <w:tc>
          <w:tcPr>
            <w:tcW w:w="4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(343,961)</w:t>
            </w: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 and member's deficit</w:t>
            </w:r>
          </w:p>
        </w:tc>
        <w:tc>
          <w:tcPr>
            <w:tcW w:w="4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3,117,118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3,130,237</w:t>
            </w: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6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166,327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160,960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105,139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110,927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55,225</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435,075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432,251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(42,816)</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396,220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389,435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74,521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78,061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74,433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63,044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61,737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12,325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45,194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334,711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344,423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45,012</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(43,004)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(42,988)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46,353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45,194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5,622</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45,790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21,963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in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225,686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77,062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left="260" w:right="2380"/>
        <w:spacing w:after="0" w:line="255"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Wynn Las Vegas, LLC, a Nevada limited liability company, was organized primarily to construct and operate Wynn Las Vegas and Encore, an integrated destination casino resort on the "Strip" in Las Vegas, Nevada. Unless the context otherwise requires, all references herein to the "Company" refer to Wynn Las Vegas, LLC and its consolidated subsidiaries.</w:t>
      </w:r>
    </w:p>
    <w:p>
      <w:pPr>
        <w:spacing w:after="0" w:line="18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is a direct wholly owned subsidiary of Wynn Las Vegas Holdings, LLC ("WLVH"). WLVH is a direct wholly owned subsidiary of Wynn America, LLC ("Wynn America"). Wynn America is a direct wholly owned subsidiary of Wynn Resorts Holdings, LLC ("Holdings"). Holdings is a direct wholly owned subsidiary of Wynn Resorts, Limited ("Wynn Resorts").</w:t>
      </w:r>
    </w:p>
    <w:p>
      <w:pPr>
        <w:spacing w:after="0" w:line="18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Wynn Las Vegas Capital Corp. ("Capital Corp.") is a wholly owned subsidiary of Wynn Las Vegas, LLC organized solely for the purpose of obtaining financing for Wynn Las Vegas. Capital Corp. is authorized to issue 2,000 shares of common stock, par value $0.01. As of March 31, 2017, the Company owned the one share that was issued and outstanding. Capital Corp. has no significant net assets nor any operating activity. Its sole function is to serve as the co-issuer of the first mortgage and senior notes. Wynn Las Vegas, LLC and Capital Corp. together are hereinafter referred to as the "Issuers."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 owned subsidiaries. In April 2016, the Company dissolved its 50%-owned joint venture operating the Ferrari and Maserati automobile dealership inside Wynn Las Vegas, which was closed in October 2015 and was accounted for under the equity method. All intercompany accounts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2017 and December 31, 2016, approximately 75.5% and 80.3%,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the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Casino revenues are measured by the aggregate net difference between gaming wins and losses. Cash discounts, other cash incentives and points earned by customers from the Company's loyalty programs are recorded as a reduction to casino revenues. Rooms, food and beverage, entertainment and other operating revenues are recognized when services are performed or events are held. Advance deposits on rooms and advance ticket sales are recorded as customer deposits until services are provided to the customer.</w:t>
      </w:r>
    </w:p>
    <w:p>
      <w:pPr>
        <w:spacing w:after="0" w:line="187"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retail value of rooms, food and beverage, entertainment and other services provided to guests without charge is included in gross revenues and are then deducted as promotional allowances. The estimated retail value of providing such promotional allowances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18,273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19,532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4,923</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38,855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42,816</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14,491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15,762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3,202</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23,866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26,804</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Company is subject to taxes based on gross gaming revenues in the jurisdiction in which it operates, subject to applicable jurisdictional adjustments, which taxes are recorded as casino expenses in the accompanying Condensed Consolidated Statements of Comprehensive Income. These taxes totaled $12.2 million and $11.1 million for the three months ended March 31, 2017 and 2016, respectively.</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Income. The cost is measured at the grant date, based on the estimated fair value of the award using the Black-Scholes option pricing model for stock options, and based on the closing share price of Wynn Resorts' stock on the grant date for unvested share awards. The cost is recognized as an expense on a straight-line basis over the employee's requisite service period (the vesting period of the award). For the three months ended March 31, 2017 and 2016, the Company recorded $0.5 million and $0.8 million of stock-based compensation costs,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August 2016, the Financial Accounting Standards Board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This guidance is effective for financial statements with fiscal years beginning after December 15, 2017, and interim periods within those fiscal periods and early adoption is permitted. The Company is currently assessing the impact the adoption of this standard will have on its consolidated financial statements.</w:t>
      </w:r>
    </w:p>
    <w:p>
      <w:pPr>
        <w:spacing w:after="0" w:line="178" w:lineRule="exact"/>
        <w:rPr>
          <w:sz w:val="20"/>
          <w:szCs w:val="20"/>
          <w:color w:val="auto"/>
        </w:rPr>
      </w:pPr>
    </w:p>
    <w:p>
      <w:pPr>
        <w:ind w:right="200" w:firstLine="405"/>
        <w:spacing w:after="0" w:line="271" w:lineRule="auto"/>
        <w:rPr>
          <w:sz w:val="20"/>
          <w:szCs w:val="20"/>
          <w:color w:val="auto"/>
        </w:rPr>
      </w:pPr>
      <w:r>
        <w:rPr>
          <w:rFonts w:ascii="Arial" w:cs="Arial" w:eastAsia="Arial" w:hAnsi="Arial"/>
          <w:sz w:val="17"/>
          <w:szCs w:val="17"/>
          <w:color w:val="auto"/>
        </w:rPr>
        <w:t>In March 2016, the FASB issued an accounting standards update that involves several aspects of the accounting for share-based payment transactions, including income tax consequences, classification of awards as either equity or liabilities, and classification on the statement of cash flows. Under the new guidance (i) income tax benefits and deficiencies are to be recognized as income tax expense or benefit in the income statement and the tax effects of exercised or vested awards will be treated as discrete items in the reporting period in which they occur, (ii) an entity should recognize excess tax benefits regardless of whether the benefit reduces taxes payable in the current period, and (iii) excess tax benefits should be classified along with other income tax cash flows as an operating activity. The Company adopted this guidance on January 1, 2017. Under the new guidance, the Company elected an accounting policy change to account for forfeitures when they occur. The adoption of this new guidance did not have a material effect on the Company's condensed consolidated financial statements.</w:t>
      </w:r>
    </w:p>
    <w:p>
      <w:pPr>
        <w:spacing w:after="0" w:line="17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This guidance is effective for financial statements with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79"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adoption is permitted for annual and interim periods beginning after December 15, 2016. The Company will adopt this standard effective January 1, 2018. The Company is currently assessing the impact the adoption of this standard will have on its consolidated financial statements. The Company expects the goods and services</w:t>
      </w: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provided to customers without charge currently included in both gross revenues and promotional allowances in the accompanying Condensed Consolidated Statements of Comprehensive Income will be presented on a net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Retail Joint Venture</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December 2016, Wynn Resorts formed a joint venture (the "Retail Joint Venture") with Crown Acquisitions Inc. ("Crown") to own and operate approximately 88,000 square feet of existing retail space at Wynn Las Vegas. In connection with the transaction, the Company distributed $59.7 million of net assets associated with its retail operations to Wynn Resorts. These retail net assets include building and improvements, retail inventory for stores operated by the Company and other related assets and liabilities. The Company also transferred all its interests as lessor in third-party retail store leases to the Retail Joint Venture as part of the transaction and the majority of the retail stores previously operated by the Company are now operated under a master lease agreement between Wynn Retail, LLC ("Wynn Retail"), a wholly owned subsidiary of Wynn Resorts, as lessee, and the Retail Joint Venture, as lessor (the "Master Lease"). As a result of the transaction, the Company's financial results no longer reflect the retail operations associated with the distributed retail net assets.</w:t>
      </w:r>
    </w:p>
    <w:p>
      <w:pPr>
        <w:spacing w:after="0" w:line="16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In connection with the Retail Joint Venture, the Company agreed to guarantee the full and timely payment of all amounts due by Wynn Retail to the Retail Joint Venture under the Master Lease, not to exceed $75 million, and expenses relating to the enforcement of lessor's rights.</w:t>
      </w:r>
    </w:p>
    <w:p>
      <w:pPr>
        <w:spacing w:after="0" w:line="147" w:lineRule="exact"/>
        <w:rPr>
          <w:sz w:val="20"/>
          <w:szCs w:val="20"/>
          <w:color w:val="auto"/>
        </w:rPr>
      </w:pPr>
    </w:p>
    <w:p>
      <w:pPr>
        <w:jc w:val="both"/>
        <w:ind w:right="160" w:firstLine="405"/>
        <w:spacing w:after="0" w:line="279" w:lineRule="auto"/>
        <w:rPr>
          <w:sz w:val="20"/>
          <w:szCs w:val="20"/>
          <w:color w:val="auto"/>
        </w:rPr>
      </w:pPr>
      <w:r>
        <w:rPr>
          <w:rFonts w:ascii="Arial" w:cs="Arial" w:eastAsia="Arial" w:hAnsi="Arial"/>
          <w:sz w:val="17"/>
          <w:szCs w:val="17"/>
          <w:color w:val="auto"/>
        </w:rPr>
        <w:t>Also in December 2016, Wynn Resorts entered into an agreement with Crown to form a joint venture that will own and operate approximately 73,000 square feet of additional retail space that is currently under construction at Wynn Las Vegas. On April 3, 2017, the Company distributed $38.8 million of net assets associated with the additional retail space to Wynn Resorts. These retail net assets primarily included land, construction in progress and other related assets and liabilities. The Company expects the opening of the additional retail space to be in the first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Hotel</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17,989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124,450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142,118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95,839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112,558</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2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ind w:left="440"/>
              <w:spacing w:after="0"/>
              <w:rPr>
                <w:sz w:val="20"/>
                <w:szCs w:val="20"/>
                <w:color w:val="auto"/>
              </w:rPr>
            </w:pPr>
            <w:r>
              <w:rPr>
                <w:rFonts w:ascii="Arial" w:cs="Arial" w:eastAsia="Arial" w:hAnsi="Arial"/>
                <w:sz w:val="18"/>
                <w:szCs w:val="18"/>
                <w:color w:val="auto"/>
                <w:w w:val="92"/>
              </w:rPr>
              <w:t>Property and equipment, net consisted of the following (in thousands):</w:t>
            </w: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627,942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2,599,352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2,596,743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1,418,814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50,593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33,229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4,705,342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4,676,728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(2,018,988)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(1,976,732)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2,686,354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2,699,996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6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5 3/8% First Mortgage Notes, due March 15, 2022, net of debt issuance costs of $6,429 as of March 31, 2017 and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$6,709 as of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893,571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893,291</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0"/>
              </w:rPr>
              <w:t>4 1/4% Senior Notes, due May 30, 2023, net of debt issuance costs of $2,725 as of March 31, 2017 and $2,819 as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of December 31, 2016</w:t>
            </w:r>
          </w:p>
        </w:tc>
        <w:tc>
          <w:tcPr>
            <w:tcW w:w="2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497,275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497,181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5 1/2% Senior Notes, due March 1, 2025, net of debt issuance costs of $20,993 as of March 31, 2017 and $21,513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1,779,007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1,778,487</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3,169,853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3,168,959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3,169,853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3,168,959</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believes that as of March 31, 2017,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March 31, 2017 and December 31, 2016 was $3.25 billion and $3.18 billion, respectively, compared to its carrying value, excluding debt issuance costs, of $3.20 billion. The estimated fair value of the Company's long-term debt is based on recent trades, if available, and indicative pricing from market information (Level 2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periodically settles net amounts due to affiliates with cash payments. As of March 31, 2017 and December 31, 2016, the Company's net current due to affiliates of $22.3 million and $19.0 million, respectively, were primarily comprised of management fees, license fees and corporate allocations.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and Corporate Allocations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Under a corporate support services agreement, Wynn Resorts provides the Company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Under the agreement, the Company pays a management fee of 1.5% of net revenues. For the three months ended March 31, 2017 and 2016, $9.8 million and $9.7 million, respectively, were charged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In February 2015, the Company entered into a license agreement, which requires payment of fees equal to 1.5% of gross monthly revenues so long as the original license is in effect and not terminated, and 3.0% subsequent to the termination of the original license agreement. For both the three months ended March 31, 2017 and 2016, $6.5 million in license fees were charged to the Company.</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Services Agreement</w:t>
      </w:r>
    </w:p>
    <w:p>
      <w:pPr>
        <w:spacing w:after="0" w:line="225"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In December 2016, in connection with the distribution of the majority of the Company's retail net assets, the Company entered into a retail services agreement with Wynn Retail. Under that agreement, the Company provides services to Wynn Retail to support certain retail operations at Wynn Las Vegas and the allocation of costs have been determined on a basis that Wynn Retail and the Company consider to be reasonable estimates of the utilization of services provided by the Company. For the three months ended March 31, 2017, $3.5 million was charged by the Company to Wynn Retail.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of Wynn Resorts ("Mr. Wynn"), and certain other executive officers and directors of Wynn Resorts, including the personal use of employees, construction work and other personal services, for which the officers and directors reimburse the Company.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Capital Corp.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Wynn Resorts' directors. In addition to continuing to seek</w:t>
      </w: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 On May 1, 2017, the court granted Elaine Wynn leave to file an amended cross claim against the Wynn Cross Defendants which substantially repeats the allegations contained in the previous version of Ms. Wynn’s cross claim, which the court dismissed against Wynn Resorts and Wynn Resorts' General Counsel on May 5, 2016. Upon filing by Elaine Wynn, the Wynn Cross Defendants intend to once again move the court to dismiss Elaine Wynn’s cross claims and vigorously defend against the claims asserted against them.</w:t>
      </w:r>
    </w:p>
    <w:p>
      <w:pPr>
        <w:spacing w:after="0" w:line="182"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w:t>
      </w:r>
    </w:p>
    <w:p>
      <w:pPr>
        <w:spacing w:after="0" w:line="18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February 12, 2016, and February 13, 2017, Wynn Resorts issued a check for the interest payment due at those times to the clerk of the court for deposit into the clerk's trust account.</w:t>
      </w:r>
    </w:p>
    <w:p>
      <w:pPr>
        <w:spacing w:after="0" w:line="19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2016, Wynn Resorts filed a motion to disqualify Quinn Emanuel Urquhart &amp; Sullivan, LLP ("QE"), one of Ms. Wynn's law firms, and sought an injunction related to Ms. Wynn providing her attorneys with confidential and privileged information that belongs to Wynn Resorts. On June 23, 2016, the court stayed discovery as to both Ms. Wynn and the Okada Parties, pending an evidentiary disqualification hearing. On January 23, 2017, the court issued a temporary restraining order that halted QE's participation in the case, with the sole exception of contesting the firm's disqualification. QE withdrew as counsel for Ms. Wynn on March 9, 2017, and Ms. Wynn retained new counsel prior to the start of the evidentiary hearing, which began on March 13, 2017. On March 17, 2017, the evidentiary hearing was vacated because Ms. Wynn and QE stipulated to a permanent injunction requiring the destruction or return of all Wynn Resorts information. On March 27, 2017, the stay was lifted.</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litigation is currently in the discovery phase and trial is scheduled to begin on April 16, 2018.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w:t>
      </w:r>
    </w:p>
    <w:p>
      <w:pPr>
        <w:spacing w:after="0" w:line="3" w:lineRule="exact"/>
        <w:rPr>
          <w:sz w:val="20"/>
          <w:szCs w:val="20"/>
          <w:color w:val="auto"/>
        </w:rPr>
      </w:pPr>
    </w:p>
    <w:p>
      <w:pPr>
        <w:ind w:left="420" w:right="3000" w:hanging="412"/>
        <w:spacing w:after="0" w:line="492"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stayed the claims asserted by Wynn Resorts against Mr. Okada pending the resolution of the Redemption Action. </w:t>
      </w:r>
      <w:r>
        <w:rPr>
          <w:rFonts w:ascii="Arial" w:cs="Arial" w:eastAsia="Arial" w:hAnsi="Arial"/>
          <w:sz w:val="18"/>
          <w:szCs w:val="18"/>
          <w:u w:val="single" w:color="auto"/>
          <w:color w:val="auto"/>
        </w:rPr>
        <w:t>Macau Action:</w:t>
      </w:r>
    </w:p>
    <w:p>
      <w:pPr>
        <w:spacing w:after="0" w:line="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w:t>
      </w: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future development on the land in Cotai where Wynn Palace is located was unlawful and that the previously disclosed donation by Wynn Resorts to the University of Macau Development Foundation was unlawful. The plaintiffs seek dissolution of Wynn Macau SA and compensatory damages. The Macau Court has served the complaint on the defendants and the Wynn Macau Parties filed their response on May 17, 2016.</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Wynn Resorts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8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four federal actions brought by the plaintiffs (collectively, the “Federal Plaintiffs”) were consolidated.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8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Two state derivative actions were commenced against Wynn Resorts and all members of its Board of Directors in the Eighth Judicial District Court of Clark County, Nevada. These state court actions brought by the following plaintiffs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 (3) 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w:t>
      </w: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118"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2"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2016.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a developer, owner and operator of destination casino resorts (integrated resorts). We currently own and operate Wynn Las Vegas, an integrated casino resort on the "Strip" in Las Vegas, Nevada. Wynn Las Vegas is located at the intersection of the Las Vegas Strip and Sands Avenue and occupies approximately 215 acres of land (of which approximately 140 acres constitute the Wynn Las Vegas golf course) fronting the Las Vegas Strip, and utilizes approximately 18 additional acres across Sands Avenue, a portion of which is improved with an employee parking garage, and approximately five acres adjacent to the golf course on which an office building is located. We lease approximately 140 acres where the golf course is located, along with related water rights, from Wynn Resorts.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Las Vegas features the following as of April 15, 2017:</w:t>
      </w:r>
    </w:p>
    <w:p>
      <w:pPr>
        <w:spacing w:after="0" w:line="279" w:lineRule="exact"/>
        <w:rPr>
          <w:sz w:val="20"/>
          <w:szCs w:val="20"/>
          <w:color w:val="auto"/>
        </w:rPr>
      </w:pPr>
    </w:p>
    <w:p>
      <w:pPr>
        <w:ind w:left="900" w:right="4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189,000 square feet of casino space, offering 24-hour gaming and a full range of games with 238 table games and 1,840 slot machines,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95,000 square feet of high-end, brand-name retail shopping (of which, effective December 2016, approximately 88,000 square feet is owned and operated by a subsidiary of Wynn Resorts, as discussed below);</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 and.</w:t>
      </w:r>
    </w:p>
    <w:p>
      <w:pPr>
        <w:spacing w:after="0" w:line="8"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170" w:lineRule="exact"/>
        <w:rPr>
          <w:sz w:val="20"/>
          <w:szCs w:val="20"/>
          <w:color w:val="auto"/>
        </w:rPr>
      </w:pPr>
    </w:p>
    <w:p>
      <w:pPr>
        <w:ind w:left="60" w:right="260" w:firstLine="405"/>
        <w:spacing w:after="0" w:line="277" w:lineRule="auto"/>
        <w:rPr>
          <w:sz w:val="20"/>
          <w:szCs w:val="20"/>
          <w:color w:val="auto"/>
        </w:rPr>
      </w:pPr>
      <w:r>
        <w:rPr>
          <w:rFonts w:ascii="Arial" w:cs="Arial" w:eastAsia="Arial" w:hAnsi="Arial"/>
          <w:sz w:val="18"/>
          <w:szCs w:val="18"/>
          <w:color w:val="auto"/>
        </w:rPr>
        <w:t>In December 2016, a subsidiary of Wynn Resorts formed a joint venture (the "Retail Joint Venture") with Crown Acquisition Inc. ("Crown") to own and operate approximately 88,000 square feet of existing retail space at Wynn Las Vegas. In</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18" w:right="2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60" w:right="40"/>
        <w:spacing w:after="0" w:line="297" w:lineRule="auto"/>
        <w:rPr>
          <w:sz w:val="20"/>
          <w:szCs w:val="20"/>
          <w:color w:val="auto"/>
        </w:rPr>
      </w:pPr>
      <w:r>
        <w:rPr>
          <w:rFonts w:ascii="Arial" w:cs="Arial" w:eastAsia="Arial" w:hAnsi="Arial"/>
          <w:sz w:val="16"/>
          <w:szCs w:val="16"/>
          <w:color w:val="auto"/>
        </w:rPr>
        <w:t>connection with the transaction, we distributed $59.7 million of net assets associated with our retail operations to Wynn Resorts. These retail net assets include building and improvements, retail inventory for stores operated by us and other related assets and liabilities. We also transferred all interests as lessor in third-party retail store leases to the Retail Joint Venture as part of the transaction and the majority of the retail stores previously operated by us are now operated under a master lease agreement between Wynn Retail, LLC ("Wynn Retail"), a wholly owned subsidiary of Wynn Resorts, as lessee, and the Retail Joint Venture, as lessor. As a result of the transaction, our financial results no longer reflect the operations associated with the distributed net retail assets.</w:t>
      </w:r>
    </w:p>
    <w:p>
      <w:pPr>
        <w:spacing w:after="0" w:line="158" w:lineRule="exact"/>
        <w:rPr>
          <w:sz w:val="20"/>
          <w:szCs w:val="20"/>
          <w:color w:val="auto"/>
        </w:rPr>
      </w:pPr>
    </w:p>
    <w:p>
      <w:pPr>
        <w:jc w:val="both"/>
        <w:ind w:left="60" w:right="40" w:firstLine="405"/>
        <w:spacing w:after="0" w:line="259" w:lineRule="auto"/>
        <w:rPr>
          <w:sz w:val="20"/>
          <w:szCs w:val="20"/>
          <w:color w:val="auto"/>
        </w:rPr>
      </w:pPr>
      <w:r>
        <w:rPr>
          <w:rFonts w:ascii="Arial" w:cs="Arial" w:eastAsia="Arial" w:hAnsi="Arial"/>
          <w:sz w:val="18"/>
          <w:szCs w:val="18"/>
          <w:color w:val="auto"/>
        </w:rPr>
        <w:t>Also in December 2016, Wynn Resorts entered into an agreement with Crown to form a joint venture that will own and operate approximately 73,000 square feet of additional retail space that is currently under construction at Wynn Las Vegas. On April 3, 2017, the Company distributed $38.8 million of net assets associated with the additional retail space to Wynn Resorts. The Company expects the opening of the additional retail space to be in the first quarter of 2018.</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response to our evaluation of our property and our commitment to creating a unique customer experience, we have made and expect to continue to make enhancements and refinements to Wynn Las Vegas.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Certain key operating measures specific to the gaming industry are included in our discussion of the Company's operational performance for the periods for which Condensed Consolidated Statements of Comprehensive Income are presented. Below are definitions of these key operating measures discussed:</w:t>
      </w:r>
    </w:p>
    <w:p>
      <w:pPr>
        <w:spacing w:after="0" w:line="12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drop is the amount of cash and net markers issued that are deposited in a gaming table's drop box.</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revenues.</w:t>
      </w:r>
    </w:p>
    <w:p>
      <w:pPr>
        <w:spacing w:after="0" w:line="9" w:lineRule="exact"/>
        <w:rPr>
          <w:rFonts w:ascii="Arial" w:cs="Arial" w:eastAsia="Arial" w:hAnsi="Arial"/>
          <w:sz w:val="18"/>
          <w:szCs w:val="18"/>
          <w:color w:val="auto"/>
        </w:rPr>
      </w:pPr>
    </w:p>
    <w:p>
      <w:pPr>
        <w:ind w:left="900" w:right="460" w:hanging="325"/>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900" w:right="360" w:hanging="325"/>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first quarter 2017 results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consolidated financial results for the periods presented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5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900" w:type="dxa"/>
            <w:vAlign w:val="bottom"/>
          </w:tcPr>
          <w:p>
            <w:pPr>
              <w:jc w:val="right"/>
              <w:ind w:right="137"/>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396,220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389,435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128,116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109,024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During the three months ended March 31, 2017, net income was $19.1 million, compared to $2.0 million for the same period of 2016. Adjusted Property EBITDA increased $19.1 million, for the three months ended March 31, 2017 when compared to the same period of 2016. The increases in net income and Adjusted Property EBITDA were primarily due to improved casino operations, driven by an increase in table games win percentage, and hotel operations with increases in ADR and occupancy.</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offer gaming, hotel accommodations, dining, entertainment, convention services and other amenities at our resort. We currently rely solely upon the operations of Wynn Las Vegas for our operating cash flow. Concentration of our cash flows from Wynn Las Vegas exposes us to certain risks that competitors, whose operations are more diversified, may be better able to control. In addition to the concentration of operations at Wynn Las Vegas, many of our customers are premium gaming</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9"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customers who wager on credit, thus exposing us to increased credit risk. High-end gaming also increases the potential for variability in our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2017 compared to the three months ended March 31,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166,327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160,960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229,893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228,475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396,220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389,435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Casino revenues were 42.0% of total net revenues for the three months ended March 31, 2017, compared to 41.3% for the same period of 2016, while non-casino revenues were 58.0% of total revenues, compared to 58.7% for the same period of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Casino revenues increased 3.3%, or $5.4 million, to $166.3 million for the three months ended March 31, 2017, from $161.0 million for the same period of 2016. The increase was primarily due to an increase in table games win percentage of 2.2 percentage points from 26.3% to 28.5%, partially offset by a 3.5% year-over-year decrease in table drop.</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166,327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160,960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458,596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475,162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130,846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125,046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765,914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717,460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48,454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49,718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Non-casino revenues increased 0.6%, or $1.4 million, to $229.9 million for the three months ended March 31, 2017, from $228.5 million for the same period of 2016. The increase was primarily due to increases of 9.3% in room revenues and 5.9% in food and beverage revenues, partially offset by a 34.2% decrease in entertainment, retail and other revenues from the transaction involving the Retail Joint Venture.</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Room revenues increased 9.3%, or $9.8 million, to $115.0 million for the three months ended March 31, 2017, from $105.1 million for the same period of 2016. The increase was primarily due to a 5.7% increase in ADR to $315 for the three months ended March 31, 2017, compared to $298 for the same period of 2016 and a 3.8 percentage point increase in occupancy.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114,963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105,139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Except occupancy, which is presented as a percentage point change.</w:t>
      </w:r>
    </w:p>
    <w:p>
      <w:pPr>
        <w:spacing w:after="0" w:line="222"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Food and beverage revenues increased 5.9%, or $6.5 million, to $117.4 million for the three months ended March 31, 2017, from $110.9 million for the same period of 2016, primarily due to one of our nightclubs being closed for re-branding during the three months ended March 31, 2016.</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Entertainment, retail and other revenues decreased 34.2%, or $18.9 million, to $36.4 million for the three months ended March 31, 2017, from $55.2 million for the same period of 2016, primarily due to the transaction involving the Retail Joint Venture resulting in the distribution of the majority of our retail net assets to Wynn Resorts in December 2016.</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Promotional allowances decreased 9.3%, or $4.0 million, to $38.9 million for the three months ended March 31, 2017, from $42.8 million for the same period of 2016, primarily as a result of a greater percentage of cash paying guests in our rooms and food and beverage outlets.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Operating expenses decreased 2.8%, or $9.7 million, to $334.7 million for the three months ended March 31, 2017, from $344.4 million for the same period of 2016, primarily due to a decrease in entertainment, retail and other expenses of $11.5 million.</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Casino expenses decreased 4.5%, or $3.3 million, to $71.2 million for the three months ended March 31, 2017, from $74.5 million for the same period of 2016, primarily due to a reduction in the cost of providing complimentaries and other casino expenses.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Room expenses increased 7.2%, or $2.6 million, to $39.2 million for the three months ended March 31, 2017, from $36.5 million for the same period of 2016, primarily due to expenses associated with the increase in occupancy.</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Food and beverage expenses increased 4.9%, or $3.6 million, to $78.1 million for the three months ended March 31, 2017, from $74.4 million for the same period of 2016. The increase was commensurate with the 5.9% increase in food and beverage revenues.</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Entertainment, retail and other expenses decreased 34.3%, or $11.5 million, to $22.1 million for the three months ended March 31, 2017, from $33.6 million for the same period of 2016, primarily due to the transaction involving the Retail Joint Venture resulting in the distribution of the majority of our retail net assets to Wynn Resorts in December 2016.</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General and administrative expenses increased 2.1%, or $1.3 million, to $63.0 million for the three months ended March 31, 2017, from $61.7 million for the same period of 2016, primarily due to increased advertising related expenses.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Provision for doubtful accounts decreased 92.6%, or $4.9 million, to $0.4 million for the three months ended March 31, 2017, from $5.3 million for the same period of 2016. The decrease was primarily due to the impact of historical collection patterns and current collection trends, as well as the specific review of customer accounts, on our estimated allowance for the respective periods.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was relatively flat with $42.7 million for the three months ended March 31, 2017, compared to $43.0 million for the same period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resort. 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35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128,116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109,024</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35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45,194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12,325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720" w:type="dxa"/>
            <w:vAlign w:val="bottom"/>
          </w:tcPr>
          <w:p>
            <w:pPr>
              <w:ind w:left="70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66,607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64,012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45,012</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35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(43,004)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720" w:type="dxa"/>
            <w:vAlign w:val="bottom"/>
          </w:tcPr>
          <w:p>
            <w:pPr>
              <w:ind w:left="70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(42,988)</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7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operating cash flows primarily consist of our operating income generated by our resort (excluding depreciation and amortization and other non-cash charges), interest paid, and changes in working capital accounts such as receivables, inventories, prepaid expenses and payables. Our table games play is a mix of cash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flows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provided by operations for the three months ended March 31, 2017 was $45.8 million, compared to $22.0 million for the same period of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was primarily due to an increase in operating income and the collection of receivables.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2017 was $32.3 million, compared to $25.1 million for the same period of 2016, primarily consisting of capital expenditures, net of construction payables and retention. Capital expenditures, net of construction payables and retention, for the three months ended March 31, 2017 were primarily for the development of approximately 73,000 square feet of additional retail space and general property maintenance.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no financing activities for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of March 31, 2017, we had $239.2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current debt maturities and planned capital expenditure requirements with future anticipated cash flow from operations and our existing cash balances.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We have not entered into any transactions with special purpose entities nor do we engage in any derivatives. We do not have any retained or contingent interest in assets transferred to an unconsolidated entity. As of March 31, 2017, we had outstanding letters of credit totaling $14.6 million.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There have been no material changes outside the ordinary course of our business during the three months ended March 31, 2017 to our contractual obligations or off balance sheet arrangements as disclosed in our Annual Report on Form 10-K for the year ended December 31, 2016.</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We are restricted under the indenture governing our 5 3/8% First Mortgage Notes due 2022 from making certain "restricted payments" as defined therein. These restricted payments include the payments of dividends or distributions to any direct or indirect holders of equity interests of Wynn Las Vegas, LLC. These restricted payments may not be made unless certain financial and non-financial criteria have been satisfied.</w:t>
      </w:r>
    </w:p>
    <w:p>
      <w:pPr>
        <w:spacing w:after="0" w:line="166"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Legal proceedings in which Wynn Resorts is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8 "Commitments and Contingencies."</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2016. There have been no significant changes to these policies for the three months ended March 31,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Forward-looking statements are subject to a number of risks and uncertainties that could cause actual results to differ materially from those we express in these forward-looking statements, including the risks and uncertainties in Item 1A—"Risk Factors" of our Annual Report on Form 10-K for the year ended December 31, 2016 and other factors we describe from time to time in our periodic filings with the Securities and Exchange Commission ("SEC"), such as:</w:t>
      </w:r>
    </w:p>
    <w:p>
      <w:pPr>
        <w:spacing w:after="0" w:line="14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political and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tourism trends and impact on levels of travel, leisure and consumer spending, particularly from our international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FCPA;</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and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9" w:right="2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had $3.20 billion of fixed-rate debt outstanding as of March 31, 2017. As a result of our outstanding debt being based on fixed rates, we currently do not have exposure to adverse changes in market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40" w:firstLine="413"/>
        <w:spacing w:after="0" w:line="340" w:lineRule="auto"/>
        <w:tabs>
          <w:tab w:leader="none" w:pos="84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1" w:lineRule="exact"/>
        <w:rPr>
          <w:rFonts w:ascii="Arial" w:cs="Arial" w:eastAsia="Arial" w:hAnsi="Arial"/>
          <w:sz w:val="16"/>
          <w:szCs w:val="16"/>
          <w:color w:val="auto"/>
        </w:rPr>
      </w:pPr>
    </w:p>
    <w:p>
      <w:pPr>
        <w:jc w:val="both"/>
        <w:ind w:right="280" w:firstLine="413"/>
        <w:spacing w:after="0" w:line="311" w:lineRule="auto"/>
        <w:tabs>
          <w:tab w:leader="none" w:pos="858"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2016. There were no material changes to those risk factors during the three months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financial and non-financial criteria have been satisfied.</w:t>
      </w: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9"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4"/>
              <w:spacing w:after="0"/>
              <w:rPr>
                <w:sz w:val="20"/>
                <w:szCs w:val="20"/>
                <w:color w:val="auto"/>
              </w:rPr>
            </w:pPr>
            <w:r>
              <w:rPr>
                <w:rFonts w:ascii="Arial" w:cs="Arial" w:eastAsia="Arial" w:hAnsi="Arial"/>
                <w:sz w:val="18"/>
                <w:szCs w:val="18"/>
                <w:color w:val="auto"/>
              </w:rPr>
              <w:t>(a)</w:t>
            </w:r>
          </w:p>
        </w:tc>
        <w:tc>
          <w:tcPr>
            <w:tcW w:w="1058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96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580" w:type="dxa"/>
            <w:vAlign w:val="bottom"/>
            <w:gridSpan w:val="3"/>
            <w:vMerge w:val="restart"/>
          </w:tcPr>
          <w:p>
            <w:pPr>
              <w:ind w:left="940"/>
              <w:spacing w:after="0"/>
              <w:rPr>
                <w:sz w:val="20"/>
                <w:szCs w:val="20"/>
                <w:color w:val="auto"/>
              </w:rPr>
            </w:pPr>
            <w:r>
              <w:rPr>
                <w:rFonts w:ascii="Arial" w:cs="Arial" w:eastAsia="Arial" w:hAnsi="Arial"/>
                <w:sz w:val="18"/>
                <w:szCs w:val="18"/>
                <w:color w:val="auto"/>
                <w:w w:val="91"/>
              </w:rPr>
              <w:t>Fourth Restated Articles of Organization of Wynn Las Vegas, LLC. (Incorporated by reference from the Current Report on Form 8-K</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10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rPr>
              <w:t>filed by the Registrant on September 3, 2015.)</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90"/>
              </w:rPr>
              <w:t>Third Amended and Restated Operating Agreement of Wynn Las Vegas, LLC. (Incorporated by reference from the Current Report on</w:t>
            </w: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rPr>
              <w:t>Form 8-K filed by the Registrant on September 3, 2015.)</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92"/>
              </w:rPr>
              <w:t>Fifth Amendment to Credit Agreement, dated as of April 24, 2017, by and among Wynn America, LLC as borrower, the Guarantors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94"/>
              </w:rPr>
              <w:t>named therein, Deutsche Bank AG New York Branch, as administrative agent on behalf of the several banks and other financial</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99"/>
              </w:rPr>
              <w:t>institutions or entities from time to time party to Wynn America, LLC's Credit Agreement, dated as of November 20, 2014.</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quarter ended March 31, 2017, filed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96"/>
              </w:rPr>
              <w:t>with the SEC on May 4, 2017 formatted in Extensible Business Reporting Language (XBRL): (i) the Condensed Consolidated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89"/>
              </w:rPr>
              <w:t>Balance Sheets as of March 31, 2017 and December 31, 2016, (ii) the Condensed Consolidated Statements of Comprehensive Income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w w:val="94"/>
              </w:rPr>
              <w:t>for the three months ended March 31, 2017 and 2016, (iii) the Condensed Consolidated Statements of Cash Flows for the three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80" w:type="dxa"/>
            <w:vAlign w:val="bottom"/>
            <w:gridSpan w:val="3"/>
          </w:tcPr>
          <w:p>
            <w:pPr>
              <w:ind w:left="940"/>
              <w:spacing w:after="0"/>
              <w:rPr>
                <w:sz w:val="20"/>
                <w:szCs w:val="20"/>
                <w:color w:val="auto"/>
              </w:rPr>
            </w:pPr>
            <w:r>
              <w:rPr>
                <w:rFonts w:ascii="Arial" w:cs="Arial" w:eastAsia="Arial" w:hAnsi="Arial"/>
                <w:sz w:val="18"/>
                <w:szCs w:val="18"/>
                <w:color w:val="auto"/>
              </w:rPr>
              <w:t>months ended March 31, 2017 and 2016, and (iv) Notes to Condensed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54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9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9"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80"/>
          </w:cols>
          <w:pgMar w:left="240" w:top="279" w:right="8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FIFTH AMENDMENT TO CREDIT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This Fifth Amendment to Credit Agreement, dated as of April 24, 2017 (this “</w:t>
      </w:r>
      <w:r>
        <w:rPr>
          <w:rFonts w:ascii="Arial" w:cs="Arial" w:eastAsia="Arial" w:hAnsi="Arial"/>
          <w:sz w:val="19"/>
          <w:szCs w:val="19"/>
          <w:b w:val="1"/>
          <w:bCs w:val="1"/>
          <w:color w:val="auto"/>
        </w:rPr>
        <w:t>Agreement</w:t>
      </w:r>
      <w:r>
        <w:rPr>
          <w:rFonts w:ascii="Arial" w:cs="Arial" w:eastAsia="Arial" w:hAnsi="Arial"/>
          <w:sz w:val="19"/>
          <w:szCs w:val="19"/>
          <w:color w:val="auto"/>
        </w:rPr>
        <w:t>”), by and among Wynn America, LLC, a Nevada limited liability company (“</w:t>
      </w:r>
      <w:r>
        <w:rPr>
          <w:rFonts w:ascii="Arial" w:cs="Arial" w:eastAsia="Arial" w:hAnsi="Arial"/>
          <w:sz w:val="19"/>
          <w:szCs w:val="19"/>
          <w:b w:val="1"/>
          <w:bCs w:val="1"/>
          <w:color w:val="auto"/>
        </w:rPr>
        <w:t>Borrower</w:t>
      </w:r>
      <w:r>
        <w:rPr>
          <w:rFonts w:ascii="Arial" w:cs="Arial" w:eastAsia="Arial" w:hAnsi="Arial"/>
          <w:sz w:val="19"/>
          <w:szCs w:val="19"/>
          <w:color w:val="auto"/>
        </w:rPr>
        <w:t>”), the Guarantors (as defined in the Amended Credit Agreement referred to below) party hereto, Deutsche Bank AG New York Branch, as administrative agent (in such capacity, “</w:t>
      </w:r>
      <w:r>
        <w:rPr>
          <w:rFonts w:ascii="Arial" w:cs="Arial" w:eastAsia="Arial" w:hAnsi="Arial"/>
          <w:sz w:val="19"/>
          <w:szCs w:val="19"/>
          <w:b w:val="1"/>
          <w:bCs w:val="1"/>
          <w:color w:val="auto"/>
        </w:rPr>
        <w:t>Administrative Agent</w:t>
      </w:r>
      <w:r>
        <w:rPr>
          <w:rFonts w:ascii="Arial" w:cs="Arial" w:eastAsia="Arial" w:hAnsi="Arial"/>
          <w:sz w:val="19"/>
          <w:szCs w:val="19"/>
          <w:color w:val="auto"/>
        </w:rPr>
        <w:t>”) for (and on behalf of) the Lenders under the Existing Credit Agreement referred to below and, after giving effect hereto, the Amended Credit Agreement and as collateral agent (in such capacity,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Secured Parties (as defined under the Existing Credit Agreement and, after giving effect hereto, the Amended Credit Agreement), the Required Lenders (as defined in the Existing Credit Agreement), the Extending Revolving Lenders (as defined below), the Extending Term Facility Lenders (as defined below), the Extending Term Facility II Lenders (as defined below), the New Extending Term Facility Lenders and the L/C Lenders.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reference is hereby made to the Credit Agreement, dated as of November 20, 2014 (as amended by the First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Credit Agreement, dated as of November 5, 2015, the Second Amendment to Credit Agreement, dated as of December 21, 2015, the Third Amendment to Credit Agreement, dated as of June 21, 2016, the Fourth Amendment to Credit Agreement, dated as of July 1, 2016 and as it may be further amended, restated, replaced, supplemented or otherwise modified and as in effect immediately prior to giving effect to the amendments contemplated by this Agreement,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and the Existing Credit Agreement as modified by this Agreement, the “</w:t>
      </w:r>
      <w:r>
        <w:rPr>
          <w:rFonts w:ascii="Arial" w:cs="Arial" w:eastAsia="Arial" w:hAnsi="Arial"/>
          <w:sz w:val="18"/>
          <w:szCs w:val="18"/>
          <w:b w:val="1"/>
          <w:bCs w:val="1"/>
          <w:color w:val="auto"/>
        </w:rPr>
        <w:t>Amended Credit Agreement</w:t>
      </w:r>
      <w:r>
        <w:rPr>
          <w:rFonts w:ascii="Arial" w:cs="Arial" w:eastAsia="Arial" w:hAnsi="Arial"/>
          <w:sz w:val="18"/>
          <w:szCs w:val="18"/>
          <w:color w:val="auto"/>
        </w:rPr>
        <w:t>”; capitalized terms defined 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62"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terms and conditions of the Existing Credit Agreement, Borrower may request that all or a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Facility Loans be modified to constitute another Tranche of Term Loans in order to extend the final maturity date thereof;</w:t>
      </w:r>
    </w:p>
    <w:p>
      <w:pPr>
        <w:spacing w:after="0" w:line="142"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terms and conditions of the Existing Credit Agreement, Borrower may request that all or a portion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Facility II Loans be modified to constitute another Tranche of Term Loans in order to extend the final maturity date thereof;</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subject to the terms and conditions of the Existing Credit Agreement, Borrower may request that all or a portion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Revolving Commitments under the Closing Date Revolving Commitments be modified to constitute another Tranche of Revolving Commitments in order to extend the termination date thereof;</w:t>
      </w:r>
    </w:p>
    <w:p>
      <w:pPr>
        <w:spacing w:after="0" w:line="178"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hereof, Borrower will obtain $125,000,000 in New Extended Term Facility Loans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the Persons party hereto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New Extending Term Facility Lenders</w:t>
      </w:r>
      <w:r>
        <w:rPr>
          <w:rFonts w:ascii="Arial" w:cs="Arial" w:eastAsia="Arial" w:hAnsi="Arial"/>
          <w:sz w:val="18"/>
          <w:szCs w:val="18"/>
          <w:color w:val="auto"/>
        </w:rPr>
        <w:t>”), the proceeds of which will be used to voluntary prepay the Term Facility Loans (as defined in the Amended Credit Agreement and after giving effect to this Agreement); and</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7" w:name="page28"/>
    <w:bookmarkEnd w:id="27"/>
    <w:p>
      <w:pPr>
        <w:jc w:val="both"/>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Borrower, the Guarantors, the Required Lenders (as defined in the Existing Credit Agreement), Administrative Agent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Collateral Agent will make certain other amendments to the Existing Credit Agreement, in each case, as set forth herein.</w:t>
      </w:r>
    </w:p>
    <w:p>
      <w:pPr>
        <w:spacing w:after="0" w:line="1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DOCUMENTS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Consent of Lenders</w:t>
      </w:r>
      <w:r>
        <w:rPr>
          <w:rFonts w:ascii="Arial" w:cs="Arial" w:eastAsia="Arial" w:hAnsi="Arial"/>
          <w:sz w:val="20"/>
          <w:szCs w:val="20"/>
          <w:color w:val="auto"/>
        </w:rPr>
        <w:t>. Subject to the terms and conditions of this Agreement, each Lender that executes and delivers a signature page to this Agreement irrevocably agrees to the amendments to, and waivers and consents under, the Existing Credit Agreement and the other Credit Documents provided for herein with respect to all of such Lender’s Commitments and Loans as in effect immediately prior to the Agreement Effective Date. Such agreement shall be irrevocably binding on any subsequent assignees, transferees, participants, successors and assigns with respect to such Commitments and Loans.</w:t>
      </w: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Amendments to Existing Credit Agreement</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Section 9.08(b) of the Existing Credit Agreement is hereby amended by adding the following at the end thereof:</w:t>
      </w:r>
    </w:p>
    <w:p>
      <w:pPr>
        <w:spacing w:after="0" w:line="200" w:lineRule="exact"/>
        <w:rPr>
          <w:sz w:val="20"/>
          <w:szCs w:val="20"/>
          <w:color w:val="auto"/>
        </w:rPr>
      </w:pPr>
    </w:p>
    <w:p>
      <w:pPr>
        <w:spacing w:after="0" w:line="232"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and notwithstanding the foregoing, if any Credit Party shall be required to deliver a Mortgage on any new or additional Mortgaged Real Property pursuant to this Agreement or any other Credit Document, no such Mortgage shall be granted by the applicable Credit Party nor accepted by the Collateral Agent until the later of (A) 45 days after the delivery of the information required pursuant to clause (b)(3) above and (B) receipt of confirmation from the Administrative Agent that each Lender has confirmed to the Administrative Agent that it has completed its flood insurance due diligence to its reasonable satisfaction”</w:t>
      </w:r>
    </w:p>
    <w:p>
      <w:pPr>
        <w:spacing w:after="0" w:line="200" w:lineRule="exact"/>
        <w:rPr>
          <w:sz w:val="20"/>
          <w:szCs w:val="20"/>
          <w:color w:val="auto"/>
        </w:rPr>
      </w:pPr>
    </w:p>
    <w:p>
      <w:pPr>
        <w:spacing w:after="0" w:line="213" w:lineRule="exact"/>
        <w:rPr>
          <w:sz w:val="20"/>
          <w:szCs w:val="20"/>
          <w:color w:val="auto"/>
        </w:rPr>
      </w:pPr>
    </w:p>
    <w:p>
      <w:pPr>
        <w:ind w:left="660" w:firstLine="645"/>
        <w:spacing w:after="0" w:line="260" w:lineRule="auto"/>
        <w:tabs>
          <w:tab w:leader="none" w:pos="1773"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Section 10.01(m) of the Existing Credit Agreement is hereby amended by (i) deleting the term “$125.0” and replacing such term with “$250.0”, and (ii) deleting the term “$375.0” and replacing such term with “$500.0”.</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Amendments to Credit Documents</w:t>
      </w:r>
      <w:r>
        <w:rPr>
          <w:rFonts w:ascii="Arial" w:cs="Arial" w:eastAsia="Arial" w:hAnsi="Arial"/>
          <w:sz w:val="18"/>
          <w:szCs w:val="18"/>
          <w:color w:val="auto"/>
        </w:rPr>
        <w:t>. Each Lender, by executing this Agreement consents to, and authorizes Borrower, each Subsidiary Guarantor, Administrative Agent and Collateral Agent to enter into such amendments, restatements, amendment and restatements, supplements and modifications to the Security Documents and other Credit Documents as Administrative Agent deems reasonably necessary or desirable in connection with this Agreement and the transactions contemplated hereby.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EXTENSIONS OF TERM FACILITY LOANS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Term Facility Loans Extended</w:t>
      </w:r>
      <w:r>
        <w:rPr>
          <w:rFonts w:ascii="Arial" w:cs="Arial" w:eastAsia="Arial" w:hAnsi="Arial"/>
          <w:sz w:val="20"/>
          <w:szCs w:val="20"/>
          <w:color w:val="auto"/>
        </w:rPr>
        <w:t>. Upon the effectiveness hereof, the Term Facility Loans of each Term Facility Lender executing this Agreement (each an “</w:t>
      </w:r>
      <w:r>
        <w:rPr>
          <w:rFonts w:ascii="Arial" w:cs="Arial" w:eastAsia="Arial" w:hAnsi="Arial"/>
          <w:sz w:val="20"/>
          <w:szCs w:val="20"/>
          <w:b w:val="1"/>
          <w:bCs w:val="1"/>
          <w:color w:val="auto"/>
        </w:rPr>
        <w:t>Extending Term Facility Lender</w:t>
      </w:r>
      <w:r>
        <w:rPr>
          <w:rFonts w:ascii="Arial" w:cs="Arial" w:eastAsia="Arial" w:hAnsi="Arial"/>
          <w:sz w:val="20"/>
          <w:szCs w:val="20"/>
          <w:color w:val="auto"/>
        </w:rPr>
        <w:t xml:space="preserve">”), in the aggregate principal amount specified on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hereto, shall be modified into a new Tranche of</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28" w:name="page29"/>
    <w:bookmarkEnd w:id="28"/>
    <w:p>
      <w:pPr>
        <w:jc w:val="both"/>
        <w:ind w:right="20"/>
        <w:spacing w:after="0" w:line="295" w:lineRule="auto"/>
        <w:rPr>
          <w:sz w:val="20"/>
          <w:szCs w:val="20"/>
          <w:color w:val="auto"/>
        </w:rPr>
      </w:pPr>
      <w:r>
        <w:rPr>
          <w:rFonts w:ascii="Arial" w:cs="Arial" w:eastAsia="Arial" w:hAnsi="Arial"/>
          <w:sz w:val="20"/>
          <w:szCs w:val="20"/>
          <w:color w:val="auto"/>
        </w:rPr>
        <w:t>Term Loans (the “</w:t>
      </w:r>
      <w:r>
        <w:rPr>
          <w:rFonts w:ascii="Arial" w:cs="Arial" w:eastAsia="Arial" w:hAnsi="Arial"/>
          <w:sz w:val="20"/>
          <w:szCs w:val="20"/>
          <w:b w:val="1"/>
          <w:bCs w:val="1"/>
          <w:color w:val="auto"/>
        </w:rPr>
        <w:t>Extended Term Facility Loans</w:t>
      </w:r>
      <w:r>
        <w:rPr>
          <w:rFonts w:ascii="Arial" w:cs="Arial" w:eastAsia="Arial" w:hAnsi="Arial"/>
          <w:sz w:val="20"/>
          <w:szCs w:val="20"/>
          <w:color w:val="auto"/>
        </w:rPr>
        <w:t>”). Except as set forth below or in the Amended Credit Agreement, the Extended Term Facility Loans shall have all of the same terms as the Term Facility Loans from which they were modified.</w:t>
      </w:r>
    </w:p>
    <w:p>
      <w:pPr>
        <w:spacing w:after="0" w:line="386"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Maturity Date</w:t>
      </w:r>
      <w:r>
        <w:rPr>
          <w:rFonts w:ascii="Arial" w:cs="Arial" w:eastAsia="Arial" w:hAnsi="Arial"/>
          <w:sz w:val="18"/>
          <w:szCs w:val="18"/>
          <w:color w:val="auto"/>
        </w:rPr>
        <w:t>. The Extended Term Facility Loans shall mature on December 31, 2021.</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Amortization</w:t>
      </w:r>
      <w:r>
        <w:rPr>
          <w:rFonts w:ascii="Arial" w:cs="Arial" w:eastAsia="Arial" w:hAnsi="Arial"/>
          <w:sz w:val="20"/>
          <w:szCs w:val="20"/>
          <w:color w:val="auto"/>
        </w:rPr>
        <w:t xml:space="preserve">. The amortization schedule set forth on Annex B of the Existing Credit Agreement is hereby replaced in its entirety with the amortization schedule set forth on </w:t>
      </w:r>
      <w:r>
        <w:rPr>
          <w:rFonts w:ascii="Arial" w:cs="Arial" w:eastAsia="Arial" w:hAnsi="Arial"/>
          <w:sz w:val="20"/>
          <w:szCs w:val="20"/>
          <w:u w:val="single" w:color="auto"/>
          <w:color w:val="auto"/>
        </w:rPr>
        <w:t>Schedule E</w:t>
      </w:r>
      <w:r>
        <w:rPr>
          <w:rFonts w:ascii="Arial" w:cs="Arial" w:eastAsia="Arial" w:hAnsi="Arial"/>
          <w:sz w:val="20"/>
          <w:szCs w:val="20"/>
          <w:color w:val="auto"/>
        </w:rPr>
        <w:t xml:space="preserve"> hereto, which reflects (i) the amortization schedule (including the principal amounts payable pursuant thereto) of the Extended Term Facility Loans and (ii) ratable adjustments to the existing amortization schedule (including the principal amounts payable pursuant thereto) of the Term Facility Loans to reflect the amount of the Extended Term Facility Loans (it being understood, for the avoidance of doubt, that such adjustments shall not reduce the amount of any previously scheduled amortization payment payable to any Term Facility Lender with respect to Term Facility Loans which are not extended pursuant hereto). In any event, the Weighted Average Life to Maturity of such Extended Term Facility Loans shall be no shorter than the Weighted Average Life to Maturity of the Term Facility Loans.</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both"/>
        <w:ind w:left="660" w:firstLine="645"/>
        <w:spacing w:after="0" w:line="250" w:lineRule="auto"/>
        <w:tabs>
          <w:tab w:leader="none" w:pos="1587"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Any Extended Term Facility Loans may participate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a less than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(but not greater than a </w:t>
      </w:r>
      <w:r>
        <w:rPr>
          <w:rFonts w:ascii="Arial" w:cs="Arial" w:eastAsia="Arial" w:hAnsi="Arial"/>
          <w:sz w:val="20"/>
          <w:szCs w:val="20"/>
          <w:i w:val="1"/>
          <w:iCs w:val="1"/>
          <w:color w:val="auto"/>
        </w:rPr>
        <w:t xml:space="preserve">pro rata </w:t>
      </w:r>
      <w:r>
        <w:rPr>
          <w:rFonts w:ascii="Arial" w:cs="Arial" w:eastAsia="Arial" w:hAnsi="Arial"/>
          <w:sz w:val="20"/>
          <w:szCs w:val="20"/>
          <w:color w:val="auto"/>
        </w:rPr>
        <w:t>basis) in any optional or mandatory prepayments or prepayment of Term Facility Loans under the Amended Credit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in each case, as determined by Borrower.</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660" w:firstLine="645"/>
        <w:spacing w:after="0" w:line="250" w:lineRule="auto"/>
        <w:tabs>
          <w:tab w:leader="none" w:pos="1616"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To the extent that Section 2.10(b) of the Existing Credit Agreement applies to Term Facility Loans or Term Facility Lenders, subject to clause (a) above, such provisions shall also be deemed to apply to Extended Term Facility Loans and Extending Term Facility Lenders, </w:t>
      </w:r>
      <w:r>
        <w:rPr>
          <w:rFonts w:ascii="Arial" w:cs="Arial" w:eastAsia="Arial" w:hAnsi="Arial"/>
          <w:sz w:val="20"/>
          <w:szCs w:val="20"/>
          <w:i w:val="1"/>
          <w:iCs w:val="1"/>
          <w:color w:val="auto"/>
        </w:rPr>
        <w:t>mutatis mutundis</w:t>
      </w: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Existing Credit Agreement shall be deemed amended to reflect the terms set forth in Sections 1 through 4 of this Article II of this Agreement. Except as set forth in this Agreement (including the Schedules hereto), the Extended Term Facility Loans shall otherwise be subject to the provisions of the Amended Credit Agreement and the other Credit Documents.</w:t>
      </w:r>
    </w:p>
    <w:p>
      <w:pPr>
        <w:spacing w:after="0" w:line="3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Recordation of the Extended Term Facility Loans</w:t>
      </w:r>
      <w:r>
        <w:rPr>
          <w:rFonts w:ascii="Arial" w:cs="Arial" w:eastAsia="Arial" w:hAnsi="Arial"/>
          <w:sz w:val="20"/>
          <w:szCs w:val="20"/>
          <w:color w:val="auto"/>
        </w:rPr>
        <w:t>. Upon execution and delivery hereof, Administrative Agent will revise the Register to reflect the modification of Term Facility Loans into Extended Term Facility Loans as provided herein.</w:t>
      </w:r>
    </w:p>
    <w:p>
      <w:pPr>
        <w:spacing w:after="0" w:line="3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Term Loan Extension Request and Extension Amendment</w:t>
      </w:r>
      <w:r>
        <w:rPr>
          <w:rFonts w:ascii="Arial" w:cs="Arial" w:eastAsia="Arial" w:hAnsi="Arial"/>
          <w:sz w:val="20"/>
          <w:szCs w:val="20"/>
          <w:color w:val="auto"/>
        </w:rPr>
        <w:t>. (a) This Agreement shall be deemed to constitute the Term Loan Extension Request and the Extension Amendment with respect to the Extended Term Facility Loans in satisfaction of the applicable provisions of Section 2.13 of the Existing Credit Agreement, (b) the execution of this Agreement by each Term Facility Lender shall be deemed such Term Facility Lender’s Extension Election, and (c) the Extended Term Facility Loans are deemed to be “Extended Term Loans” and the Extending Term Facility Lenders are deemed to be “Extending Lenders”, in each case, under and as defined in Section 2.13 of the Amended Credit Agreement.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9"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EXTENSIONS OF TERM FACILITY II LOANS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Term Facility II Loans Extended</w:t>
      </w:r>
      <w:r>
        <w:rPr>
          <w:rFonts w:ascii="Arial" w:cs="Arial" w:eastAsia="Arial" w:hAnsi="Arial"/>
          <w:sz w:val="20"/>
          <w:szCs w:val="20"/>
          <w:color w:val="auto"/>
        </w:rPr>
        <w:t>. Upon the effectiveness hereof, the Term Facility II Loans of each Term Facility II Lender executing this Agreement (each an “</w:t>
      </w:r>
      <w:r>
        <w:rPr>
          <w:rFonts w:ascii="Arial" w:cs="Arial" w:eastAsia="Arial" w:hAnsi="Arial"/>
          <w:sz w:val="20"/>
          <w:szCs w:val="20"/>
          <w:b w:val="1"/>
          <w:bCs w:val="1"/>
          <w:color w:val="auto"/>
        </w:rPr>
        <w:t>Extending Term Facility II Lender</w:t>
      </w:r>
      <w:r>
        <w:rPr>
          <w:rFonts w:ascii="Arial" w:cs="Arial" w:eastAsia="Arial" w:hAnsi="Arial"/>
          <w:sz w:val="20"/>
          <w:szCs w:val="20"/>
          <w:color w:val="auto"/>
        </w:rPr>
        <w:t xml:space="preserve">”), in the aggregate principal amount specified on </w:t>
      </w:r>
      <w:r>
        <w:rPr>
          <w:rFonts w:ascii="Arial" w:cs="Arial" w:eastAsia="Arial" w:hAnsi="Arial"/>
          <w:sz w:val="20"/>
          <w:szCs w:val="20"/>
          <w:u w:val="single" w:color="auto"/>
          <w:color w:val="auto"/>
        </w:rPr>
        <w:t>Schedule C</w:t>
      </w:r>
      <w:r>
        <w:rPr>
          <w:rFonts w:ascii="Arial" w:cs="Arial" w:eastAsia="Arial" w:hAnsi="Arial"/>
          <w:sz w:val="20"/>
          <w:szCs w:val="20"/>
          <w:color w:val="auto"/>
        </w:rPr>
        <w:t xml:space="preserve"> hereto, shall be modified into a new Tranche of Term Loans (the “</w:t>
      </w:r>
      <w:r>
        <w:rPr>
          <w:rFonts w:ascii="Arial" w:cs="Arial" w:eastAsia="Arial" w:hAnsi="Arial"/>
          <w:sz w:val="20"/>
          <w:szCs w:val="20"/>
          <w:b w:val="1"/>
          <w:bCs w:val="1"/>
          <w:color w:val="auto"/>
        </w:rPr>
        <w:t>Extended Term Facility II Loans</w:t>
      </w:r>
      <w:r>
        <w:rPr>
          <w:rFonts w:ascii="Arial" w:cs="Arial" w:eastAsia="Arial" w:hAnsi="Arial"/>
          <w:sz w:val="20"/>
          <w:szCs w:val="20"/>
          <w:color w:val="auto"/>
        </w:rPr>
        <w:t>”). Except as set forth below or in the Amended Credit Agreement, the Extended Term Facility II Loans shall have all of the same terms as the Term Facility II Loans from which they were modified.</w:t>
      </w: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Maturity Date</w:t>
      </w:r>
      <w:r>
        <w:rPr>
          <w:rFonts w:ascii="Arial" w:cs="Arial" w:eastAsia="Arial" w:hAnsi="Arial"/>
          <w:sz w:val="18"/>
          <w:szCs w:val="18"/>
          <w:color w:val="auto"/>
        </w:rPr>
        <w:t>. The Extended Term Facility II Loans shall mature on December 31, 2021.</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both"/>
        <w:ind w:left="660" w:firstLine="645"/>
        <w:spacing w:after="0" w:line="250" w:lineRule="auto"/>
        <w:tabs>
          <w:tab w:leader="none" w:pos="1579"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Any Extended Term Facility II Loans may participate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a less than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(but not greater than a </w:t>
      </w:r>
      <w:r>
        <w:rPr>
          <w:rFonts w:ascii="Arial" w:cs="Arial" w:eastAsia="Arial" w:hAnsi="Arial"/>
          <w:sz w:val="20"/>
          <w:szCs w:val="20"/>
          <w:i w:val="1"/>
          <w:iCs w:val="1"/>
          <w:color w:val="auto"/>
        </w:rPr>
        <w:t xml:space="preserve">pro rata </w:t>
      </w:r>
      <w:r>
        <w:rPr>
          <w:rFonts w:ascii="Arial" w:cs="Arial" w:eastAsia="Arial" w:hAnsi="Arial"/>
          <w:sz w:val="20"/>
          <w:szCs w:val="20"/>
          <w:color w:val="auto"/>
        </w:rPr>
        <w:t>basis) in any optional or mandatory prepayments or prepayment of Term Facility II Loans under the Amended Credit</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in each case, as determined by Borrower.</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660" w:firstLine="645"/>
        <w:spacing w:after="0" w:line="250" w:lineRule="auto"/>
        <w:tabs>
          <w:tab w:leader="none" w:pos="16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To the extent that Section 2.10(b) of the Existing Credit Agreement applies to Term Facility II Loans or Term Facility II Lenders, subject to clause (a) above, such provisions shall also be deemed to apply to Extended Term Facility II Loans and Extending Term Facility II Lenders, </w:t>
      </w:r>
      <w:r>
        <w:rPr>
          <w:rFonts w:ascii="Arial" w:cs="Arial" w:eastAsia="Arial" w:hAnsi="Arial"/>
          <w:sz w:val="20"/>
          <w:szCs w:val="20"/>
          <w:i w:val="1"/>
          <w:iCs w:val="1"/>
          <w:color w:val="auto"/>
        </w:rPr>
        <w:t>mutatis mutundis</w:t>
      </w: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Existing Credit Agreement shall be deemed amended to reflect the terms set forth in Sections 1 through 3 of this Article III of this Agreement. Except as set forth in this Agreement (including the Schedules hereto), the Extended Term Facility II Loans shall otherwise be subject to the provisions of the Amended Credit Agreement and the other Credit Documents.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Recordation of the Extended Term Facility II Loans</w:t>
      </w:r>
      <w:r>
        <w:rPr>
          <w:rFonts w:ascii="Arial" w:cs="Arial" w:eastAsia="Arial" w:hAnsi="Arial"/>
          <w:sz w:val="19"/>
          <w:szCs w:val="19"/>
          <w:color w:val="auto"/>
        </w:rPr>
        <w:t>. Upon execution and delivery hereof, Administrative Agent will revise the Register to reflect the modification of Term Facility II Loans into Extended Term Facility II Loans as provided herein.</w:t>
      </w:r>
    </w:p>
    <w:p>
      <w:pPr>
        <w:spacing w:after="0" w:line="3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Term Loan Extension Request and Extension Amendment</w:t>
      </w:r>
      <w:r>
        <w:rPr>
          <w:rFonts w:ascii="Arial" w:cs="Arial" w:eastAsia="Arial" w:hAnsi="Arial"/>
          <w:sz w:val="20"/>
          <w:szCs w:val="20"/>
          <w:color w:val="auto"/>
        </w:rPr>
        <w:t>. (a) This Agreement shall be deemed to constitute the Term Loan Extension Request and the Extension Amendment with respect to the Extended Term Facility II Loans in satisfaction of the applicable provisions of Section 2.13 of the Existing Credit Agreement, (b) the execution of this Agreement by each Term Facility II Lender shall be deemed such Term Facility II Lender’s Extension Election, and (c) the Extended Term Facility II Loans are deemed to be “Extended Term Loans” and the Extending Term Facility II Lenders are deemed to be “Extending Lenders”, in each case, under and as defined in Section 2.13 of the Amended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EXTENSIONS OF REVOLVING COMMITMENTS AND REVOLVING LOANS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Revolving Commitments and Revolving Loans Extended</w:t>
      </w:r>
      <w:r>
        <w:rPr>
          <w:rFonts w:ascii="Arial" w:cs="Arial" w:eastAsia="Arial" w:hAnsi="Arial"/>
          <w:sz w:val="20"/>
          <w:szCs w:val="20"/>
          <w:color w:val="auto"/>
        </w:rPr>
        <w:t>. Upon the effectiveness hereof, the Closing Date Revolving Commitments and Revolving Loans with respect thereto of each Revolving Lender executing this Agreement (each an “</w:t>
      </w:r>
      <w:r>
        <w:rPr>
          <w:rFonts w:ascii="Arial" w:cs="Arial" w:eastAsia="Arial" w:hAnsi="Arial"/>
          <w:sz w:val="20"/>
          <w:szCs w:val="20"/>
          <w:b w:val="1"/>
          <w:bCs w:val="1"/>
          <w:color w:val="auto"/>
        </w:rPr>
        <w:t>Extending</w:t>
      </w:r>
      <w:r>
        <w:rPr>
          <w:rFonts w:ascii="Arial" w:cs="Arial" w:eastAsia="Arial" w:hAnsi="Arial"/>
          <w:sz w:val="20"/>
          <w:szCs w:val="20"/>
          <w:color w:val="auto"/>
        </w:rPr>
        <w:t xml:space="preserve"> </w:t>
      </w:r>
      <w:r>
        <w:rPr>
          <w:rFonts w:ascii="Arial" w:cs="Arial" w:eastAsia="Arial" w:hAnsi="Arial"/>
          <w:sz w:val="20"/>
          <w:szCs w:val="20"/>
          <w:b w:val="1"/>
          <w:bCs w:val="1"/>
          <w:color w:val="auto"/>
        </w:rPr>
        <w:t>Revolving Lender</w:t>
      </w:r>
      <w:r>
        <w:rPr>
          <w:rFonts w:ascii="Arial" w:cs="Arial" w:eastAsia="Arial" w:hAnsi="Arial"/>
          <w:sz w:val="20"/>
          <w:szCs w:val="20"/>
          <w:color w:val="auto"/>
        </w:rPr>
        <w:t>”), in the amounts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0" w:right="239" w:bottom="1440" w:gutter="0" w:footer="0" w:header="0"/>
          <w:type w:val="continuous"/>
        </w:sectPr>
      </w:pPr>
    </w:p>
    <w:bookmarkStart w:id="30" w:name="page31"/>
    <w:bookmarkEnd w:id="30"/>
    <w:p>
      <w:pPr>
        <w:jc w:val="both"/>
        <w:spacing w:after="0" w:line="316" w:lineRule="auto"/>
        <w:rPr>
          <w:sz w:val="20"/>
          <w:szCs w:val="20"/>
          <w:color w:val="auto"/>
        </w:rPr>
      </w:pPr>
      <w:r>
        <w:rPr>
          <w:rFonts w:ascii="Arial" w:cs="Arial" w:eastAsia="Arial" w:hAnsi="Arial"/>
          <w:sz w:val="18"/>
          <w:szCs w:val="18"/>
          <w:color w:val="auto"/>
        </w:rPr>
        <w:t xml:space="preserve">specified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hereto, shall be modified into a new Tranche of Revolving Commitments (the “</w:t>
      </w:r>
      <w:r>
        <w:rPr>
          <w:rFonts w:ascii="Arial" w:cs="Arial" w:eastAsia="Arial" w:hAnsi="Arial"/>
          <w:sz w:val="18"/>
          <w:szCs w:val="18"/>
          <w:b w:val="1"/>
          <w:bCs w:val="1"/>
          <w:color w:val="auto"/>
        </w:rPr>
        <w:t>Extended Revolving Commitments</w:t>
      </w:r>
      <w:r>
        <w:rPr>
          <w:rFonts w:ascii="Arial" w:cs="Arial" w:eastAsia="Arial" w:hAnsi="Arial"/>
          <w:sz w:val="18"/>
          <w:szCs w:val="18"/>
          <w:color w:val="auto"/>
        </w:rPr>
        <w:t>”) and a new Tranche of Revolving Loans (the “</w:t>
      </w:r>
      <w:r>
        <w:rPr>
          <w:rFonts w:ascii="Arial" w:cs="Arial" w:eastAsia="Arial" w:hAnsi="Arial"/>
          <w:sz w:val="18"/>
          <w:szCs w:val="18"/>
          <w:b w:val="1"/>
          <w:bCs w:val="1"/>
          <w:color w:val="auto"/>
        </w:rPr>
        <w:t>Extended Revolving Loans</w:t>
      </w:r>
      <w:r>
        <w:rPr>
          <w:rFonts w:ascii="Arial" w:cs="Arial" w:eastAsia="Arial" w:hAnsi="Arial"/>
          <w:sz w:val="18"/>
          <w:szCs w:val="18"/>
          <w:color w:val="auto"/>
        </w:rPr>
        <w:t>”), respectively. Except as set forth below or in the Amended Credit Agreement, the Extended Revolving Commitments and Extended Revolving Loans shall have all of the same terms as the Closing Date Revolving Commitments and Revolving Loans with respect thereto, as applicable, from which they were modified.</w:t>
      </w:r>
    </w:p>
    <w:p>
      <w:pPr>
        <w:spacing w:after="0" w:line="3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Termination Date/ Maturity Date</w:t>
      </w:r>
      <w:r>
        <w:rPr>
          <w:rFonts w:ascii="Arial" w:cs="Arial" w:eastAsia="Arial" w:hAnsi="Arial"/>
          <w:sz w:val="20"/>
          <w:szCs w:val="20"/>
          <w:color w:val="auto"/>
        </w:rPr>
        <w:t>. The Extended Revolving Commitments and the Extended Revolving Loans shall mature, in each case, on December 31, 2021.</w:t>
      </w:r>
    </w:p>
    <w:p>
      <w:pPr>
        <w:spacing w:after="0" w:line="392"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Application of Payments; Borrowings of Revolving Loans; Letters of Credit</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both"/>
        <w:ind w:left="660" w:firstLine="645"/>
        <w:spacing w:after="0" w:line="246" w:lineRule="auto"/>
        <w:tabs>
          <w:tab w:leader="none" w:pos="1612"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the Amended Credit Agreement, including Section 2.04(b) and Section 2.09(b) thereof, Borrower may reduce Tranches of Revolving Commitments (and prepayments of the related Revolving Loans) with an R/C Maturity Date prior to the R/C Maturity Date applicable to a Tranche of Extended Revolving Commitments without a concurrent reduction of such Tranche of Extended Revolving Commitments.</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660" w:firstLine="645"/>
        <w:spacing w:after="0" w:line="250" w:lineRule="auto"/>
        <w:tabs>
          <w:tab w:leader="none" w:pos="1602"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 purposes of clarification, but subject to other applicable terms and conditions of the Amended Credit Agreement, the Borrower may borrower under the Closing Date Revolving Commitments or under the Extended Revolving Commitments, in each case, as determined by Borrower.</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660" w:firstLine="645"/>
        <w:spacing w:after="0" w:line="287" w:lineRule="auto"/>
        <w:tabs>
          <w:tab w:leader="none" w:pos="1578"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Notwithstanding anything to the contrary in the Amended Credit Agreement, Letters of Credit may only be issued under the Extended Revolving Commitments and all related Letter of Credit related provisions shall be interpreted accordingly.</w:t>
      </w:r>
    </w:p>
    <w:p>
      <w:pPr>
        <w:spacing w:after="0" w:line="3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Existing Credit Agreement shall be deemed amended to reflect the terms set forth in Sections 1 through 3 of this Article IV of this Agreement. Except as set forth in this Agreement (including the Schedules hereto), the Extended Revolving Commitments and Extended Revolving Loans shall otherwise be subject to the provisions of the Amended Credit Agreement and the other Credit Documents.</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9"/>
          <w:szCs w:val="19"/>
          <w:u w:val="single" w:color="auto"/>
          <w:color w:val="auto"/>
        </w:rPr>
        <w:t>Recordation of the Extended Revolving Commitments and the Extended Revolving Loans</w:t>
      </w:r>
      <w:r>
        <w:rPr>
          <w:rFonts w:ascii="Arial" w:cs="Arial" w:eastAsia="Arial" w:hAnsi="Arial"/>
          <w:sz w:val="19"/>
          <w:szCs w:val="19"/>
          <w:color w:val="auto"/>
        </w:rPr>
        <w:t>. Upon</w:t>
      </w:r>
    </w:p>
    <w:p>
      <w:pPr>
        <w:spacing w:after="0" w:line="2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execution and delivery hereof, Administrative Agent will revise the Register to reflect the modification of Closing Date Revolving Commitments and Revolving Loans with respect thereto into Extended Revolving Commitments and Extended Revolving Loans as provided herein.</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9"/>
          <w:szCs w:val="19"/>
          <w:u w:val="single" w:color="auto"/>
          <w:color w:val="auto"/>
        </w:rPr>
        <w:t>Revolving Extension Request and Extension Amendment</w:t>
      </w:r>
      <w:r>
        <w:rPr>
          <w:rFonts w:ascii="Arial" w:cs="Arial" w:eastAsia="Arial" w:hAnsi="Arial"/>
          <w:sz w:val="19"/>
          <w:szCs w:val="19"/>
          <w:color w:val="auto"/>
        </w:rPr>
        <w:t>. (a) This Agreement shall be deemed to</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constitute the Revolving Extension Request and the Extension Amendment with respect to the Extended Revolving Commitments and Extended Revolving Loans in satisfaction of the applicable provisions of Section 2.13 of the Existing Credit Agreement, (b) the execution of this Agreement by each Extending Revolving Lender shall be deemed such Extending Revolving Lender’s Extension Election, and (c) the Extended Revolving Commitments are deemed to be “Extended Revolving Commitments”, the Extended Revolving Loans are deemed to be “Extended Revolving Loans” and the Extending Revolving Lenders are deemed to be “Extending Lenders”, in each case, under and as defined in Section 2.13 of the Amended Credit Agreement.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TO PROVIDE NEW EXTENDED TERM FACILITY LOANS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Agreement to Provide New Extended Term Facility Commitments</w:t>
      </w:r>
      <w:r>
        <w:rPr>
          <w:rFonts w:ascii="Arial" w:cs="Arial" w:eastAsia="Arial" w:hAnsi="Arial"/>
          <w:sz w:val="20"/>
          <w:szCs w:val="20"/>
          <w:color w:val="auto"/>
        </w:rPr>
        <w:t xml:space="preserve">. Each New Extending Term Facility Lender that executes and delivers this Agreement as a “New Extending Term Facility Lender” agrees in connection therewith to provide its respective commitment to make loans as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on the terms set forth in this Agreement and the Amended Credit Agreement (each such commitment, a “</w:t>
      </w:r>
      <w:r>
        <w:rPr>
          <w:rFonts w:ascii="Arial" w:cs="Arial" w:eastAsia="Arial" w:hAnsi="Arial"/>
          <w:sz w:val="20"/>
          <w:szCs w:val="20"/>
          <w:b w:val="1"/>
          <w:bCs w:val="1"/>
          <w:color w:val="auto"/>
        </w:rPr>
        <w:t>New Extended Term Facility Commitment</w:t>
      </w:r>
      <w:r>
        <w:rPr>
          <w:rFonts w:ascii="Arial" w:cs="Arial" w:eastAsia="Arial" w:hAnsi="Arial"/>
          <w:sz w:val="20"/>
          <w:szCs w:val="20"/>
          <w:color w:val="auto"/>
        </w:rPr>
        <w:t>” and any loans made thereunder, “</w:t>
      </w:r>
      <w:r>
        <w:rPr>
          <w:rFonts w:ascii="Arial" w:cs="Arial" w:eastAsia="Arial" w:hAnsi="Arial"/>
          <w:sz w:val="20"/>
          <w:szCs w:val="20"/>
          <w:b w:val="1"/>
          <w:bCs w:val="1"/>
          <w:color w:val="auto"/>
        </w:rPr>
        <w:t>New Extended</w:t>
      </w:r>
      <w:r>
        <w:rPr>
          <w:rFonts w:ascii="Arial" w:cs="Arial" w:eastAsia="Arial" w:hAnsi="Arial"/>
          <w:sz w:val="20"/>
          <w:szCs w:val="20"/>
          <w:color w:val="auto"/>
        </w:rPr>
        <w:t xml:space="preserve"> </w:t>
      </w:r>
      <w:r>
        <w:rPr>
          <w:rFonts w:ascii="Arial" w:cs="Arial" w:eastAsia="Arial" w:hAnsi="Arial"/>
          <w:sz w:val="20"/>
          <w:szCs w:val="20"/>
          <w:b w:val="1"/>
          <w:bCs w:val="1"/>
          <w:color w:val="auto"/>
        </w:rPr>
        <w:t>Term Facility Loans</w:t>
      </w:r>
      <w:r>
        <w:rPr>
          <w:rFonts w:ascii="Arial" w:cs="Arial" w:eastAsia="Arial" w:hAnsi="Arial"/>
          <w:sz w:val="20"/>
          <w:szCs w:val="20"/>
          <w:color w:val="auto"/>
        </w:rPr>
        <w:t>”), and its commitment to provide such New Extended Term Facility Commitment shall be irrevocably binding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Effective Date.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Agreement to Make New Extended Term Facility Loans</w:t>
      </w:r>
      <w:r>
        <w:rPr>
          <w:rFonts w:ascii="Arial" w:cs="Arial" w:eastAsia="Arial" w:hAnsi="Arial"/>
          <w:sz w:val="18"/>
          <w:szCs w:val="18"/>
          <w:color w:val="auto"/>
        </w:rPr>
        <w:t>. Each New Extending Term Facility Lender with a New Extended Term Facility Commitment agrees, severally and not jointly, on the terms and conditions of this Agreement and the Amended Credit Agreement, to make New Extended Term Facility Loans to Borrower in Dollars on the Agreement Effective Date, in an aggregate principal amount at any one time outstanding not exceeding the amount of the New Extended Term Facility Commitment of such New Extending Term Facility Lender as in effect from time to time. It is the understanding, agreement and intention that once made pursuant to this Section 2, any New Extended Term Facility Loans shall be deemed to be Extended Term Facility Loans for all purposes of this Agreement and the Amended Credit Agreement. Upon the making of the New Extended Term Facility Loans, Borrower shall use the proceeds of such New Extended Term Facility Loans for a voluntary prepayment, without premium or penalty, of the Term Facility Loans.</w:t>
      </w:r>
    </w:p>
    <w:p>
      <w:pPr>
        <w:spacing w:after="0" w:line="3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New Lenders</w:t>
      </w:r>
      <w:r>
        <w:rPr>
          <w:rFonts w:ascii="Arial" w:cs="Arial" w:eastAsia="Arial" w:hAnsi="Arial"/>
          <w:sz w:val="20"/>
          <w:szCs w:val="20"/>
          <w:color w:val="auto"/>
        </w:rPr>
        <w:t>. Each New Extending Term Facility Lender acknowledges and agrees that (a) upon the occurrence of the Agreement Effective Date, it shall be bound under this Agreement and (b) upon the occurrence of the Agreement Effective Date with respect to the New Extended Term Facility Loans it shall be bound under the Amended Credit Agreement as an Extending Term Facility Lender holding Extended Term Facility Loans, and shall perform all the obligations of and shall have all rights of an Extending Term Facility Lender thereunder.</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Interest Period For LIBOR Loans</w:t>
      </w:r>
      <w:r>
        <w:rPr>
          <w:rFonts w:ascii="Arial" w:cs="Arial" w:eastAsia="Arial" w:hAnsi="Arial"/>
          <w:sz w:val="20"/>
          <w:szCs w:val="20"/>
          <w:color w:val="auto"/>
        </w:rPr>
        <w:t>. The initial Interest Period for all New Extended Term Facility Loans hereunder shall commence upon the making of such New Extended Term Facility Loan and end on the last day of the Interest Period(s) applicable to the Extended Term Facility Loans (as of the date of the making of the New Extended Term Facility Loans) and such New Extended Term Facility Loans shall have the same LIBO Rate as the corresponding Extended Term Facility Loans (and, if there are multiple Interest Periods and/or multiple LIBO Rates applicable to the Extended Term Facility Loans as of such date of the making of the New Extended Term Facility Loans, then the New Extended Term Facility Loans shall have multiple Interest Periods ending on the same days (and having the same LIBO Rates) as such Interest Periods, and with respect to amounts proportionate to the amount of the Extended Term Facility Loans applicable to such Interest Periods).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executing this Agreement each New Extending Term Facility Lender (i)</w:t>
      </w:r>
      <w:r>
        <w:rPr>
          <w:rFonts w:ascii="Arial" w:cs="Arial" w:eastAsia="Arial" w:hAnsi="Arial"/>
          <w:sz w:val="20"/>
          <w:szCs w:val="20"/>
          <w:b w:val="1"/>
          <w:bCs w:val="1"/>
          <w:color w:val="auto"/>
        </w:rPr>
        <w:t xml:space="preserve"> </w:t>
      </w:r>
      <w:r>
        <w:rPr>
          <w:rFonts w:ascii="Arial" w:cs="Arial" w:eastAsia="Arial" w:hAnsi="Arial"/>
          <w:sz w:val="20"/>
          <w:szCs w:val="20"/>
          <w:color w:val="auto"/>
        </w:rPr>
        <w:t>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Amended Credit Agreement;</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32" w:name="page33"/>
    <w:bookmarkEnd w:id="32"/>
    <w:p>
      <w:pPr>
        <w:jc w:val="both"/>
        <w:ind w:firstLine="8"/>
        <w:spacing w:after="0" w:line="273" w:lineRule="auto"/>
        <w:tabs>
          <w:tab w:leader="none" w:pos="353" w:val="left"/>
        </w:tabs>
        <w:numPr>
          <w:ilvl w:val="0"/>
          <w:numId w:val="14"/>
        </w:numPr>
        <w:rPr>
          <w:rFonts w:ascii="Arial" w:cs="Arial" w:eastAsia="Arial" w:hAnsi="Arial"/>
          <w:sz w:val="20"/>
          <w:szCs w:val="20"/>
          <w:color w:val="auto"/>
        </w:rPr>
      </w:pPr>
      <w:r>
        <w:rPr>
          <w:rFonts w:ascii="Arial" w:cs="Arial" w:eastAsia="Arial" w:hAnsi="Arial"/>
          <w:sz w:val="20"/>
          <w:szCs w:val="20"/>
          <w:color w:val="auto"/>
        </w:rPr>
        <w:t>appoints and authorizes Administrative Agent and each other Agent to take such action as agent on its behalf and to exercise such powers under the Amended Credit Agreement and the other Credit Documents as are delegated to Administrative Agent or such other Agent, as the case may be, by the terms thereof, together with such powers as are reasonably incidental thereto; and (iv) agrees that it will perform in accordance with their terms all of the obligations which by the terms of the Amended Credit Agreement are required to be performed by it as an Extending Term Facility Lender thereunder.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 AND WARRANTIES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the Lenders party hereto to agree to this Agreement and the New Extending Term Facility Lenders to provide the New Extended Term Facility Commitments, the Credit Parties represent to Administrative Agent, the Lenders and the New Extending Term Facility Lenders that, as of the Agreement Effective Date:</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Credit Party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3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Action; Enforceability</w:t>
      </w:r>
      <w:r>
        <w:rPr>
          <w:rFonts w:ascii="Arial" w:cs="Arial" w:eastAsia="Arial" w:hAnsi="Arial"/>
          <w:sz w:val="20"/>
          <w:szCs w:val="20"/>
          <w:color w:val="auto"/>
        </w:rPr>
        <w:t>. Each Credit Party has all necessary corporate or other organizational power, 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No Breach; No Default</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both"/>
        <w:ind w:left="660" w:firstLine="645"/>
        <w:spacing w:after="0" w:line="257" w:lineRule="auto"/>
        <w:tabs>
          <w:tab w:leader="none" w:pos="1776"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5"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20"/>
          <w:szCs w:val="20"/>
          <w:color w:val="auto"/>
        </w:rPr>
        <w:t>respect to (i)(y), (i)(z), (ii) or (iii) which would not reasonably be expected to result in a Material Adverse Effect; and</w:t>
      </w:r>
    </w:p>
    <w:p>
      <w:pPr>
        <w:spacing w:after="0" w:line="200" w:lineRule="exact"/>
        <w:rPr>
          <w:sz w:val="20"/>
          <w:szCs w:val="20"/>
          <w:color w:val="auto"/>
        </w:rPr>
      </w:pPr>
    </w:p>
    <w:p>
      <w:pPr>
        <w:spacing w:after="0" w:line="232" w:lineRule="exact"/>
        <w:rPr>
          <w:sz w:val="20"/>
          <w:szCs w:val="20"/>
          <w:color w:val="auto"/>
        </w:rPr>
      </w:pPr>
    </w:p>
    <w:p>
      <w:pPr>
        <w:ind w:left="1720" w:hanging="415"/>
        <w:spacing w:after="0"/>
        <w:tabs>
          <w:tab w:leader="none" w:pos="1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209" w:lineRule="exact"/>
        <w:rPr>
          <w:rFonts w:ascii="Arial" w:cs="Arial" w:eastAsia="Arial" w:hAnsi="Arial"/>
          <w:sz w:val="20"/>
          <w:szCs w:val="20"/>
          <w:color w:val="auto"/>
        </w:rPr>
      </w:pPr>
    </w:p>
    <w:p>
      <w:pPr>
        <w:ind w:left="5100"/>
        <w:spacing w:after="0"/>
        <w:rPr>
          <w:rFonts w:ascii="Arial" w:cs="Arial" w:eastAsia="Arial" w:hAnsi="Arial"/>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AGREEMENT EFFECTIVE DATE</w:t>
      </w:r>
    </w:p>
    <w:p>
      <w:pPr>
        <w:spacing w:after="0" w:line="2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This Agreement and the Amended Credit Agreement, and the obligations of the New Extending Term Facility Lenders to make the New Extended Term Facility Loans, shall become effective on the date (the “</w:t>
      </w:r>
      <w:r>
        <w:rPr>
          <w:rFonts w:ascii="Arial" w:cs="Arial" w:eastAsia="Arial" w:hAnsi="Arial"/>
          <w:sz w:val="20"/>
          <w:szCs w:val="20"/>
          <w:b w:val="1"/>
          <w:bCs w:val="1"/>
          <w:color w:val="auto"/>
        </w:rPr>
        <w:t>Agreement Effective Date</w:t>
      </w:r>
      <w:r>
        <w:rPr>
          <w:rFonts w:ascii="Arial" w:cs="Arial" w:eastAsia="Arial" w:hAnsi="Arial"/>
          <w:sz w:val="20"/>
          <w:szCs w:val="20"/>
          <w:color w:val="auto"/>
        </w:rPr>
        <w:t>”) on which each of the following conditions is satisfied or waived:</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Administrative Agent shall have received executed counterparts of this Agreement from each Credit Party, the Administrative Agent, the Collateral Agent, the Required Lenders (as defined in the Existing Credit Agreement), each Extending Revolving Lender, each Extending Term Facility Lender, each Extending Term Facility II Lender, all of the New Extending Term Facility Lenders and all of the L/C Lenders.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Costs and Expenses</w:t>
      </w:r>
      <w:r>
        <w:rPr>
          <w:rFonts w:ascii="Arial" w:cs="Arial" w:eastAsia="Arial" w:hAnsi="Arial"/>
          <w:sz w:val="20"/>
          <w:szCs w:val="20"/>
          <w:color w:val="auto"/>
        </w:rPr>
        <w:t>. To the extent invoiced at least three (3) Business Days prior to the Agreement 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 including all reasonable and documented out-of-pocket fees, costs and expenses incurred in connection with the preparation, execution, filing and recordation of the Mortgage Amendments (as defined below) and the delivery of the title endorsements described below.</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9"/>
          <w:szCs w:val="19"/>
          <w:u w:val="single" w:color="auto"/>
          <w:color w:val="auto"/>
        </w:rPr>
        <w:t>No Default or Event of Default; Representations and Warranties True</w:t>
      </w:r>
      <w:r>
        <w:rPr>
          <w:rFonts w:ascii="Arial" w:cs="Arial" w:eastAsia="Arial" w:hAnsi="Arial"/>
          <w:sz w:val="19"/>
          <w:szCs w:val="19"/>
          <w:color w:val="auto"/>
        </w:rPr>
        <w:t>. Both immediately prior to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immediately after giving effect to this Agreement:</w:t>
      </w:r>
    </w:p>
    <w:p>
      <w:pPr>
        <w:spacing w:after="0" w:line="200" w:lineRule="exact"/>
        <w:rPr>
          <w:sz w:val="20"/>
          <w:szCs w:val="20"/>
          <w:color w:val="auto"/>
        </w:rPr>
      </w:pPr>
    </w:p>
    <w:p>
      <w:pPr>
        <w:spacing w:after="0" w:line="245" w:lineRule="exact"/>
        <w:rPr>
          <w:sz w:val="20"/>
          <w:szCs w:val="20"/>
          <w:color w:val="auto"/>
        </w:rPr>
      </w:pPr>
    </w:p>
    <w:p>
      <w:pPr>
        <w:ind w:left="1760" w:hanging="455"/>
        <w:spacing w:after="0"/>
        <w:tabs>
          <w:tab w:leader="none" w:pos="17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jc w:val="both"/>
        <w:ind w:left="660" w:firstLine="645"/>
        <w:spacing w:after="0" w:line="260" w:lineRule="auto"/>
        <w:tabs>
          <w:tab w:leader="none" w:pos="1868"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each of the representations and warranties made by the Credit Parties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hereof and in the other Credit Documents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Authorizations</w:t>
      </w:r>
      <w:r>
        <w:rPr>
          <w:rFonts w:ascii="Arial" w:cs="Arial" w:eastAsia="Arial" w:hAnsi="Arial"/>
          <w:sz w:val="20"/>
          <w:szCs w:val="20"/>
          <w:color w:val="auto"/>
        </w:rPr>
        <w:t xml:space="preserve">. (a) All authorizations, approvals or consents of, and filings or registrations with, any Governmental Authority (including, without limitation, all Gaming Approvals) or any securities exchange necessary for the execution, delivery or performance by any Credit Party of this Agreement or for the legality, validity or enforceability hereof or for the consummation of this Agreement (including the Amended Credit Agreement) and the incurrence of the New Extended Term Facility Commitments shall have been received, and (b) Borrower shall have delivered written notice to Administrative Agent certifying that the condition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has been satisfied.</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Amendment Fees</w:t>
      </w:r>
      <w:r>
        <w:rPr>
          <w:rFonts w:ascii="Arial" w:cs="Arial" w:eastAsia="Arial" w:hAnsi="Arial"/>
          <w:sz w:val="20"/>
          <w:szCs w:val="20"/>
          <w:color w:val="auto"/>
        </w:rPr>
        <w:t>. On the Agreement Effective Date, Borrower shall pay to Administrative Agent, for the account of each Extending Lender and each New Extending Term Facility</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34" w:name="page35"/>
    <w:bookmarkEnd w:id="34"/>
    <w:p>
      <w:pPr>
        <w:jc w:val="both"/>
        <w:spacing w:after="0" w:line="297" w:lineRule="auto"/>
        <w:rPr>
          <w:sz w:val="20"/>
          <w:szCs w:val="20"/>
          <w:color w:val="auto"/>
        </w:rPr>
      </w:pPr>
      <w:r>
        <w:rPr>
          <w:rFonts w:ascii="Arial" w:cs="Arial" w:eastAsia="Arial" w:hAnsi="Arial"/>
          <w:sz w:val="18"/>
          <w:szCs w:val="18"/>
          <w:color w:val="auto"/>
        </w:rPr>
        <w:t>Lender, an amendment fee equal to 0.375% of the sum of the principal amount of such Extending Lender’s or New Extending Term Facility Lender’s Extended Term Facility Loans, Extended Term Facility II Loans, Extended Revolving Commitments and New Extended Term Facility Loans in effect after giving effect to this Agreement; provided, that in the event that any New Extending Term Facility Lender’s aggregate principal amount of Extended Term Facility Loans, Extended Term Facility II Loans, Extended Revolving Commitments and New Extended Term Facility Loans after giving effect to this Agreement exceeds the aggregate principal amount of Term Facility Commitments, Term Facility</w:t>
      </w:r>
    </w:p>
    <w:p>
      <w:pPr>
        <w:spacing w:after="0" w:line="2" w:lineRule="exact"/>
        <w:rPr>
          <w:sz w:val="20"/>
          <w:szCs w:val="20"/>
          <w:color w:val="auto"/>
        </w:rPr>
      </w:pPr>
    </w:p>
    <w:p>
      <w:pPr>
        <w:jc w:val="both"/>
        <w:ind w:firstLine="8"/>
        <w:spacing w:after="0" w:line="314"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Commitments and Revolving Commitments of such New Extending Term Facility Lender listed on Annex A-1, Annex A-2 and Annex A-4 of the Existing Credit Agreement (the cumulative amount of such excess, such New Extending Term Facility Lender’s “</w:t>
      </w:r>
      <w:r>
        <w:rPr>
          <w:rFonts w:ascii="Arial" w:cs="Arial" w:eastAsia="Arial" w:hAnsi="Arial"/>
          <w:sz w:val="18"/>
          <w:szCs w:val="18"/>
          <w:b w:val="1"/>
          <w:bCs w:val="1"/>
          <w:color w:val="auto"/>
        </w:rPr>
        <w:t>Fifth 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 Increase</w:t>
      </w:r>
      <w:r>
        <w:rPr>
          <w:rFonts w:ascii="Arial" w:cs="Arial" w:eastAsia="Arial" w:hAnsi="Arial"/>
          <w:sz w:val="18"/>
          <w:szCs w:val="18"/>
          <w:color w:val="auto"/>
        </w:rPr>
        <w:t>”), then Borrower shall pay to the Administrative Agent, for the account of each such New Extending Term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an additional amendment fee equal to 0.125% of such New Extending Term Facility Lender’s Fifth Amendment Commitment Increase.</w:t>
      </w:r>
    </w:p>
    <w:p>
      <w:pPr>
        <w:spacing w:after="0" w:line="375"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Real Property</w:t>
      </w:r>
      <w:r>
        <w:rPr>
          <w:rFonts w:ascii="Arial" w:cs="Arial" w:eastAsia="Arial" w:hAnsi="Arial"/>
          <w:sz w:val="20"/>
          <w:szCs w:val="20"/>
          <w:color w:val="auto"/>
        </w:rPr>
        <w:t>. Collateral Agent shall have received the following items with respect to each Mortgaged Real Property:</w:t>
      </w:r>
    </w:p>
    <w:p>
      <w:pPr>
        <w:spacing w:after="0" w:line="386" w:lineRule="exact"/>
        <w:rPr>
          <w:sz w:val="20"/>
          <w:szCs w:val="20"/>
          <w:color w:val="auto"/>
        </w:rPr>
      </w:pPr>
    </w:p>
    <w:p>
      <w:pPr>
        <w:jc w:val="both"/>
        <w:ind w:left="660" w:firstLine="645"/>
        <w:spacing w:after="0" w:line="274" w:lineRule="auto"/>
        <w:tabs>
          <w:tab w:leader="none" w:pos="2176"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amendment to each Mortgage encumbering Mortgaged Real Property (the “</w:t>
      </w:r>
      <w:r>
        <w:rPr>
          <w:rFonts w:ascii="Arial" w:cs="Arial" w:eastAsia="Arial" w:hAnsi="Arial"/>
          <w:sz w:val="20"/>
          <w:szCs w:val="20"/>
          <w:b w:val="1"/>
          <w:bCs w:val="1"/>
          <w:color w:val="auto"/>
        </w:rPr>
        <w:t>Mortgage Amendments</w:t>
      </w:r>
      <w:r>
        <w:rPr>
          <w:rFonts w:ascii="Arial" w:cs="Arial" w:eastAsia="Arial" w:hAnsi="Arial"/>
          <w:sz w:val="20"/>
          <w:szCs w:val="20"/>
          <w:color w:val="auto"/>
        </w:rPr>
        <w:t>”) each duly executed and delivered by an authorized officer of each Credit Party party thereto and in form suitable for filing and recording in all filing or recording offices that Administrative Agent may deem necessary or desirable unless Administrative Agent is satisfied in its reasonable discretion that Mortgage Amendments are not required in order to secure the applicable Credit Party’s obligations as modified hereby;</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jc w:val="both"/>
        <w:ind w:left="660" w:firstLine="645"/>
        <w:spacing w:after="0" w:line="274" w:lineRule="auto"/>
        <w:tabs>
          <w:tab w:leader="none" w:pos="2187"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endorsement to each of the title policies provided to the Collateral Agent by the Credit Parties with respect to each Mortgage encumbering Mortgaged Real Property, which endorsement shall insure against loss or damage sustained by reasonable of the invalidity or unenforceability of the lien of the existing Mortgages as a result of the execution and recording of the applicable Mortgage Amendment;</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jc w:val="both"/>
        <w:ind w:left="660" w:firstLine="645"/>
        <w:spacing w:after="0" w:line="322" w:lineRule="auto"/>
        <w:tabs>
          <w:tab w:leader="none" w:pos="2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completed “life-of-loan” Federal Emergency Management Agency standard flood hazard determination (to the extent a Mortgaged Real Property is located in a Special Flood Hazard Area, together with a notice about Special Flood Hazard Area status and flood disaster assistance duly executed by the Borrower and the applicable Loan Party relating thereto); and</w:t>
      </w:r>
    </w:p>
    <w:p>
      <w:pPr>
        <w:spacing w:after="0" w:line="368" w:lineRule="exact"/>
        <w:rPr>
          <w:rFonts w:ascii="Arial" w:cs="Arial" w:eastAsia="Arial" w:hAnsi="Arial"/>
          <w:sz w:val="18"/>
          <w:szCs w:val="18"/>
          <w:color w:val="auto"/>
        </w:rPr>
      </w:pPr>
    </w:p>
    <w:p>
      <w:pPr>
        <w:ind w:left="660" w:right="20" w:firstLine="645"/>
        <w:spacing w:after="0" w:line="289" w:lineRule="auto"/>
        <w:tabs>
          <w:tab w:leader="none" w:pos="2187" w:val="left"/>
        </w:tabs>
        <w:numPr>
          <w:ilvl w:val="0"/>
          <w:numId w:val="19"/>
        </w:numPr>
        <w:rPr>
          <w:rFonts w:ascii="Arial" w:cs="Arial" w:eastAsia="Arial" w:hAnsi="Arial"/>
          <w:sz w:val="20"/>
          <w:szCs w:val="20"/>
          <w:color w:val="auto"/>
        </w:rPr>
      </w:pPr>
      <w:r>
        <w:rPr>
          <w:rFonts w:ascii="Arial" w:cs="Arial" w:eastAsia="Arial" w:hAnsi="Arial"/>
          <w:sz w:val="20"/>
          <w:szCs w:val="20"/>
          <w:color w:val="auto"/>
        </w:rPr>
        <w:t>evidence of payment by the Borrower of, mortgage recording taxes, fees, charges, costs and expenses required for the recording of each Mortgage Amendment and issuance of each title endorsement.</w:t>
      </w:r>
    </w:p>
    <w:p>
      <w:pPr>
        <w:spacing w:after="0" w:line="3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Opinions of Counsel</w:t>
      </w:r>
      <w:r>
        <w:rPr>
          <w:rFonts w:ascii="Arial" w:cs="Arial" w:eastAsia="Arial" w:hAnsi="Arial"/>
          <w:sz w:val="20"/>
          <w:szCs w:val="20"/>
          <w:color w:val="auto"/>
        </w:rPr>
        <w:t>. Administrative Agent shall have received an opinion of Latham &amp; Watkins LLP, special counsel to the Credit Parties, addressed to the Administrative Agent, the Collateral Agent and the Lenders, dated the Amendment Effective Date and covering such matters as the Administrative Agent shall reasonably request in a manner customary for transactions of this type.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Notes</w:t>
      </w:r>
      <w:r>
        <w:rPr>
          <w:rFonts w:ascii="Arial" w:cs="Arial" w:eastAsia="Arial" w:hAnsi="Arial"/>
          <w:sz w:val="20"/>
          <w:szCs w:val="20"/>
          <w:color w:val="auto"/>
        </w:rPr>
        <w:t>. Administrative Agent shall have received copies of new Notes with respect to Loans in effect immediately after the Amendment Effective Date, duly completed and executed, for each Lender that requested a Note at least three (3) Business Days prior to the Amendment Effective Date.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5" w:right="239" w:bottom="1440" w:gutter="0" w:footer="0" w:header="0"/>
        </w:sectPr>
      </w:pPr>
    </w:p>
    <w:bookmarkStart w:id="35" w:name="page36"/>
    <w:bookmarkEnd w:id="35"/>
    <w:p>
      <w:pPr>
        <w:jc w:val="both"/>
        <w:ind w:firstLine="648"/>
        <w:spacing w:after="0" w:line="289"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Notice of Borrowing</w:t>
      </w:r>
      <w:r>
        <w:rPr>
          <w:rFonts w:ascii="Arial" w:cs="Arial" w:eastAsia="Arial" w:hAnsi="Arial"/>
          <w:sz w:val="20"/>
          <w:szCs w:val="20"/>
          <w:color w:val="auto"/>
        </w:rPr>
        <w:t>. Administrative Agent shall have received a Notice of Borrowing duly completed and complying with Section 4.05 of the Existing Credit Agreement for the New Extended Term Facility Loans.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Validity of Obligations</w:t>
      </w:r>
      <w:r>
        <w:rPr>
          <w:rFonts w:ascii="Arial" w:cs="Arial" w:eastAsia="Arial" w:hAnsi="Arial"/>
          <w:sz w:val="20"/>
          <w:szCs w:val="20"/>
          <w:color w:val="auto"/>
        </w:rPr>
        <w:t>. Each Credit Party acknowledges and agrees that, both before and after giving effect to this Agreement and the Amended Credit Agreement, each Credit Party is, jointly and severally, indebted to the Lenders and the other Secured Parties for the Obligations, without defense, counterclaim or offset of any kind and each Credit Party hereby ratifies and reaffirms the validity, enforceability and 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Validity of Liens and Credit Documents</w:t>
      </w:r>
      <w:r>
        <w:rPr>
          <w:rFonts w:ascii="Arial" w:cs="Arial" w:eastAsia="Arial" w:hAnsi="Arial"/>
          <w:sz w:val="19"/>
          <w:szCs w:val="19"/>
          <w:color w:val="auto"/>
        </w:rPr>
        <w:t>. Each Credit Party hereby ratifies and reaffirms the validity, 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u w:val="single" w:color="auto"/>
          <w:color w:val="auto"/>
        </w:rPr>
        <w:t>Notice</w:t>
      </w:r>
      <w:r>
        <w:rPr>
          <w:rFonts w:ascii="Arial" w:cs="Arial" w:eastAsia="Arial" w:hAnsi="Arial"/>
          <w:sz w:val="16"/>
          <w:szCs w:val="16"/>
          <w:color w:val="auto"/>
        </w:rPr>
        <w:t>. For purposes of this Agreement, the notice address of each party hereto shall be as set forth in the</w:t>
      </w:r>
    </w:p>
    <w:p>
      <w:pPr>
        <w:spacing w:after="0" w:line="27"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Existing Credit Agreement and the initial notice address of each New Extending Term Facility Lender shall be set forth below its signature hereto.</w:t>
      </w:r>
    </w:p>
    <w:p>
      <w:pPr>
        <w:spacing w:after="0" w:line="3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This Agreement may not be amended, modified or waived except 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5" w:right="239" w:bottom="1440" w:gutter="0" w:footer="0" w:header="0"/>
        </w:sectPr>
      </w:pPr>
    </w:p>
    <w:bookmarkStart w:id="36" w:name="page37"/>
    <w:bookmarkEnd w:id="36"/>
    <w:p>
      <w:pPr>
        <w:jc w:val="both"/>
        <w:ind w:firstLine="648"/>
        <w:spacing w:after="0" w:line="29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Amended Credit Agreement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3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SERVICE OF PROCESS</w:t>
      </w:r>
      <w:r>
        <w:rPr>
          <w:rFonts w:ascii="Arial" w:cs="Arial" w:eastAsia="Arial" w:hAnsi="Arial"/>
          <w:sz w:val="20"/>
          <w:szCs w:val="20"/>
          <w:color w:val="auto"/>
        </w:rPr>
        <w:t>. EACH PARTY HERETO AGREES THAT SECTION 13.09(b) OF THE EXISTING CREDIT AGREEMENT (OR, AFTER GIVING EFFECT TO THE AMENDMENTS CONTEMPLATED HEREBY, THE AMENDED CREDIT AGREEMENT) SHALL APPLY TO THIS AGREEMENT MUTATIS MUTANDIS.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200" w:lineRule="exact"/>
        <w:rPr>
          <w:sz w:val="20"/>
          <w:szCs w:val="20"/>
          <w:color w:val="auto"/>
        </w:rPr>
      </w:pPr>
    </w:p>
    <w:p>
      <w:pPr>
        <w:spacing w:after="0" w:line="208"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Credit Document</w:t>
      </w:r>
      <w:r>
        <w:rPr>
          <w:rFonts w:ascii="Arial" w:cs="Arial" w:eastAsia="Arial" w:hAnsi="Arial"/>
          <w:sz w:val="20"/>
          <w:szCs w:val="20"/>
          <w:color w:val="auto"/>
        </w:rPr>
        <w:t>. This Agreement shall constitute a “Credit Document” as defined in the Existing Credit Agreement.</w:t>
      </w:r>
    </w:p>
    <w:p>
      <w:pPr>
        <w:spacing w:after="0" w:line="39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Novation</w:t>
      </w:r>
      <w:r>
        <w:rPr>
          <w:rFonts w:ascii="Arial" w:cs="Arial" w:eastAsia="Arial" w:hAnsi="Arial"/>
          <w:sz w:val="18"/>
          <w:szCs w:val="18"/>
          <w:color w:val="auto"/>
        </w:rPr>
        <w:t>. This Agreement shall not extinguish the obligations for the payment of money outstanding 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38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Acknowledgment</w:t>
      </w:r>
      <w:r>
        <w:rPr>
          <w:rFonts w:ascii="Arial" w:cs="Arial" w:eastAsia="Arial" w:hAnsi="Arial"/>
          <w:sz w:val="19"/>
          <w:szCs w:val="19"/>
          <w:color w:val="auto"/>
        </w:rPr>
        <w:t>. The execution, delivery and effectiveness of this Amendment shall not, except as expressly provided herein, operate as a waiver of any right, power or remedy of any Lender or the Agent under any of the Credit Documents, nor, except as expressly provided herein, constitute a waiver or amendment of any provision of any of the Credit Documents.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5" w:right="239" w:bottom="1440" w:gutter="0" w:footer="0" w:header="0"/>
        </w:sectPr>
      </w:pPr>
    </w:p>
    <w:bookmarkStart w:id="37" w:name="page38"/>
    <w:bookmarkEnd w:id="37"/>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Agreement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64"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WYNN AMERICA, LLC,</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Nevada limited liability company,</w:t>
      </w:r>
    </w:p>
    <w:p>
      <w:pPr>
        <w:ind w:left="39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 Nevada corporation,</w:t>
      </w:r>
    </w:p>
    <w:p>
      <w:pPr>
        <w:ind w:left="5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43"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1116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Name: Craig S. Billings</w:t>
      </w:r>
    </w:p>
    <w:p>
      <w:pPr>
        <w:ind w:left="5200"/>
        <w:spacing w:after="0"/>
        <w:rPr>
          <w:sz w:val="20"/>
          <w:szCs w:val="20"/>
          <w:color w:val="auto"/>
        </w:rPr>
      </w:pPr>
      <w:r>
        <w:rPr>
          <w:rFonts w:ascii="Arial" w:cs="Arial" w:eastAsia="Arial" w:hAnsi="Arial"/>
          <w:sz w:val="20"/>
          <w:szCs w:val="20"/>
          <w:color w:val="auto"/>
        </w:rPr>
        <w:t>Title: Chief Financial Officer and Treasurer</w:t>
      </w:r>
    </w:p>
    <w:p>
      <w:pPr>
        <w:sectPr>
          <w:pgSz w:w="11900" w:h="16838" w:orient="portrait"/>
          <w:cols w:equalWidth="0" w:num="1">
            <w:col w:w="11420"/>
          </w:cols>
          <w:pgMar w:left="240" w:top="589" w:right="239" w:bottom="1440" w:gutter="0" w:footer="0" w:header="0"/>
        </w:sectPr>
      </w:pPr>
    </w:p>
    <w:bookmarkStart w:id="38" w:name="page39"/>
    <w:bookmarkEnd w:id="38"/>
    <w:p>
      <w:pPr>
        <w:ind w:left="238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0" w:lineRule="exact"/>
        <w:rPr>
          <w:sz w:val="20"/>
          <w:szCs w:val="20"/>
          <w:color w:val="auto"/>
        </w:rPr>
      </w:pPr>
    </w:p>
    <w:p>
      <w:pPr>
        <w:spacing w:after="0" w:line="253"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WYNN LAS VEGAS HOLDINGS,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a Nevada limited liability company,</w:t>
      </w:r>
    </w:p>
    <w:p>
      <w:pPr>
        <w:ind w:left="38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 Nevada corporation,</w:t>
      </w:r>
    </w:p>
    <w:p>
      <w:pPr>
        <w:ind w:left="448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11169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0"/>
          <w:szCs w:val="20"/>
          <w:color w:val="auto"/>
        </w:rPr>
        <w:t>Name: Craig S. Billings</w:t>
      </w:r>
    </w:p>
    <w:p>
      <w:pPr>
        <w:ind w:left="4700"/>
        <w:spacing w:after="0"/>
        <w:rPr>
          <w:sz w:val="20"/>
          <w:szCs w:val="20"/>
          <w:color w:val="auto"/>
        </w:rPr>
      </w:pPr>
      <w:r>
        <w:rPr>
          <w:rFonts w:ascii="Arial" w:cs="Arial" w:eastAsia="Arial" w:hAnsi="Arial"/>
          <w:sz w:val="18"/>
          <w:szCs w:val="18"/>
          <w:color w:val="auto"/>
        </w:rPr>
        <w:t>Title: Chief Financial Officer and Treasurer</w:t>
      </w:r>
    </w:p>
    <w:p>
      <w:pPr>
        <w:spacing w:after="0" w:line="200" w:lineRule="exact"/>
        <w:rPr>
          <w:sz w:val="20"/>
          <w:szCs w:val="20"/>
          <w:color w:val="auto"/>
        </w:rPr>
      </w:pPr>
    </w:p>
    <w:p>
      <w:pPr>
        <w:spacing w:after="0" w:line="260"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WYNN MA,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limited liability company,</w:t>
      </w:r>
    </w:p>
    <w:p>
      <w:pPr>
        <w:ind w:left="33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 Nevada limited liability company,</w:t>
      </w:r>
    </w:p>
    <w:p>
      <w:pPr>
        <w:ind w:left="376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 Nevada corporation,</w:t>
      </w:r>
    </w:p>
    <w:p>
      <w:pPr>
        <w:ind w:left="44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By: /s/Craig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1085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0"/>
          <w:szCs w:val="20"/>
          <w:color w:val="auto"/>
        </w:rPr>
        <w:t>Name: Craig S. Billings</w:t>
      </w:r>
    </w:p>
    <w:p>
      <w:pPr>
        <w:jc w:val="right"/>
        <w:ind w:right="859"/>
        <w:spacing w:after="0"/>
        <w:rPr>
          <w:sz w:val="20"/>
          <w:szCs w:val="20"/>
          <w:color w:val="auto"/>
        </w:rPr>
      </w:pPr>
      <w:r>
        <w:rPr>
          <w:rFonts w:ascii="Arial" w:cs="Arial" w:eastAsia="Arial" w:hAnsi="Arial"/>
          <w:sz w:val="20"/>
          <w:szCs w:val="20"/>
          <w:color w:val="auto"/>
        </w:rPr>
        <w:t>Title: Chief Financial Officer and Treasurer</w:t>
      </w:r>
    </w:p>
    <w:p>
      <w:pPr>
        <w:sectPr>
          <w:pgSz w:w="11900" w:h="16838" w:orient="portrait"/>
          <w:cols w:equalWidth="0" w:num="1">
            <w:col w:w="9019"/>
          </w:cols>
          <w:pgMar w:left="1440" w:top="595" w:right="1440" w:bottom="1440" w:gutter="0" w:footer="0" w:header="0"/>
        </w:sectPr>
      </w:pPr>
    </w:p>
    <w:bookmarkStart w:id="39" w:name="page40"/>
    <w:bookmarkEnd w:id="39"/>
    <w:p>
      <w:pPr>
        <w:ind w:left="2380"/>
        <w:spacing w:after="0"/>
        <w:rPr>
          <w:sz w:val="20"/>
          <w:szCs w:val="20"/>
          <w:color w:val="auto"/>
        </w:rPr>
      </w:pPr>
      <w:r>
        <w:rPr>
          <w:rFonts w:ascii="Arial" w:cs="Arial" w:eastAsia="Arial" w:hAnsi="Arial"/>
          <w:sz w:val="20"/>
          <w:szCs w:val="20"/>
          <w:b w:val="1"/>
          <w:bCs w:val="1"/>
          <w:color w:val="auto"/>
        </w:rPr>
        <w:t>EVERETT PROPERTY,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Massachusetts limited liability company</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 Nevada limited liability company,</w:t>
      </w:r>
    </w:p>
    <w:p>
      <w:pPr>
        <w:ind w:left="358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 Nevada corporation,</w:t>
      </w:r>
    </w:p>
    <w:p>
      <w:pPr>
        <w:ind w:left="44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1116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Name: Craig S. Billings</w:t>
      </w:r>
    </w:p>
    <w:p>
      <w:pPr>
        <w:jc w:val="right"/>
        <w:ind w:right="1019"/>
        <w:spacing w:after="0"/>
        <w:rPr>
          <w:sz w:val="20"/>
          <w:szCs w:val="20"/>
          <w:color w:val="auto"/>
        </w:rPr>
      </w:pPr>
      <w:r>
        <w:rPr>
          <w:rFonts w:ascii="Arial" w:cs="Arial" w:eastAsia="Arial" w:hAnsi="Arial"/>
          <w:sz w:val="20"/>
          <w:szCs w:val="20"/>
          <w:color w:val="auto"/>
        </w:rPr>
        <w:t>Title: Chief Financial Officer and Treasurer</w:t>
      </w:r>
    </w:p>
    <w:p>
      <w:pPr>
        <w:sectPr>
          <w:pgSz w:w="11900" w:h="16838" w:orient="portrait"/>
          <w:cols w:equalWidth="0" w:num="1">
            <w:col w:w="9019"/>
          </w:cols>
          <w:pgMar w:left="1440" w:top="819" w:right="1440"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DEUTSCHE BANK AG NEW YORK BRANCH</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 and as Collateral Agent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20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Mary Kay Coyle</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882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Anca Trifan</w:t>
      </w:r>
    </w:p>
    <w:p>
      <w:pPr>
        <w:ind w:left="42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219"/>
          </w:cols>
          <w:pgMar w:left="240" w:top="589" w:right="1440"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DEUTSCHE BANK AG NEW YORK BRANCH,</w:t>
      </w:r>
    </w:p>
    <w:p>
      <w:pPr>
        <w:spacing w:after="0" w:line="22" w:lineRule="exact"/>
        <w:rPr>
          <w:sz w:val="20"/>
          <w:szCs w:val="20"/>
          <w:color w:val="auto"/>
        </w:rPr>
      </w:pPr>
    </w:p>
    <w:p>
      <w:pPr>
        <w:ind w:right="4779"/>
        <w:spacing w:after="0" w:line="244" w:lineRule="auto"/>
        <w:rPr>
          <w:sz w:val="20"/>
          <w:szCs w:val="20"/>
          <w:color w:val="auto"/>
        </w:rPr>
      </w:pPr>
      <w:r>
        <w:rPr>
          <w:rFonts w:ascii="Arial" w:cs="Arial" w:eastAsia="Arial" w:hAnsi="Arial"/>
          <w:sz w:val="20"/>
          <w:szCs w:val="20"/>
          <w:color w:val="auto"/>
        </w:rPr>
        <w:t>as an Extending Revolving Lender, Extending Term Facility Lender, New Extending Term Facility Lender and L/C Lender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20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Mary Kay Coyle</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/s/ Anca Trifan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882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Anca Trifan</w:t>
      </w:r>
    </w:p>
    <w:p>
      <w:pPr>
        <w:ind w:left="42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219"/>
          </w:cols>
          <w:pgMar w:left="240" w:top="360" w:right="1440"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GOLDMAN SACHS BANK USA,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837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Annie Carr</w:t>
      </w:r>
    </w:p>
    <w:p>
      <w:pPr>
        <w:ind w:left="4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0219"/>
          </w:cols>
          <w:pgMar w:left="240" w:top="360" w:right="1440"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Mohammad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28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Name: Mohammad Hasan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Title: Executive Director</w:t>
      </w:r>
    </w:p>
    <w:p>
      <w:pPr>
        <w:sectPr>
          <w:pgSz w:w="11900" w:h="16838" w:orient="portrait"/>
          <w:cols w:equalWidth="0" w:num="1">
            <w:col w:w="10219"/>
          </w:cols>
          <w:pgMar w:left="240" w:top="1022" w:right="1440"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SunTrust Bank,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Tesha Winslow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47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Name: Tesha Winslow</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219"/>
          </w:cols>
          <w:pgMar w:left="240" w:top="1021" w:right="1440"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Consented to by: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Fifth Third Bank, as a Continuing Term Facility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Lender and a Continuing Revolving Lender and L/C Lender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By: /s/ Andy Tessema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17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Andy Tessema</w:t>
      </w:r>
    </w:p>
    <w:p>
      <w:pPr>
        <w:ind w:left="4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219"/>
          </w:cols>
          <w:pgMar w:left="240" w:top="1022" w:right="1440"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BANK OF NOVA SCOTIA,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Kim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887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709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Kim Snyder</w:t>
      </w:r>
    </w:p>
    <w:p>
      <w:pPr>
        <w:ind w:left="4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219"/>
          </w:cols>
          <w:pgMar w:left="240" w:top="360" w:right="1440"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 and Investment Bank,</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as Lender and L/C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Steven Jonassen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96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Steven Jonassen</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/s/ Adam Jenner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423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Adam Jenner</w:t>
      </w:r>
    </w:p>
    <w:p>
      <w:pPr>
        <w:ind w:left="4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219"/>
          </w:cols>
          <w:pgMar w:left="240" w:top="1022" w:right="1440"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BNP PARIBAS,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Duane Helkowski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798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Name: Duane Helkowski</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By: /s/ Pawel Zelezik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912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123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Pawel Zelezik</w:t>
      </w:r>
    </w:p>
    <w:p>
      <w:pPr>
        <w:ind w:left="4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219"/>
          </w:cols>
          <w:pgMar w:left="240" w:top="1022" w:right="1440"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MORGAN STANLEY SENIOR FUNDING, INC.,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70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028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Michael King</w:t>
      </w:r>
    </w:p>
    <w:p>
      <w:pPr>
        <w:ind w:left="42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219"/>
          </w:cols>
          <w:pgMar w:left="240" w:top="1022" w:right="1440"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BANK OF AMERICA, N.A.,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as Lender and L/C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89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Brian D. Corum</w:t>
      </w:r>
    </w:p>
    <w:p>
      <w:pPr>
        <w:ind w:left="420"/>
        <w:spacing w:after="0"/>
        <w:rPr>
          <w:sz w:val="20"/>
          <w:szCs w:val="20"/>
          <w:color w:val="auto"/>
        </w:rPr>
      </w:pPr>
      <w:r>
        <w:rPr>
          <w:rFonts w:ascii="Arial" w:cs="Arial" w:eastAsia="Arial" w:hAnsi="Arial"/>
          <w:sz w:val="19"/>
          <w:szCs w:val="19"/>
          <w:color w:val="auto"/>
        </w:rPr>
        <w:t>Title: Managing Director</w:t>
      </w:r>
    </w:p>
    <w:p>
      <w:pPr>
        <w:sectPr>
          <w:pgSz w:w="11900" w:h="16838" w:orient="portrait"/>
          <w:cols w:equalWidth="0" w:num="1">
            <w:col w:w="10219"/>
          </w:cols>
          <w:pgMar w:left="240" w:top="1022" w:right="1440"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SUMITOMO MITSUI BANKING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William G. Karl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909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William G. Karl</w:t>
      </w:r>
    </w:p>
    <w:p>
      <w:pPr>
        <w:ind w:left="420"/>
        <w:spacing w:after="0"/>
        <w:rPr>
          <w:sz w:val="20"/>
          <w:szCs w:val="20"/>
          <w:color w:val="auto"/>
        </w:rPr>
      </w:pPr>
      <w:r>
        <w:rPr>
          <w:rFonts w:ascii="Arial" w:cs="Arial" w:eastAsia="Arial" w:hAnsi="Arial"/>
          <w:sz w:val="20"/>
          <w:szCs w:val="20"/>
          <w:color w:val="auto"/>
        </w:rPr>
        <w:t>Title: Executive Officer</w:t>
      </w:r>
    </w:p>
    <w:p>
      <w:pPr>
        <w:sectPr>
          <w:pgSz w:w="11900" w:h="16838" w:orient="portrait"/>
          <w:cols w:equalWidth="0" w:num="1">
            <w:col w:w="10219"/>
          </w:cols>
          <w:pgMar w:left="240" w:top="1021" w:right="1440"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Consented to by: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Cent CDO 14 Limited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rPr>
          <w:sz w:val="20"/>
          <w:szCs w:val="20"/>
          <w:color w:val="auto"/>
        </w:rPr>
      </w:pPr>
      <w:r>
        <w:rPr>
          <w:rFonts w:ascii="Arial" w:cs="Arial" w:eastAsia="Arial" w:hAnsi="Arial"/>
          <w:sz w:val="18"/>
          <w:szCs w:val="18"/>
          <w:color w:val="auto"/>
        </w:rPr>
        <w:t>BY: Columbia Management Investment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As Collateral Manager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Steven B.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169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Steven B. Staver</w:t>
      </w:r>
    </w:p>
    <w:p>
      <w:pPr>
        <w:ind w:left="42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10219"/>
          </w:cols>
          <w:pgMar w:left="240" w:top="1022" w:right="1440"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Consented to by: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Cent CDO 15 Limited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rPr>
          <w:sz w:val="20"/>
          <w:szCs w:val="20"/>
          <w:color w:val="auto"/>
        </w:rPr>
      </w:pPr>
      <w:r>
        <w:rPr>
          <w:rFonts w:ascii="Arial" w:cs="Arial" w:eastAsia="Arial" w:hAnsi="Arial"/>
          <w:sz w:val="18"/>
          <w:szCs w:val="18"/>
          <w:color w:val="auto"/>
        </w:rPr>
        <w:t>BY: Columbia Management Investment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As Collateral Manager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Steven B.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169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Steven B. Staver</w:t>
      </w:r>
    </w:p>
    <w:p>
      <w:pPr>
        <w:ind w:left="42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10219"/>
          </w:cols>
          <w:pgMar w:left="240" w:top="1022" w:right="1440"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Consented to by: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Octagon Investment Partners XVII,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rPr>
          <w:sz w:val="20"/>
          <w:szCs w:val="20"/>
          <w:color w:val="auto"/>
        </w:rPr>
      </w:pPr>
      <w:r>
        <w:rPr>
          <w:rFonts w:ascii="Arial" w:cs="Arial" w:eastAsia="Arial" w:hAnsi="Arial"/>
          <w:sz w:val="20"/>
          <w:szCs w:val="20"/>
          <w:color w:val="auto"/>
        </w:rPr>
        <w:t>BY: Octagon Credit Investors, LLC</w:t>
      </w:r>
    </w:p>
    <w:p>
      <w:pPr>
        <w:spacing w:after="0"/>
        <w:rPr>
          <w:sz w:val="20"/>
          <w:szCs w:val="20"/>
          <w:color w:val="auto"/>
        </w:rPr>
      </w:pPr>
      <w:r>
        <w:rPr>
          <w:rFonts w:ascii="Arial" w:cs="Arial" w:eastAsia="Arial" w:hAnsi="Arial"/>
          <w:sz w:val="20"/>
          <w:szCs w:val="20"/>
          <w:color w:val="auto"/>
        </w:rPr>
        <w:t>as Collateral Manager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34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Kimberly Wong Lem</w:t>
      </w:r>
    </w:p>
    <w:p>
      <w:pPr>
        <w:jc w:val="right"/>
        <w:ind w:right="6459"/>
        <w:spacing w:after="0"/>
        <w:rPr>
          <w:sz w:val="20"/>
          <w:szCs w:val="20"/>
          <w:color w:val="auto"/>
        </w:rPr>
      </w:pPr>
      <w:r>
        <w:rPr>
          <w:rFonts w:ascii="Arial" w:cs="Arial" w:eastAsia="Arial" w:hAnsi="Arial"/>
          <w:sz w:val="20"/>
          <w:szCs w:val="20"/>
          <w:color w:val="auto"/>
        </w:rPr>
        <w:t>Title: Director of Portfolio Administration</w:t>
      </w:r>
    </w:p>
    <w:p>
      <w:pPr>
        <w:sectPr>
          <w:pgSz w:w="11900" w:h="16838" w:orient="portrait"/>
          <w:cols w:equalWidth="0" w:num="1">
            <w:col w:w="10219"/>
          </w:cols>
          <w:pgMar w:left="240" w:top="1022" w:right="1440"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Consented to by: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Octagon Investment Partners XX,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rPr>
          <w:sz w:val="20"/>
          <w:szCs w:val="20"/>
          <w:color w:val="auto"/>
        </w:rPr>
      </w:pPr>
      <w:r>
        <w:rPr>
          <w:rFonts w:ascii="Arial" w:cs="Arial" w:eastAsia="Arial" w:hAnsi="Arial"/>
          <w:sz w:val="20"/>
          <w:szCs w:val="20"/>
          <w:color w:val="auto"/>
        </w:rPr>
        <w:t>BY: Octagon Credit Investors, LLC</w:t>
      </w: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34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Kimberly Wong Lem</w:t>
      </w:r>
    </w:p>
    <w:p>
      <w:pPr>
        <w:jc w:val="right"/>
        <w:ind w:right="6459"/>
        <w:spacing w:after="0"/>
        <w:rPr>
          <w:sz w:val="20"/>
          <w:szCs w:val="20"/>
          <w:color w:val="auto"/>
        </w:rPr>
      </w:pPr>
      <w:r>
        <w:rPr>
          <w:rFonts w:ascii="Arial" w:cs="Arial" w:eastAsia="Arial" w:hAnsi="Arial"/>
          <w:sz w:val="20"/>
          <w:szCs w:val="20"/>
          <w:color w:val="auto"/>
        </w:rPr>
        <w:t>Title: Director of Portfolio Administration</w:t>
      </w:r>
    </w:p>
    <w:p>
      <w:pPr>
        <w:sectPr>
          <w:pgSz w:w="11900" w:h="16838" w:orient="portrait"/>
          <w:cols w:equalWidth="0" w:num="1">
            <w:col w:w="10219"/>
          </w:cols>
          <w:pgMar w:left="240" w:top="360" w:right="1440"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Consented to by: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Octagon Investment Partners XXIII,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rPr>
          <w:sz w:val="20"/>
          <w:szCs w:val="20"/>
          <w:color w:val="auto"/>
        </w:rPr>
      </w:pPr>
      <w:r>
        <w:rPr>
          <w:rFonts w:ascii="Arial" w:cs="Arial" w:eastAsia="Arial" w:hAnsi="Arial"/>
          <w:sz w:val="20"/>
          <w:szCs w:val="20"/>
          <w:color w:val="auto"/>
        </w:rPr>
        <w:t>BY: Octagon Credit Investors, LLC</w:t>
      </w:r>
    </w:p>
    <w:p>
      <w:pPr>
        <w:spacing w:after="0"/>
        <w:rPr>
          <w:sz w:val="20"/>
          <w:szCs w:val="20"/>
          <w:color w:val="auto"/>
        </w:rPr>
      </w:pPr>
      <w:r>
        <w:rPr>
          <w:rFonts w:ascii="Arial" w:cs="Arial" w:eastAsia="Arial" w:hAnsi="Arial"/>
          <w:sz w:val="20"/>
          <w:szCs w:val="20"/>
          <w:color w:val="auto"/>
        </w:rPr>
        <w:t>as Collateral Manager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34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Kimberly Wong Lem</w:t>
      </w:r>
    </w:p>
    <w:p>
      <w:pPr>
        <w:jc w:val="right"/>
        <w:ind w:right="6459"/>
        <w:spacing w:after="0"/>
        <w:rPr>
          <w:sz w:val="20"/>
          <w:szCs w:val="20"/>
          <w:color w:val="auto"/>
        </w:rPr>
      </w:pPr>
      <w:r>
        <w:rPr>
          <w:rFonts w:ascii="Arial" w:cs="Arial" w:eastAsia="Arial" w:hAnsi="Arial"/>
          <w:sz w:val="20"/>
          <w:szCs w:val="20"/>
          <w:color w:val="auto"/>
        </w:rPr>
        <w:t>Title: Director of Portfolio Administration</w:t>
      </w:r>
    </w:p>
    <w:p>
      <w:pPr>
        <w:sectPr>
          <w:pgSz w:w="11900" w:h="16838" w:orient="portrait"/>
          <w:cols w:equalWidth="0" w:num="1">
            <w:col w:w="10219"/>
          </w:cols>
          <w:pgMar w:left="240" w:top="1022" w:right="1440"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Consented to by: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Octagon Loan Funding,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 Lender</w:t>
      </w:r>
    </w:p>
    <w:p>
      <w:pPr>
        <w:spacing w:after="0"/>
        <w:rPr>
          <w:sz w:val="20"/>
          <w:szCs w:val="20"/>
          <w:color w:val="auto"/>
        </w:rPr>
      </w:pPr>
      <w:r>
        <w:rPr>
          <w:rFonts w:ascii="Arial" w:cs="Arial" w:eastAsia="Arial" w:hAnsi="Arial"/>
          <w:sz w:val="20"/>
          <w:szCs w:val="20"/>
          <w:color w:val="auto"/>
        </w:rPr>
        <w:t>BY: Octagon Credit Investors, LLC</w:t>
      </w:r>
    </w:p>
    <w:p>
      <w:pPr>
        <w:spacing w:after="0"/>
        <w:rPr>
          <w:sz w:val="20"/>
          <w:szCs w:val="20"/>
          <w:color w:val="auto"/>
        </w:rPr>
      </w:pPr>
      <w:r>
        <w:rPr>
          <w:rFonts w:ascii="Arial" w:cs="Arial" w:eastAsia="Arial" w:hAnsi="Arial"/>
          <w:sz w:val="20"/>
          <w:szCs w:val="20"/>
          <w:color w:val="auto"/>
        </w:rPr>
        <w:t>as Collateral Manager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34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Kimberly Wong Lem</w:t>
      </w:r>
    </w:p>
    <w:p>
      <w:pPr>
        <w:jc w:val="right"/>
        <w:ind w:right="6459"/>
        <w:spacing w:after="0"/>
        <w:rPr>
          <w:sz w:val="20"/>
          <w:szCs w:val="20"/>
          <w:color w:val="auto"/>
        </w:rPr>
      </w:pPr>
      <w:r>
        <w:rPr>
          <w:rFonts w:ascii="Arial" w:cs="Arial" w:eastAsia="Arial" w:hAnsi="Arial"/>
          <w:sz w:val="20"/>
          <w:szCs w:val="20"/>
          <w:color w:val="auto"/>
        </w:rPr>
        <w:t>Title: Director of Portfolio Administration</w:t>
      </w:r>
    </w:p>
    <w:p>
      <w:pPr>
        <w:sectPr>
          <w:pgSz w:w="11900" w:h="16838" w:orient="portrait"/>
          <w:cols w:equalWidth="0" w:num="1">
            <w:col w:w="10219"/>
          </w:cols>
          <w:pgMar w:left="240" w:top="1022"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NEW EXTENDING TERM FACILITY LENDERS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750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right w:val="single" w:sz="8" w:color="auto"/>
            </w:tcBorders>
          </w:tcPr>
          <w:p>
            <w:pPr>
              <w:spacing w:after="0"/>
              <w:rPr>
                <w:sz w:val="3"/>
                <w:szCs w:val="3"/>
                <w:color w:val="auto"/>
              </w:rPr>
            </w:pPr>
          </w:p>
        </w:tc>
      </w:tr>
      <w:tr>
        <w:trPr>
          <w:trHeight w:val="241"/>
        </w:trPr>
        <w:tc>
          <w:tcPr>
            <w:tcW w:w="40" w:type="dxa"/>
            <w:vAlign w:val="bottom"/>
            <w:tcBorders>
              <w:right w:val="single" w:sz="8" w:color="auto"/>
            </w:tcBorders>
            <w:shd w:val="clear" w:color="auto" w:fill="000000"/>
          </w:tcPr>
          <w:p>
            <w:pPr>
              <w:spacing w:after="0"/>
              <w:rPr>
                <w:sz w:val="20"/>
                <w:szCs w:val="20"/>
                <w:color w:val="auto"/>
              </w:rPr>
            </w:pPr>
          </w:p>
        </w:tc>
        <w:tc>
          <w:tcPr>
            <w:tcW w:w="75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NAME OF NEW EXTENDING TERM FACILITY LENDER</w:t>
            </w:r>
          </w:p>
        </w:tc>
        <w:tc>
          <w:tcPr>
            <w:tcW w:w="2220" w:type="dxa"/>
            <w:vAlign w:val="bottom"/>
            <w:tcBorders>
              <w:right w:val="single" w:sz="8" w:color="auto"/>
            </w:tcBorders>
          </w:tcPr>
          <w:p>
            <w:pPr>
              <w:ind w:left="640"/>
              <w:spacing w:after="0"/>
              <w:rPr>
                <w:sz w:val="20"/>
                <w:szCs w:val="20"/>
                <w:color w:val="auto"/>
              </w:rPr>
            </w:pPr>
            <w:r>
              <w:rPr>
                <w:rFonts w:ascii="Arial" w:cs="Arial" w:eastAsia="Arial" w:hAnsi="Arial"/>
                <w:sz w:val="20"/>
                <w:szCs w:val="20"/>
                <w:b w:val="1"/>
                <w:bCs w:val="1"/>
                <w:color w:val="auto"/>
              </w:rPr>
              <w:t>AMOUNT</w:t>
            </w:r>
          </w:p>
        </w:tc>
      </w:tr>
      <w:tr>
        <w:trPr>
          <w:trHeight w:val="104"/>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Deutsche Bank AG New York Branch</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$25,000,000.00</w:t>
            </w:r>
          </w:p>
        </w:tc>
      </w:tr>
      <w:tr>
        <w:trPr>
          <w:trHeight w:val="104"/>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Goldman Sachs Bank USA</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$25,000,000.00</w:t>
            </w:r>
          </w:p>
        </w:tc>
      </w:tr>
      <w:tr>
        <w:trPr>
          <w:trHeight w:val="104"/>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JPMorgan Chase Bank, N.A.</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$50,000,000.00</w:t>
            </w:r>
          </w:p>
        </w:tc>
      </w:tr>
      <w:tr>
        <w:trPr>
          <w:trHeight w:val="104"/>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Morgan Stanley Senior Funding, Inc.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$25,000,000.00</w:t>
            </w:r>
          </w:p>
        </w:tc>
      </w:tr>
      <w:tr>
        <w:trPr>
          <w:trHeight w:val="104"/>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r>
      <w:tr>
        <w:trPr>
          <w:trHeight w:val="254"/>
        </w:trPr>
        <w:tc>
          <w:tcPr>
            <w:tcW w:w="40" w:type="dxa"/>
            <w:vAlign w:val="bottom"/>
            <w:tcBorders>
              <w:right w:val="single" w:sz="8" w:color="auto"/>
            </w:tcBorders>
            <w:shd w:val="clear" w:color="auto" w:fill="000000"/>
          </w:tcPr>
          <w:p>
            <w:pPr>
              <w:spacing w:after="0"/>
              <w:rPr>
                <w:sz w:val="22"/>
                <w:szCs w:val="22"/>
                <w:color w:val="auto"/>
              </w:rPr>
            </w:pPr>
          </w:p>
        </w:tc>
        <w:tc>
          <w:tcPr>
            <w:tcW w:w="75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Total:</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$125,000,000.00</w:t>
            </w:r>
          </w:p>
        </w:tc>
      </w:tr>
      <w:tr>
        <w:trPr>
          <w:trHeight w:val="104"/>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0580"/>
          </w:cols>
          <w:pgMar w:left="1080" w:top="36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SCHEDULE B</w:t>
      </w: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EXTENDED TERM FACILITY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245745</wp:posOffset>
            </wp:positionV>
            <wp:extent cx="4150995" cy="4047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50995" cy="40474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Bank of America, N.A.</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BNP Paribas</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Cent CDO 14 Limited</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Cent CDO 15 Limited</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Credit Agricole Corporate and Investment Bank</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Deutsche Bank AG New York Branch</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Fifth Third Bank</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Octagon Investment Partners XVII, Ltd.</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Octagon Investment Partners XX Ltd.</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Octagon Investment Partners XXIII Ltd.</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Octagon Loan Funding Ltd.</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Sumitomo Mitsui Banking Corporation</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SunTrust Bank</w:t>
      </w:r>
    </w:p>
    <w:p>
      <w:pPr>
        <w:spacing w:after="0" w:line="148"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The Bank of Nova Scotia</w:t>
      </w:r>
    </w:p>
    <w:p>
      <w:pPr>
        <w:spacing w:after="0" w:line="196"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Total Extended Term Facility Loans: $680,395,833.66</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Total New Extended Term Facility Loans</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and Extended Term Facility Loans: $805,395,833.66</w:t>
      </w:r>
    </w:p>
    <w:p>
      <w:pPr>
        <w:sectPr>
          <w:pgSz w:w="11900" w:h="16838" w:orient="portrait"/>
          <w:cols w:equalWidth="0" w:num="1">
            <w:col w:w="10180"/>
          </w:cols>
          <w:pgMar w:left="1440" w:top="589" w:right="27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SCHEDULE C</w:t>
      </w:r>
    </w:p>
    <w:p>
      <w:pPr>
        <w:spacing w:after="0" w:line="200" w:lineRule="exact"/>
        <w:rPr>
          <w:sz w:val="20"/>
          <w:szCs w:val="20"/>
          <w:color w:val="auto"/>
        </w:rPr>
      </w:pPr>
    </w:p>
    <w:p>
      <w:pPr>
        <w:spacing w:after="0" w:line="259"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EXTENDED TERM FACILITY II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245745</wp:posOffset>
            </wp:positionV>
            <wp:extent cx="2212340" cy="746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12340" cy="7461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Goldman Sachs Bank USA</w:t>
      </w:r>
    </w:p>
    <w:p>
      <w:pPr>
        <w:spacing w:after="0" w:line="14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JPMorgan Chase Bank, N.A.</w:t>
      </w:r>
    </w:p>
    <w:p>
      <w:pPr>
        <w:spacing w:after="0" w:line="142"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Total: $125,000,000.00</w:t>
      </w:r>
    </w:p>
    <w:p>
      <w:pPr>
        <w:sectPr>
          <w:pgSz w:w="11900" w:h="16838" w:orient="portrait"/>
          <w:cols w:equalWidth="0" w:num="1">
            <w:col w:w="10180"/>
          </w:cols>
          <w:pgMar w:left="1440" w:top="360"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SCHEDULE D</w:t>
      </w:r>
    </w:p>
    <w:p>
      <w:pPr>
        <w:spacing w:after="0" w:line="200" w:lineRule="exact"/>
        <w:rPr>
          <w:sz w:val="20"/>
          <w:szCs w:val="20"/>
          <w:color w:val="auto"/>
        </w:rPr>
      </w:pPr>
    </w:p>
    <w:p>
      <w:pPr>
        <w:spacing w:after="0" w:line="259"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EXTENDED REVOLVING COMMITMENTS</w:t>
      </w:r>
    </w:p>
    <w:p>
      <w:pPr>
        <w:spacing w:after="0" w:line="367" w:lineRule="exact"/>
        <w:rPr>
          <w:sz w:val="20"/>
          <w:szCs w:val="20"/>
          <w:color w:val="auto"/>
        </w:rPr>
      </w:pPr>
    </w:p>
    <w:tbl>
      <w:tblPr>
        <w:tblLayout w:type="fixed"/>
        <w:tblInd w:w="170" w:type="dxa"/>
        <w:tblCellMar>
          <w:top w:w="0" w:type="dxa"/>
          <w:left w:w="0" w:type="dxa"/>
          <w:bottom w:w="0" w:type="dxa"/>
          <w:right w:w="0" w:type="dxa"/>
        </w:tblCellMar>
      </w:tblPr>
      <w:tr>
        <w:trPr>
          <w:trHeight w:val="40"/>
        </w:trPr>
        <w:tc>
          <w:tcPr>
            <w:tcW w:w="6640" w:type="dxa"/>
            <w:vAlign w:val="bottom"/>
            <w:tcBorders>
              <w:top w:val="single" w:sz="8" w:color="auto"/>
              <w:left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right w:val="single" w:sz="8" w:color="auto"/>
            </w:tcBorders>
          </w:tcPr>
          <w:p>
            <w:pPr>
              <w:spacing w:after="0"/>
              <w:rPr>
                <w:sz w:val="3"/>
                <w:szCs w:val="3"/>
                <w:color w:val="auto"/>
              </w:rPr>
            </w:pPr>
          </w:p>
        </w:tc>
      </w:tr>
      <w:tr>
        <w:trPr>
          <w:trHeight w:val="241"/>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NAME OF EXTENDING REVOLVING LENDER</w:t>
            </w:r>
          </w:p>
        </w:tc>
        <w:tc>
          <w:tcPr>
            <w:tcW w:w="2080" w:type="dxa"/>
            <w:vAlign w:val="bottom"/>
            <w:tcBorders>
              <w:right w:val="single" w:sz="8" w:color="auto"/>
            </w:tcBorders>
          </w:tcPr>
          <w:p>
            <w:pPr>
              <w:ind w:left="580"/>
              <w:spacing w:after="0"/>
              <w:rPr>
                <w:sz w:val="20"/>
                <w:szCs w:val="20"/>
                <w:color w:val="auto"/>
              </w:rPr>
            </w:pPr>
            <w:r>
              <w:rPr>
                <w:rFonts w:ascii="Arial" w:cs="Arial" w:eastAsia="Arial" w:hAnsi="Arial"/>
                <w:sz w:val="20"/>
                <w:szCs w:val="20"/>
                <w:b w:val="1"/>
                <w:bCs w:val="1"/>
                <w:color w:val="auto"/>
              </w:rPr>
              <w:t>AMOUNT</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Bank of America, N.A.</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$43,000,000.00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BNP Paribas</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$30,000,000.00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Credit Agricole Corporate and Investment Bank</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$43,000,000.00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Deutsche Bank AG New York Branch</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$43,000,000.00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Fifth Third Bank</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$43,000,000.00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Morgan Stanley Senior Funding, Inc.</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$15,000,000.00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Sumitomo Mitsui Banking Corporation</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$30,000,000.00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SunTrust Bank</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$43,000,000.00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The Bank of Nova Scotia</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$43,000,000.00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r>
        <w:trPr>
          <w:trHeight w:val="254"/>
        </w:trPr>
        <w:tc>
          <w:tcPr>
            <w:tcW w:w="6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Total:</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$333,000,000.00</w:t>
            </w:r>
          </w:p>
        </w:tc>
      </w:tr>
      <w:tr>
        <w:trPr>
          <w:trHeight w:val="104"/>
        </w:trPr>
        <w:tc>
          <w:tcPr>
            <w:tcW w:w="664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0180"/>
          </w:cols>
          <w:pgMar w:left="1440" w:top="589" w:right="279" w:bottom="1440" w:gutter="0" w:footer="0" w:header="0"/>
        </w:sectPr>
      </w:pPr>
    </w:p>
    <w:bookmarkStart w:id="62" w:name="page63"/>
    <w:bookmarkEnd w:id="62"/>
    <w:p>
      <w:pPr>
        <w:ind w:left="10100"/>
        <w:spacing w:after="0"/>
        <w:rPr>
          <w:sz w:val="20"/>
          <w:szCs w:val="20"/>
          <w:color w:val="auto"/>
        </w:rPr>
      </w:pPr>
      <w:r>
        <w:rPr>
          <w:rFonts w:ascii="Arial" w:cs="Arial" w:eastAsia="Arial" w:hAnsi="Arial"/>
          <w:sz w:val="20"/>
          <w:szCs w:val="20"/>
          <w:b w:val="1"/>
          <w:bCs w:val="1"/>
          <w:color w:val="auto"/>
        </w:rPr>
        <w:t>SCHEDULE 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560" w:type="dxa"/>
            <w:vAlign w:val="bottom"/>
          </w:tcPr>
          <w:p>
            <w:pPr>
              <w:spacing w:after="0"/>
              <w:rPr>
                <w:sz w:val="22"/>
                <w:szCs w:val="22"/>
                <w:color w:val="auto"/>
              </w:rPr>
            </w:pPr>
          </w:p>
        </w:tc>
        <w:tc>
          <w:tcPr>
            <w:tcW w:w="7880" w:type="dxa"/>
            <w:vAlign w:val="bottom"/>
            <w:gridSpan w:val="2"/>
          </w:tcPr>
          <w:p>
            <w:pPr>
              <w:jc w:val="center"/>
              <w:ind w:right="3461"/>
              <w:spacing w:after="0"/>
              <w:rPr>
                <w:sz w:val="20"/>
                <w:szCs w:val="20"/>
                <w:color w:val="auto"/>
              </w:rPr>
            </w:pPr>
            <w:r>
              <w:rPr>
                <w:rFonts w:ascii="Arial" w:cs="Arial" w:eastAsia="Arial" w:hAnsi="Arial"/>
                <w:sz w:val="20"/>
                <w:szCs w:val="20"/>
                <w:b w:val="1"/>
                <w:bCs w:val="1"/>
                <w:color w:val="auto"/>
              </w:rPr>
              <w:t>AMORTIZATION PAYMENTS</w:t>
            </w:r>
          </w:p>
        </w:tc>
      </w:tr>
      <w:tr>
        <w:trPr>
          <w:trHeight w:val="437"/>
        </w:trPr>
        <w:tc>
          <w:tcPr>
            <w:tcW w:w="3560" w:type="dxa"/>
            <w:vAlign w:val="bottom"/>
          </w:tcPr>
          <w:p>
            <w:pPr>
              <w:spacing w:after="0"/>
              <w:rPr>
                <w:sz w:val="24"/>
                <w:szCs w:val="24"/>
                <w:color w:val="auto"/>
              </w:rPr>
            </w:pPr>
          </w:p>
        </w:tc>
        <w:tc>
          <w:tcPr>
            <w:tcW w:w="7880" w:type="dxa"/>
            <w:vAlign w:val="bottom"/>
            <w:gridSpan w:val="2"/>
          </w:tcPr>
          <w:p>
            <w:pPr>
              <w:jc w:val="center"/>
              <w:ind w:right="3461"/>
              <w:spacing w:after="0"/>
              <w:rPr>
                <w:sz w:val="20"/>
                <w:szCs w:val="20"/>
                <w:color w:val="auto"/>
              </w:rPr>
            </w:pPr>
            <w:r>
              <w:rPr>
                <w:rFonts w:ascii="Arial" w:cs="Arial" w:eastAsia="Arial" w:hAnsi="Arial"/>
                <w:sz w:val="20"/>
                <w:szCs w:val="20"/>
                <w:b w:val="1"/>
                <w:bCs w:val="1"/>
                <w:color w:val="auto"/>
              </w:rPr>
              <w:t>EXTENDED TERM FACILITY LOANS</w:t>
            </w:r>
          </w:p>
        </w:tc>
      </w:tr>
      <w:tr>
        <w:trPr>
          <w:trHeight w:val="401"/>
        </w:trPr>
        <w:tc>
          <w:tcPr>
            <w:tcW w:w="3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41"/>
        </w:trPr>
        <w:tc>
          <w:tcPr>
            <w:tcW w:w="3560" w:type="dxa"/>
            <w:vAlign w:val="bottom"/>
            <w:tcBorders>
              <w:left w:val="single" w:sz="8" w:color="auto"/>
            </w:tcBorders>
          </w:tcPr>
          <w:p>
            <w:pPr>
              <w:ind w:left="2620"/>
              <w:spacing w:after="0"/>
              <w:rPr>
                <w:sz w:val="20"/>
                <w:szCs w:val="20"/>
                <w:color w:val="auto"/>
              </w:rPr>
            </w:pPr>
            <w:r>
              <w:rPr>
                <w:rFonts w:ascii="Arial" w:cs="Arial" w:eastAsia="Arial" w:hAnsi="Arial"/>
                <w:sz w:val="20"/>
                <w:szCs w:val="20"/>
                <w:b w:val="1"/>
                <w:bCs w:val="1"/>
                <w:color w:val="auto"/>
              </w:rPr>
              <w:t>DATE</w:t>
            </w:r>
          </w:p>
        </w:tc>
        <w:tc>
          <w:tcPr>
            <w:tcW w:w="218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1820"/>
              <w:spacing w:after="0"/>
              <w:rPr>
                <w:sz w:val="20"/>
                <w:szCs w:val="20"/>
                <w:color w:val="auto"/>
              </w:rPr>
            </w:pPr>
            <w:r>
              <w:rPr>
                <w:rFonts w:ascii="Arial" w:cs="Arial" w:eastAsia="Arial" w:hAnsi="Arial"/>
                <w:sz w:val="20"/>
                <w:szCs w:val="20"/>
                <w:b w:val="1"/>
                <w:bCs w:val="1"/>
                <w:color w:val="auto"/>
              </w:rPr>
              <w:t>PRINCIPAL AMOUNT</w:t>
            </w:r>
          </w:p>
        </w:tc>
      </w:tr>
      <w:tr>
        <w:trPr>
          <w:trHeight w:val="104"/>
        </w:trPr>
        <w:tc>
          <w:tcPr>
            <w:tcW w:w="3560" w:type="dxa"/>
            <w:vAlign w:val="bottom"/>
            <w:tcBorders>
              <w:left w:val="single" w:sz="8" w:color="auto"/>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254"/>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March 31, 2020</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$20,134,895.84</w:t>
            </w:r>
          </w:p>
        </w:tc>
      </w:tr>
      <w:tr>
        <w:trPr>
          <w:trHeight w:val="104"/>
        </w:trPr>
        <w:tc>
          <w:tcPr>
            <w:tcW w:w="3560" w:type="dxa"/>
            <w:vAlign w:val="bottom"/>
            <w:tcBorders>
              <w:left w:val="single" w:sz="8" w:color="auto"/>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June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$20,134,895.84</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September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$20,134,895.84</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December 31,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$20,134,895.84</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March 31, 2021</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$20,134,895.84</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June 30, 2021</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$20,134,895.84</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September 30, 2021</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$20,134,895.84</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54"/>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December 31, 2021</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$664,451,562.78</w:t>
            </w:r>
          </w:p>
        </w:tc>
      </w:tr>
      <w:tr>
        <w:trPr>
          <w:trHeight w:val="104"/>
        </w:trPr>
        <w:tc>
          <w:tcPr>
            <w:tcW w:w="3560" w:type="dxa"/>
            <w:vAlign w:val="bottom"/>
            <w:tcBorders>
              <w:left w:val="single" w:sz="8" w:color="auto"/>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538"/>
        </w:trPr>
        <w:tc>
          <w:tcPr>
            <w:tcW w:w="3560" w:type="dxa"/>
            <w:vAlign w:val="bottom"/>
          </w:tcPr>
          <w:p>
            <w:pPr>
              <w:spacing w:after="0"/>
              <w:rPr>
                <w:sz w:val="24"/>
                <w:szCs w:val="24"/>
                <w:color w:val="auto"/>
              </w:rPr>
            </w:pPr>
          </w:p>
        </w:tc>
        <w:tc>
          <w:tcPr>
            <w:tcW w:w="7880" w:type="dxa"/>
            <w:vAlign w:val="bottom"/>
            <w:gridSpan w:val="2"/>
          </w:tcPr>
          <w:p>
            <w:pPr>
              <w:jc w:val="center"/>
              <w:ind w:right="3521"/>
              <w:spacing w:after="0"/>
              <w:rPr>
                <w:sz w:val="20"/>
                <w:szCs w:val="20"/>
                <w:color w:val="auto"/>
              </w:rPr>
            </w:pPr>
            <w:r>
              <w:rPr>
                <w:rFonts w:ascii="Arial" w:cs="Arial" w:eastAsia="Arial" w:hAnsi="Arial"/>
                <w:sz w:val="20"/>
                <w:szCs w:val="20"/>
                <w:b w:val="1"/>
                <w:bCs w:val="1"/>
                <w:color w:val="auto"/>
              </w:rPr>
              <w:t>TERM FACILITY LOANS</w:t>
            </w:r>
            <w:r>
              <w:rPr>
                <w:rFonts w:ascii="Arial" w:cs="Arial" w:eastAsia="Arial" w:hAnsi="Arial"/>
                <w:sz w:val="25"/>
                <w:szCs w:val="25"/>
                <w:b w:val="1"/>
                <w:bCs w:val="1"/>
                <w:color w:val="auto"/>
                <w:vertAlign w:val="superscript"/>
              </w:rPr>
              <w:t>1</w:t>
            </w:r>
          </w:p>
        </w:tc>
      </w:tr>
      <w:tr>
        <w:trPr>
          <w:trHeight w:val="320"/>
        </w:trPr>
        <w:tc>
          <w:tcPr>
            <w:tcW w:w="3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41"/>
        </w:trPr>
        <w:tc>
          <w:tcPr>
            <w:tcW w:w="3560" w:type="dxa"/>
            <w:vAlign w:val="bottom"/>
            <w:tcBorders>
              <w:left w:val="single" w:sz="8" w:color="auto"/>
            </w:tcBorders>
          </w:tcPr>
          <w:p>
            <w:pPr>
              <w:ind w:left="2620"/>
              <w:spacing w:after="0"/>
              <w:rPr>
                <w:sz w:val="20"/>
                <w:szCs w:val="20"/>
                <w:color w:val="auto"/>
              </w:rPr>
            </w:pPr>
            <w:r>
              <w:rPr>
                <w:rFonts w:ascii="Arial" w:cs="Arial" w:eastAsia="Arial" w:hAnsi="Arial"/>
                <w:sz w:val="20"/>
                <w:szCs w:val="20"/>
                <w:b w:val="1"/>
                <w:bCs w:val="1"/>
                <w:color w:val="auto"/>
              </w:rPr>
              <w:t>DATE</w:t>
            </w:r>
          </w:p>
        </w:tc>
        <w:tc>
          <w:tcPr>
            <w:tcW w:w="218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1820"/>
              <w:spacing w:after="0"/>
              <w:rPr>
                <w:sz w:val="20"/>
                <w:szCs w:val="20"/>
                <w:color w:val="auto"/>
              </w:rPr>
            </w:pPr>
            <w:r>
              <w:rPr>
                <w:rFonts w:ascii="Arial" w:cs="Arial" w:eastAsia="Arial" w:hAnsi="Arial"/>
                <w:sz w:val="20"/>
                <w:szCs w:val="20"/>
                <w:b w:val="1"/>
                <w:bCs w:val="1"/>
                <w:color w:val="auto"/>
              </w:rPr>
              <w:t>PRINCIPAL AMOUNT</w:t>
            </w:r>
          </w:p>
        </w:tc>
      </w:tr>
      <w:tr>
        <w:trPr>
          <w:trHeight w:val="104"/>
        </w:trPr>
        <w:tc>
          <w:tcPr>
            <w:tcW w:w="3560" w:type="dxa"/>
            <w:vAlign w:val="bottom"/>
            <w:tcBorders>
              <w:left w:val="single" w:sz="8" w:color="auto"/>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254"/>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June 30, 2018</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104"/>
        </w:trPr>
        <w:tc>
          <w:tcPr>
            <w:tcW w:w="3560" w:type="dxa"/>
            <w:vAlign w:val="bottom"/>
            <w:tcBorders>
              <w:left w:val="single" w:sz="8" w:color="auto"/>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September 30, 2018</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December 31, 2018</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March 31,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June 30,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September 30,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December 31, 2019</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March 31,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June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95"/>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September 30, 2020</w:t>
            </w:r>
          </w:p>
        </w:tc>
        <w:tc>
          <w:tcPr>
            <w:tcW w:w="21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$1,740,104.16</w:t>
            </w:r>
          </w:p>
        </w:tc>
      </w:tr>
      <w:tr>
        <w:trPr>
          <w:trHeight w:val="64"/>
        </w:trPr>
        <w:tc>
          <w:tcPr>
            <w:tcW w:w="3560" w:type="dxa"/>
            <w:vAlign w:val="bottom"/>
            <w:tcBorders>
              <w:left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54"/>
        </w:trPr>
        <w:tc>
          <w:tcPr>
            <w:tcW w:w="35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November 20, 2020</w:t>
            </w:r>
          </w:p>
        </w:tc>
        <w:tc>
          <w:tcPr>
            <w:tcW w:w="21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$52,203,124.74</w:t>
            </w:r>
          </w:p>
        </w:tc>
      </w:tr>
      <w:tr>
        <w:trPr>
          <w:trHeight w:val="104"/>
        </w:trPr>
        <w:tc>
          <w:tcPr>
            <w:tcW w:w="3560" w:type="dxa"/>
            <w:vAlign w:val="bottom"/>
            <w:tcBorders>
              <w:left w:val="single" w:sz="8" w:color="auto"/>
              <w:bottom w:val="single" w:sz="8" w:color="auto"/>
            </w:tcBorders>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Reflects the application of the prepayment</w:t>
      </w:r>
    </w:p>
    <w:p>
      <w:pPr>
        <w:sectPr>
          <w:pgSz w:w="11900" w:h="16838" w:orient="portrait"/>
          <w:cols w:equalWidth="0" w:num="1">
            <w:col w:w="11440"/>
          </w:cols>
          <w:pgMar w:left="240" w:top="589" w:right="2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Dean Lawrence,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2017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May 4, 2017</w:t>
            </w:r>
          </w:p>
        </w:tc>
      </w:tr>
      <w:tr>
        <w:trPr>
          <w:trHeight w:val="405"/>
        </w:trPr>
        <w:tc>
          <w:tcPr>
            <w:tcW w:w="6180" w:type="dxa"/>
            <w:vAlign w:val="bottom"/>
            <w:gridSpan w:val="2"/>
          </w:tcPr>
          <w:p>
            <w:pPr>
              <w:ind w:left="500"/>
              <w:spacing w:after="0"/>
              <w:rPr>
                <w:sz w:val="20"/>
                <w:szCs w:val="20"/>
                <w:color w:val="auto"/>
              </w:rPr>
            </w:pPr>
            <w:r>
              <w:rPr>
                <w:rFonts w:ascii="Arial" w:cs="Arial" w:eastAsia="Arial" w:hAnsi="Arial"/>
                <w:sz w:val="18"/>
                <w:szCs w:val="18"/>
                <w:color w:val="auto"/>
              </w:rPr>
              <w:t>/s/ Dean Lawrence</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Dean Lawrence</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May 4, 2017</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Roman"/>
      <w:start w:val="3"/>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upperLetter"/>
      <w:start w:val="35"/>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2019-12-29T06:15:07Z</dcterms:created>
  <dcterms:modified xsi:type="dcterms:W3CDTF">2019-12-29T06:15:07Z</dcterms:modified>
</cp:coreProperties>
</file>