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333-166563</w:t>
      </w:r>
    </w:p>
    <w:p>
      <w:pPr>
        <w:spacing w:after="0" w:line="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Offer to Exchange $500,000,000 of their outstanding</w:t>
      </w:r>
    </w:p>
    <w:p>
      <w:pPr>
        <w:spacing w:after="0" w:line="71" w:lineRule="exact"/>
        <w:rPr>
          <w:sz w:val="24"/>
          <w:szCs w:val="24"/>
          <w:color w:val="auto"/>
        </w:rPr>
      </w:pPr>
    </w:p>
    <w:p>
      <w:pPr>
        <w:ind w:left="3880" w:right="3880" w:firstLine="76"/>
        <w:spacing w:after="0" w:line="317" w:lineRule="auto"/>
        <w:tabs>
          <w:tab w:leader="none" w:pos="4131" w:val="left"/>
        </w:tabs>
        <w:numPr>
          <w:ilvl w:val="0"/>
          <w:numId w:val="1"/>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AL9 and U98347 AE4) for</w:t>
      </w:r>
    </w:p>
    <w:p>
      <w:pPr>
        <w:ind w:left="4140" w:hanging="184"/>
        <w:spacing w:after="0"/>
        <w:tabs>
          <w:tab w:leader="none" w:pos="4140" w:val="left"/>
        </w:tabs>
        <w:numPr>
          <w:ilvl w:val="0"/>
          <w:numId w:val="1"/>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 983130 AN5)</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$382,010,000 of their outstanding</w:t>
      </w:r>
    </w:p>
    <w:p>
      <w:pPr>
        <w:spacing w:after="0" w:line="71" w:lineRule="exact"/>
        <w:rPr>
          <w:sz w:val="24"/>
          <w:szCs w:val="24"/>
          <w:color w:val="auto"/>
        </w:rPr>
      </w:pPr>
    </w:p>
    <w:p>
      <w:pPr>
        <w:ind w:left="3860" w:right="3860" w:firstLine="96"/>
        <w:spacing w:after="0" w:line="317" w:lineRule="auto"/>
        <w:tabs>
          <w:tab w:leader="none" w:pos="4135" w:val="left"/>
        </w:tabs>
        <w:numPr>
          <w:ilvl w:val="0"/>
          <w:numId w:val="2"/>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AM7 and U98347 AF1) for</w:t>
      </w:r>
    </w:p>
    <w:p>
      <w:pPr>
        <w:ind w:left="4140" w:hanging="184"/>
        <w:spacing w:after="0"/>
        <w:tabs>
          <w:tab w:leader="none" w:pos="4140" w:val="left"/>
        </w:tabs>
        <w:numPr>
          <w:ilvl w:val="0"/>
          <w:numId w:val="2"/>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 983130 AP0)</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86"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The exchange offer will expire at 5:00 p.m., New York City time, on August 30, 2010, unless we extend the exchange offer.</w:t>
      </w:r>
    </w:p>
    <w:p>
      <w:pPr>
        <w:spacing w:after="0" w:line="71" w:lineRule="exact"/>
        <w:rPr>
          <w:sz w:val="24"/>
          <w:szCs w:val="24"/>
          <w:color w:val="auto"/>
        </w:rPr>
      </w:pPr>
    </w:p>
    <w:p>
      <w:pPr>
        <w:ind w:right="40" w:firstLine="342"/>
        <w:spacing w:after="0" w:line="189" w:lineRule="auto"/>
        <w:rPr>
          <w:sz w:val="20"/>
          <w:szCs w:val="20"/>
          <w:color w:val="auto"/>
        </w:rPr>
      </w:pPr>
      <w:r>
        <w:rPr>
          <w:rFonts w:ascii="Arial" w:cs="Arial" w:eastAsia="Arial" w:hAnsi="Arial"/>
          <w:sz w:val="13"/>
          <w:szCs w:val="13"/>
          <w:color w:val="auto"/>
        </w:rPr>
        <w:t xml:space="preserve">We refer to the registered notes offered in this exchange offer as the “new 2017 notes” and the “new 2020 notes” (collectively, the “new notes”). We refer to all outstanding $500,000,000 aggregate principal amount of our 7 </w:t>
      </w:r>
      <w:r>
        <w:rPr>
          <w:rFonts w:ascii="Arial" w:cs="Arial" w:eastAsia="Arial" w:hAnsi="Arial"/>
          <w:sz w:val="21"/>
          <w:szCs w:val="21"/>
          <w:color w:val="auto"/>
          <w:vertAlign w:val="superscript"/>
        </w:rPr>
        <w:t>7</w:t>
      </w:r>
      <w:r>
        <w:rPr>
          <w:rFonts w:ascii="Arial" w:cs="Arial" w:eastAsia="Arial" w:hAnsi="Arial"/>
          <w:sz w:val="13"/>
          <w:szCs w:val="13"/>
          <w:color w:val="auto"/>
        </w:rPr>
        <w:t xml:space="preserve">/8% first mortgage notes due 2017 issued on October 19, 2009 as the “old 2017 notes” and all outstanding $382,010,000 aggregate principal amount of our 7 </w:t>
      </w:r>
      <w:r>
        <w:rPr>
          <w:rFonts w:ascii="Arial" w:cs="Arial" w:eastAsia="Arial" w:hAnsi="Arial"/>
          <w:sz w:val="21"/>
          <w:szCs w:val="21"/>
          <w:color w:val="auto"/>
          <w:vertAlign w:val="superscript"/>
        </w:rPr>
        <w:t>7</w:t>
      </w:r>
      <w:r>
        <w:rPr>
          <w:rFonts w:ascii="Arial" w:cs="Arial" w:eastAsia="Arial" w:hAnsi="Arial"/>
          <w:sz w:val="13"/>
          <w:szCs w:val="13"/>
          <w:color w:val="auto"/>
        </w:rPr>
        <w:t>/8% first mortgage notes due 2020 issued on April 28, 2010 as the “old 2020 notes” (collectively, the “old notes”). The old 2017 notes were issued under the indenture, dated as of October 19, 2009, and the old 2020 notes were issued under the indenture, dated as of April 28, 2010.</w:t>
      </w:r>
    </w:p>
    <w:p>
      <w:pPr>
        <w:spacing w:after="0" w:line="41" w:lineRule="exact"/>
        <w:rPr>
          <w:sz w:val="24"/>
          <w:szCs w:val="24"/>
          <w:color w:val="auto"/>
        </w:rPr>
      </w:pPr>
    </w:p>
    <w:p>
      <w:pPr>
        <w:ind w:right="60" w:firstLine="342"/>
        <w:spacing w:after="0" w:line="196" w:lineRule="auto"/>
        <w:rPr>
          <w:sz w:val="20"/>
          <w:szCs w:val="20"/>
          <w:color w:val="auto"/>
        </w:rPr>
      </w:pPr>
      <w:r>
        <w:rPr>
          <w:rFonts w:ascii="Arial" w:cs="Arial" w:eastAsia="Arial" w:hAnsi="Arial"/>
          <w:sz w:val="14"/>
          <w:szCs w:val="14"/>
          <w:color w:val="auto"/>
        </w:rPr>
        <w:t xml:space="preserve">The old notes are, and, upon consummation of the exchange offer, the new notes will be, pari passu with our outstanding 6 </w:t>
      </w:r>
      <w:r>
        <w:rPr>
          <w:rFonts w:ascii="Arial" w:cs="Arial" w:eastAsia="Arial" w:hAnsi="Arial"/>
          <w:sz w:val="22"/>
          <w:szCs w:val="22"/>
          <w:color w:val="auto"/>
          <w:vertAlign w:val="superscript"/>
        </w:rPr>
        <w:t>5</w:t>
      </w:r>
      <w:r>
        <w:rPr>
          <w:rFonts w:ascii="Arial" w:cs="Arial" w:eastAsia="Arial" w:hAnsi="Arial"/>
          <w:sz w:val="14"/>
          <w:szCs w:val="14"/>
          <w:color w:val="auto"/>
        </w:rPr>
        <w:t>/8% first mortgage notes due 2014 (the “2014 notes”) and our obligations under our credit facilities.</w:t>
      </w:r>
    </w:p>
    <w:p>
      <w:pPr>
        <w:spacing w:after="0" w:line="58"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Terms of the exchange offer:</w:t>
      </w:r>
    </w:p>
    <w:p>
      <w:pPr>
        <w:spacing w:after="0" w:line="55" w:lineRule="exact"/>
        <w:rPr>
          <w:sz w:val="24"/>
          <w:szCs w:val="24"/>
          <w:color w:val="auto"/>
        </w:rPr>
      </w:pPr>
    </w:p>
    <w:p>
      <w:pPr>
        <w:ind w:left="800" w:right="80" w:hanging="454"/>
        <w:spacing w:after="0" w:line="239"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will exchange the new 2017 notes for all outstanding old 2017 notes that are validly tendered pursuant to the exchange offer and not properly withdrawn prior to the expiration of the exchange offer.</w:t>
      </w:r>
    </w:p>
    <w:p>
      <w:pPr>
        <w:spacing w:after="0" w:line="57" w:lineRule="exact"/>
        <w:rPr>
          <w:rFonts w:ascii="Arial" w:cs="Arial" w:eastAsia="Arial" w:hAnsi="Arial"/>
          <w:sz w:val="14"/>
          <w:szCs w:val="14"/>
          <w:color w:val="auto"/>
        </w:rPr>
      </w:pPr>
    </w:p>
    <w:p>
      <w:pPr>
        <w:ind w:left="800" w:right="360" w:hanging="454"/>
        <w:spacing w:after="0" w:line="239"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will also exchange the new 2020 notes for all outstanding old 2020 notes that are validly tendered pursuant to the exchange offer and not properly withdrawn prior to the expiration of the exchange offer.</w:t>
      </w:r>
    </w:p>
    <w:p>
      <w:pPr>
        <w:spacing w:after="0" w:line="57" w:lineRule="exact"/>
        <w:rPr>
          <w:rFonts w:ascii="Arial" w:cs="Arial" w:eastAsia="Arial" w:hAnsi="Arial"/>
          <w:sz w:val="14"/>
          <w:szCs w:val="14"/>
          <w:color w:val="auto"/>
        </w:rPr>
      </w:pPr>
    </w:p>
    <w:p>
      <w:pPr>
        <w:ind w:left="800" w:hanging="454"/>
        <w:spacing w:after="0"/>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You may withdraw tenders of old notes at any time prior to the expiration of the exchange offer.</w:t>
      </w:r>
    </w:p>
    <w:p>
      <w:pPr>
        <w:spacing w:after="0" w:line="68" w:lineRule="exact"/>
        <w:rPr>
          <w:rFonts w:ascii="Arial" w:cs="Arial" w:eastAsia="Arial" w:hAnsi="Arial"/>
          <w:sz w:val="14"/>
          <w:szCs w:val="14"/>
          <w:color w:val="auto"/>
        </w:rPr>
      </w:pPr>
    </w:p>
    <w:p>
      <w:pPr>
        <w:ind w:left="800" w:right="160" w:hanging="454"/>
        <w:spacing w:after="0" w:line="239"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terms of the new 2017 notes are substantially identical to those of the old 2017 notes, except that the transfer restrictions, registration rights and liquidated damages provisions relating to the old 2017 notes will not apply to the new 2017 notes.</w:t>
      </w:r>
    </w:p>
    <w:p>
      <w:pPr>
        <w:spacing w:after="0" w:line="57" w:lineRule="exact"/>
        <w:rPr>
          <w:rFonts w:ascii="Arial" w:cs="Arial" w:eastAsia="Arial" w:hAnsi="Arial"/>
          <w:sz w:val="14"/>
          <w:szCs w:val="14"/>
          <w:color w:val="auto"/>
        </w:rPr>
      </w:pPr>
    </w:p>
    <w:p>
      <w:pPr>
        <w:ind w:left="800" w:right="160" w:hanging="454"/>
        <w:spacing w:after="0" w:line="239"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terms of the new 2020 notes are substantially identical to those of the old 2020 notes, except that the transfer restrictions, registration rights and liquidated damages provisions relating to the old 2020 notes will not apply to the new 2020 notes.</w:t>
      </w:r>
    </w:p>
    <w:p>
      <w:pPr>
        <w:spacing w:after="0" w:line="57" w:lineRule="exact"/>
        <w:rPr>
          <w:rFonts w:ascii="Arial" w:cs="Arial" w:eastAsia="Arial" w:hAnsi="Arial"/>
          <w:sz w:val="14"/>
          <w:szCs w:val="14"/>
          <w:color w:val="auto"/>
        </w:rPr>
      </w:pPr>
    </w:p>
    <w:p>
      <w:pPr>
        <w:ind w:left="800" w:right="360" w:hanging="454"/>
        <w:spacing w:after="0" w:line="239"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57" w:lineRule="exact"/>
        <w:rPr>
          <w:rFonts w:ascii="Arial" w:cs="Arial" w:eastAsia="Arial" w:hAnsi="Arial"/>
          <w:sz w:val="14"/>
          <w:szCs w:val="14"/>
          <w:color w:val="auto"/>
        </w:rPr>
      </w:pPr>
    </w:p>
    <w:p>
      <w:pPr>
        <w:ind w:left="800" w:hanging="454"/>
        <w:spacing w:after="0"/>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will not receive any cash proceeds from the exchange offer.</w:t>
      </w:r>
    </w:p>
    <w:p>
      <w:pPr>
        <w:spacing w:after="0" w:line="68" w:lineRule="exact"/>
        <w:rPr>
          <w:rFonts w:ascii="Arial" w:cs="Arial" w:eastAsia="Arial" w:hAnsi="Arial"/>
          <w:sz w:val="14"/>
          <w:szCs w:val="14"/>
          <w:color w:val="auto"/>
        </w:rPr>
      </w:pPr>
    </w:p>
    <w:p>
      <w:pPr>
        <w:ind w:left="800" w:right="180" w:hanging="454"/>
        <w:spacing w:after="0" w:line="239"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issued the old notes in transactions not requiring registration under the Securities Act of 1933, as amended (the “Securities Act”), and as a result, transfer of the old notes is restricted. We are making the exchange offer to satisfy your registration rights as a holder of old notes.</w:t>
      </w:r>
    </w:p>
    <w:p>
      <w:pPr>
        <w:spacing w:after="0" w:line="58"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There is no established trading market for the new notes.</w:t>
      </w:r>
    </w:p>
    <w:p>
      <w:pPr>
        <w:spacing w:after="0" w:line="69" w:lineRule="exact"/>
        <w:rPr>
          <w:sz w:val="24"/>
          <w:szCs w:val="24"/>
          <w:color w:val="auto"/>
        </w:rPr>
      </w:pPr>
    </w:p>
    <w:p>
      <w:pPr>
        <w:ind w:right="60" w:firstLine="342"/>
        <w:spacing w:after="0" w:line="278" w:lineRule="auto"/>
        <w:rPr>
          <w:sz w:val="20"/>
          <w:szCs w:val="20"/>
          <w:color w:val="auto"/>
        </w:rPr>
      </w:pPr>
      <w:r>
        <w:rPr>
          <w:rFonts w:ascii="Arial" w:cs="Arial" w:eastAsia="Arial" w:hAnsi="Arial"/>
          <w:sz w:val="12"/>
          <w:szCs w:val="12"/>
          <w:color w:val="auto"/>
        </w:rPr>
        <w:t xml:space="preserve">Each broker-dealer that receives new notes pursuant to the exchange offer must acknowledge that it will deliver a prospectus in connection with any resale of such new notes. If the broker-dealer acquired old notes as a result of market making or other trading activities, such broker-dealer may use the prospectus for the exchange offer, as supplemented or amended, in connection with resales of the new notes. Broker-dealers who acquired old notes directly from the issuers in the initial offerings of the old notes must, in the absence of an exemption, comply with the registration and prospectus delivery requirements of the Securities Act in connection with the secondary resales and cannot rely on the position of the staff enunciated in </w:t>
      </w:r>
      <w:r>
        <w:rPr>
          <w:rFonts w:ascii="Arial" w:cs="Arial" w:eastAsia="Arial" w:hAnsi="Arial"/>
          <w:sz w:val="12"/>
          <w:szCs w:val="12"/>
          <w:i w:val="1"/>
          <w:iCs w:val="1"/>
          <w:color w:val="auto"/>
        </w:rPr>
        <w:t>Exxon Capital Holdings Corp.</w:t>
      </w:r>
      <w:r>
        <w:rPr>
          <w:rFonts w:ascii="Arial" w:cs="Arial" w:eastAsia="Arial" w:hAnsi="Arial"/>
          <w:sz w:val="12"/>
          <w:szCs w:val="12"/>
          <w:color w:val="auto"/>
        </w:rPr>
        <w:t>, SEC no-action letter (publicly available May 13, 1988).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89535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4"/>
          <w:szCs w:val="24"/>
          <w:color w:val="auto"/>
        </w:rPr>
      </w:pPr>
    </w:p>
    <w:p>
      <w:pPr>
        <w:ind w:left="3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w:t>
      </w:r>
      <w:hyperlink w:anchor="page2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19 for a discussion of risks you should consider prior to tendering your old notes for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2" w:lineRule="exact"/>
        <w:rPr>
          <w:sz w:val="24"/>
          <w:szCs w:val="24"/>
          <w:color w:val="auto"/>
        </w:rPr>
      </w:pPr>
    </w:p>
    <w:p>
      <w:pPr>
        <w:ind w:right="440" w:firstLine="342"/>
        <w:spacing w:after="0" w:line="239" w:lineRule="auto"/>
        <w:rPr>
          <w:sz w:val="20"/>
          <w:szCs w:val="20"/>
          <w:color w:val="auto"/>
        </w:rPr>
      </w:pPr>
      <w:r>
        <w:rPr>
          <w:rFonts w:ascii="Arial" w:cs="Arial" w:eastAsia="Arial" w:hAnsi="Arial"/>
          <w:sz w:val="14"/>
          <w:szCs w:val="14"/>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8" w:lineRule="exact"/>
        <w:rPr>
          <w:sz w:val="24"/>
          <w:szCs w:val="24"/>
          <w:color w:val="auto"/>
        </w:rPr>
      </w:pPr>
    </w:p>
    <w:p>
      <w:pPr>
        <w:ind w:right="560" w:firstLine="342"/>
        <w:spacing w:after="0" w:line="239" w:lineRule="auto"/>
        <w:rPr>
          <w:sz w:val="20"/>
          <w:szCs w:val="20"/>
          <w:color w:val="auto"/>
        </w:rPr>
      </w:pPr>
      <w:r>
        <w:rPr>
          <w:rFonts w:ascii="Arial" w:cs="Arial" w:eastAsia="Arial" w:hAnsi="Arial"/>
          <w:sz w:val="14"/>
          <w:szCs w:val="14"/>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date of this prospectus is August 2, 2010</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the applicable document.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4"/>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Industry Data</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2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Special Note Regarding Forward-Looking Statements</w:t>
              </w:r>
            </w:hyperlink>
          </w:p>
        </w:tc>
        <w:tc>
          <w:tcPr>
            <w:tcW w:w="726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103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1016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5"/>
          </w:tcPr>
          <w:p>
            <w:pPr>
              <w:spacing w:after="0"/>
              <w:rPr>
                <w:sz w:val="17"/>
                <w:szCs w:val="17"/>
                <w:color w:val="auto"/>
              </w:rPr>
            </w:pPr>
          </w:p>
        </w:tc>
        <w:tc>
          <w:tcPr>
            <w:tcW w:w="858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4">
              <w:r>
                <w:rPr>
                  <w:rFonts w:ascii="Arial" w:cs="Arial" w:eastAsia="Arial" w:hAnsi="Arial"/>
                  <w:sz w:val="18"/>
                  <w:szCs w:val="18"/>
                  <w:color w:val="0000EE"/>
                  <w:w w:val="84"/>
                </w:rPr>
                <w:t>Business</w:t>
              </w:r>
            </w:hyperlink>
          </w:p>
        </w:tc>
        <w:tc>
          <w:tcPr>
            <w:tcW w:w="5660" w:type="dxa"/>
            <w:vAlign w:val="bottom"/>
            <w:tcBorders>
              <w:top w:val="single" w:sz="8" w:color="0000EE"/>
            </w:tcBorders>
            <w:gridSpan w:val="21"/>
          </w:tcPr>
          <w:p>
            <w:pPr>
              <w:spacing w:after="0"/>
              <w:rPr>
                <w:sz w:val="17"/>
                <w:szCs w:val="17"/>
                <w:color w:val="auto"/>
              </w:rPr>
            </w:pPr>
          </w:p>
        </w:tc>
        <w:tc>
          <w:tcPr>
            <w:tcW w:w="47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Management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Director and Executive Officer Compensation and Other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Security Ownership of Certain Beneficial Owners and Management</w:t>
              </w:r>
            </w:hyperlink>
          </w:p>
        </w:tc>
        <w:tc>
          <w:tcPr>
            <w:tcW w:w="62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98">
              <w:r>
                <w:rPr>
                  <w:rFonts w:ascii="Arial" w:cs="Arial" w:eastAsia="Arial" w:hAnsi="Arial"/>
                  <w:sz w:val="18"/>
                  <w:szCs w:val="18"/>
                  <w:color w:val="0000EE"/>
                  <w:w w:val="87"/>
                </w:rPr>
                <w:t>Certain Relationships and Related Transactions</w:t>
              </w:r>
            </w:hyperlink>
          </w:p>
        </w:tc>
        <w:tc>
          <w:tcPr>
            <w:tcW w:w="772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The Exchange Offer</w:t>
              </w:r>
            </w:hyperlink>
          </w:p>
        </w:tc>
        <w:tc>
          <w:tcPr>
            <w:tcW w:w="962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Description of the New 2017 Notes</w:t>
              </w:r>
            </w:hyperlink>
          </w:p>
        </w:tc>
        <w:tc>
          <w:tcPr>
            <w:tcW w:w="85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Description of the New 2020 Notes</w:t>
              </w:r>
            </w:hyperlink>
          </w:p>
        </w:tc>
        <w:tc>
          <w:tcPr>
            <w:tcW w:w="85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53">
              <w:r>
                <w:rPr>
                  <w:rFonts w:ascii="Arial" w:cs="Arial" w:eastAsia="Arial" w:hAnsi="Arial"/>
                  <w:sz w:val="18"/>
                  <w:szCs w:val="18"/>
                  <w:color w:val="0000EE"/>
                  <w:w w:val="88"/>
                </w:rPr>
                <w:t>Description of Certain Indebtedness</w:t>
              </w:r>
            </w:hyperlink>
          </w:p>
        </w:tc>
        <w:tc>
          <w:tcPr>
            <w:tcW w:w="85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Intercreditor Agreement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63">
              <w:r>
                <w:rPr>
                  <w:rFonts w:ascii="Arial" w:cs="Arial" w:eastAsia="Arial" w:hAnsi="Arial"/>
                  <w:sz w:val="18"/>
                  <w:szCs w:val="18"/>
                  <w:color w:val="0000EE"/>
                  <w:w w:val="88"/>
                </w:rPr>
                <w:t>Material United States Federal Income Tax Considerations</w:t>
              </w:r>
            </w:hyperlink>
          </w:p>
        </w:tc>
        <w:tc>
          <w:tcPr>
            <w:tcW w:w="69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64">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Legal Matters</w:t>
              </w:r>
            </w:hyperlink>
          </w:p>
        </w:tc>
        <w:tc>
          <w:tcPr>
            <w:tcW w:w="966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Experts</w:t>
              </w:r>
            </w:hyperlink>
          </w:p>
        </w:tc>
        <w:tc>
          <w:tcPr>
            <w:tcW w:w="1008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800" w:type="dxa"/>
            <w:vAlign w:val="bottom"/>
            <w:gridSpan w:val="1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66">
              <w:r>
                <w:rPr>
                  <w:rFonts w:ascii="Arial" w:cs="Arial" w:eastAsia="Arial" w:hAnsi="Arial"/>
                  <w:sz w:val="18"/>
                  <w:szCs w:val="18"/>
                  <w:color w:val="0000EE"/>
                  <w:w w:val="88"/>
                </w:rPr>
                <w:t>Index to Consolidated Financial Statements</w:t>
              </w:r>
            </w:hyperlink>
          </w:p>
        </w:tc>
        <w:tc>
          <w:tcPr>
            <w:tcW w:w="79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the federal securities laws,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3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tourism and consumer spending trends given the current domestic and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 taken by our competitors in reaction to adverse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such as avian flu or the impact a natural disaster may have on the travel and leisure industry;</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19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 xml:space="preserve">The new notes will be jointly issued by Wynn Las Vegas, LLC, a Nevada limited liability company, and its wholly owned subsidiary, Wynn Las Vegas Capital Corp., a Nevada corporation (“Wynn Capital”). Wynn Las Vegas, LLC and Wynn Capital together are hereinafter referred to as the “Issuers.” The new notes will be guaranteed by all of our subsidiaries other than Wynn Capital and Wynn Completion Guarantor, LLC (the “guarantors”). Unless the context otherwise requires, all references in this prospectus to the “Company,” “we,” “us” or “our,” or similar terms, refer to Wynn Las Vegas, LLC and its consolidated subsidiaries (other than Wynn Completion Guarantor, LLC). The 7 </w:t>
      </w:r>
      <w:r>
        <w:rPr>
          <w:rFonts w:ascii="Arial" w:cs="Arial" w:eastAsia="Arial" w:hAnsi="Arial"/>
          <w:sz w:val="10"/>
          <w:szCs w:val="10"/>
          <w:i w:val="1"/>
          <w:iCs w:val="1"/>
          <w:color w:val="auto"/>
        </w:rPr>
        <w:t>7</w:t>
      </w:r>
      <w:r>
        <w:rPr>
          <w:rFonts w:ascii="Arial" w:cs="Arial" w:eastAsia="Arial" w:hAnsi="Arial"/>
          <w:sz w:val="16"/>
          <w:szCs w:val="16"/>
          <w:i w:val="1"/>
          <w:iCs w:val="1"/>
          <w:color w:val="auto"/>
        </w:rPr>
        <w:t xml:space="preserve"> /</w:t>
      </w:r>
      <w:r>
        <w:rPr>
          <w:rFonts w:ascii="Arial" w:cs="Arial" w:eastAsia="Arial" w:hAnsi="Arial"/>
          <w:sz w:val="12"/>
          <w:szCs w:val="12"/>
          <w:i w:val="1"/>
          <w:iCs w:val="1"/>
          <w:color w:val="auto"/>
        </w:rPr>
        <w:t>8</w:t>
      </w:r>
      <w:r>
        <w:rPr>
          <w:rFonts w:ascii="Arial" w:cs="Arial" w:eastAsia="Arial" w:hAnsi="Arial"/>
          <w:sz w:val="16"/>
          <w:szCs w:val="16"/>
          <w:i w:val="1"/>
          <w:iCs w:val="1"/>
          <w:color w:val="auto"/>
        </w:rPr>
        <w:t xml:space="preserve">% first mortgage notes due 2017 are sometimes referred to herein as the “2017 notes,” which term, except with respect to discussions of original issue discount and other income tax consequences and unless the context otherwise requires, includes the new 2017 notes and the old 2017 notes. The 7 </w:t>
      </w:r>
      <w:r>
        <w:rPr>
          <w:rFonts w:ascii="Arial" w:cs="Arial" w:eastAsia="Arial" w:hAnsi="Arial"/>
          <w:sz w:val="10"/>
          <w:szCs w:val="10"/>
          <w:i w:val="1"/>
          <w:iCs w:val="1"/>
          <w:color w:val="auto"/>
        </w:rPr>
        <w:t>7</w:t>
      </w:r>
      <w:r>
        <w:rPr>
          <w:rFonts w:ascii="Arial" w:cs="Arial" w:eastAsia="Arial" w:hAnsi="Arial"/>
          <w:sz w:val="16"/>
          <w:szCs w:val="16"/>
          <w:i w:val="1"/>
          <w:iCs w:val="1"/>
          <w:color w:val="auto"/>
        </w:rPr>
        <w:t>/</w:t>
      </w:r>
      <w:r>
        <w:rPr>
          <w:rFonts w:ascii="Arial" w:cs="Arial" w:eastAsia="Arial" w:hAnsi="Arial"/>
          <w:sz w:val="12"/>
          <w:szCs w:val="12"/>
          <w:i w:val="1"/>
          <w:iCs w:val="1"/>
          <w:color w:val="auto"/>
        </w:rPr>
        <w:t>8</w:t>
      </w:r>
      <w:r>
        <w:rPr>
          <w:rFonts w:ascii="Arial" w:cs="Arial" w:eastAsia="Arial" w:hAnsi="Arial"/>
          <w:sz w:val="16"/>
          <w:szCs w:val="16"/>
          <w:i w:val="1"/>
          <w:iCs w:val="1"/>
          <w:color w:val="auto"/>
        </w:rPr>
        <w:t>% first mortgage notes due 2020 are sometimes referred to herein as the “2020 notes,” which term, except with respect to discussions of original issue discount and other income tax consequences and unless the context otherwise requires, includes the new 2020 notes and the old 2020 notes. The sole member of Wynn Las Vegas, LLC is Wynn Resorts Holdings, LLC (“Wynn Holdings”), and the sole member of Wynn Holdings is Wynn Resorts, Limited (“Wynn Resorts”).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180" w:firstLine="443"/>
        <w:spacing w:after="0" w:line="306"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and “Encore at Wynn Las Vegas,” or “Encore,” which is located adjacent to and is connected with Wynn Las Vegas. We commenced operations with the opening of Wynn Las Vegas on April 28, 2005. We opened Encore on December 22, 2008. Prior to April 28, 2005, we were solely a development stage company.</w:t>
      </w:r>
    </w:p>
    <w:p>
      <w:pPr>
        <w:spacing w:after="0" w:line="10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believe that Wynn Las Vegas offers exceptional accommodations, amenities and service with 2,716 rooms and suites, including 36 fairway villas and 6 private-entry villas for our premium guests. The Tower Suites at Wynn Las Vegas has received the Forbes five-star and AAA 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Wynn Las Vegas’s approximately 110,000 square foot casino features approximately 140 table games, a baccarat salon, private VIP gaming rooms, a poker room, approximately 1,875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118"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Encore features a 2,034 all-suite hotel as well as an approximately 76,000 square foot casino with approximately 80 table games, a baccarat salon, private VIP gaming rooms, approximately 800 slot machines and a sports book. In its first full year of operations, the Encore Tower Suites has received both the Forbes five-star</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94" w:lineRule="auto"/>
        <w:rPr>
          <w:sz w:val="20"/>
          <w:szCs w:val="20"/>
          <w:color w:val="auto"/>
        </w:rPr>
      </w:pPr>
      <w:r>
        <w:rPr>
          <w:rFonts w:ascii="Arial" w:cs="Arial" w:eastAsia="Arial" w:hAnsi="Arial"/>
          <w:sz w:val="16"/>
          <w:szCs w:val="16"/>
          <w:color w:val="auto"/>
        </w:rPr>
        <w:t>and AAA five-diamond awards. The Spa at Encore also earned five-star recognition from Forbes. The resort’s 12 food and beverage outlets include five restaurants, many of which feature award winning chefs. Encore also offers a night club, a 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w:t>
      </w:r>
    </w:p>
    <w:p>
      <w:pPr>
        <w:spacing w:after="0" w:line="38" w:lineRule="exact"/>
        <w:rPr>
          <w:sz w:val="20"/>
          <w:szCs w:val="20"/>
          <w:color w:val="auto"/>
        </w:rPr>
      </w:pPr>
    </w:p>
    <w:p>
      <w:pPr>
        <w:ind w:left="200"/>
        <w:spacing w:after="0" w:line="323" w:lineRule="auto"/>
        <w:rPr>
          <w:sz w:val="20"/>
          <w:szCs w:val="20"/>
          <w:color w:val="auto"/>
        </w:rPr>
      </w:pPr>
      <w:r>
        <w:rPr>
          <w:rFonts w:ascii="Arial" w:cs="Arial" w:eastAsia="Arial" w:hAnsi="Arial"/>
          <w:sz w:val="16"/>
          <w:szCs w:val="16"/>
          <w:color w:val="auto"/>
        </w:rPr>
        <w:t>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93"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left="200" w:right="60" w:firstLine="443"/>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Exchange Offer</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On March 26, 2010, the Issuers commenced an offer to exchange their outstanding 2014 notes for the old 2020 notes, upon the terms and subject to the conditions set forth in a confidential offering memorandum and a related letter of transmittal (the “2014/2020 exchange offer”). The 2014/2020 exchange offer was conditioned upon, among other things, the tender of at least $250 million aggregate principal amount of 2014 notes. The old 2020 notes were only offered to qualified institutional buyers and outside the United States in accordance with Rule 144A and Regulation S, respectively, under the Securities Act of 1933, as amended.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each $1,000 aggregate principal amout of 2014 notes tendered in the 2014/2020 exchange offer, the tendering holders of 2014 notes received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$1,000 aggregate principal amount of old 2020 notes. Noteholders who validly tendered 2014 notes prior to 7:00 a.m., New York City time, on April 9, 2010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received an early delivery payment of $10 in cash in exchange for each $1,000 principal amount of 2014 notes tendered. The Issuers paid a total early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delivery payment of $3,797,530 in cash.</w:t>
      </w:r>
    </w:p>
    <w:p>
      <w:pPr>
        <w:spacing w:after="0" w:line="165" w:lineRule="exact"/>
        <w:rPr>
          <w:sz w:val="20"/>
          <w:szCs w:val="20"/>
          <w:color w:val="auto"/>
        </w:rPr>
      </w:pPr>
    </w:p>
    <w:p>
      <w:pPr>
        <w:ind w:left="200" w:right="120" w:firstLine="443"/>
        <w:spacing w:after="0" w:line="370" w:lineRule="auto"/>
        <w:rPr>
          <w:sz w:val="20"/>
          <w:szCs w:val="20"/>
          <w:color w:val="auto"/>
        </w:rPr>
      </w:pPr>
      <w:r>
        <w:rPr>
          <w:rFonts w:ascii="Arial" w:cs="Arial" w:eastAsia="Arial" w:hAnsi="Arial"/>
          <w:sz w:val="15"/>
          <w:szCs w:val="15"/>
          <w:color w:val="auto"/>
        </w:rPr>
        <w:t>At the expiration of the 2014/2020 exchange offer on April 23, 2010, $382,010,000 aggregate prinicipal amount of 2014 notes had been tendered in exchange for old 2020 notes. On April 28, 2010, the Issuers accepted all such tendered notes for exchange and consummated the 2014/2020 exchange offer.</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06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506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Tender Offer for 2014 Notes</w:t>
      </w:r>
    </w:p>
    <w:p>
      <w:pPr>
        <w:spacing w:after="0" w:line="96" w:lineRule="exact"/>
        <w:rPr>
          <w:sz w:val="20"/>
          <w:szCs w:val="20"/>
          <w:color w:val="auto"/>
        </w:rPr>
      </w:pPr>
    </w:p>
    <w:p>
      <w:pPr>
        <w:ind w:left="200" w:firstLine="443"/>
        <w:spacing w:after="0" w:line="309" w:lineRule="auto"/>
        <w:rPr>
          <w:sz w:val="20"/>
          <w:szCs w:val="20"/>
          <w:color w:val="auto"/>
        </w:rPr>
      </w:pPr>
      <w:r>
        <w:rPr>
          <w:rFonts w:ascii="Arial" w:cs="Arial" w:eastAsia="Arial" w:hAnsi="Arial"/>
          <w:sz w:val="15"/>
          <w:szCs w:val="15"/>
          <w:color w:val="auto"/>
        </w:rPr>
        <w:t>On July 21, 2010, Wynn Las Vegas commenced an offer to purchase for cash any and all of the outstanding 2014 notes, and a solicitation of consents to amend the indenture and the intercreditor agreement related to the 2014 notes. Pursuant to the tender offer, we are offering $1,004.38 for each $1,000 principal amount of 2014 notes validly tendered and not validly withdrawn on or before the expiration date, plus an additional $30.00 to holders who tender their 2014 notes prior to the consent deadline, in each case, including accrued and unpaid interest up to, but not including, the applicable payment date. The proposed amendments to the 2014 notes indenture would eliminate substantially all of the restrictive covenants and certain events of default contained in the indenture. The proposed intercreditor agreement amendments would grant the trustees and holders of the new series 2020 notes (as defined below), the old notes and, upon consummation of the exchange offer, the new notes rights equal to those of the trustee and holders of 2014 notes to enforce remedies against shared collateral. The consummation of the private offering of the new series 2020 notes described below is a condition to our obligation to accept for purchase and pay for the 2014 notes pursuant to our offer to purchase and consent solicitation and to redeem any 2014 notes not tendered.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Private Offering of 7¾% First Mortgage Notes due 2020</w:t>
      </w:r>
    </w:p>
    <w:p>
      <w:pPr>
        <w:spacing w:after="0" w:line="96"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On July 21, 2010, the Issuers commenced and successfully priced an offering of $1,320,000,000 aggregate principal amount of 7¾% First Mortgage Notes due 2020 (the “new series 2020 notes”). The new series 2020 notes will be issued at par. The new series 2020 notes will be offered only to qualified institutional buyers and outside the U.S. in accordance with Rule 144A and Regulation S, respectively, under the Securities Act. Wynn Las Vegas plans to use the net proceeds of the offering along with the proceeds of a capital contribution from Wynn Resorts to purchase, and pay consent payments for, any and all of the 2014 notes that are validly tendered and accepted for payment pursuant to Wynn Las Vegas’ concurrent offer to purchase and consent solicitation with respect to the 2014 notes and to redeem any 2014 notes not tendered.</w:t>
      </w:r>
    </w:p>
    <w:p>
      <w:pPr>
        <w:spacing w:after="0" w:line="120" w:lineRule="exact"/>
        <w:rPr>
          <w:sz w:val="20"/>
          <w:szCs w:val="20"/>
          <w:color w:val="auto"/>
        </w:rPr>
      </w:pPr>
    </w:p>
    <w:p>
      <w:pPr>
        <w:ind w:left="200" w:right="200" w:firstLine="443"/>
        <w:spacing w:after="0" w:line="268" w:lineRule="auto"/>
        <w:rPr>
          <w:sz w:val="20"/>
          <w:szCs w:val="20"/>
          <w:color w:val="auto"/>
        </w:rPr>
      </w:pPr>
      <w:r>
        <w:rPr>
          <w:rFonts w:ascii="Arial" w:cs="Arial" w:eastAsia="Arial" w:hAnsi="Arial"/>
          <w:sz w:val="18"/>
          <w:szCs w:val="18"/>
          <w:color w:val="auto"/>
        </w:rPr>
        <w:t>The new series 2020 notes will rank pari passu in right of payment with borrowings under Wynn Las Vegas’ credit facilities, the 2014 notes, the old notes and, upon consummation of the exchange offer, the new notes.</w:t>
      </w:r>
    </w:p>
    <w:p>
      <w:pPr>
        <w:spacing w:after="0" w:line="132"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The new series 2020 notes will be senior secured obligations of the Issuers, will be guaranteed by certain of Wynn Las Vegas’ subsidiaries and will be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all of which is the same collateral that secures borrowings under Wynn Las Vegas’ credit facilities, the 2014 notes, the old notes and, upon consummation of the exchange offer, the new notes.</w:t>
      </w:r>
    </w:p>
    <w:p>
      <w:pPr>
        <w:spacing w:after="0" w:line="143" w:lineRule="exact"/>
        <w:rPr>
          <w:sz w:val="20"/>
          <w:szCs w:val="20"/>
          <w:color w:val="auto"/>
        </w:rPr>
      </w:pPr>
    </w:p>
    <w:p>
      <w:pPr>
        <w:jc w:val="both"/>
        <w:ind w:left="200" w:right="40" w:firstLine="443"/>
        <w:spacing w:after="0" w:line="259" w:lineRule="auto"/>
        <w:rPr>
          <w:sz w:val="20"/>
          <w:szCs w:val="20"/>
          <w:color w:val="auto"/>
        </w:rPr>
      </w:pPr>
      <w:r>
        <w:rPr>
          <w:rFonts w:ascii="Arial" w:cs="Arial" w:eastAsia="Arial" w:hAnsi="Arial"/>
          <w:sz w:val="18"/>
          <w:szCs w:val="18"/>
          <w:color w:val="auto"/>
        </w:rPr>
        <w:t>The new series 2020 notes have not been registered under the Securities Act or under any state securities laws. Therefore, the Issuers may not offer or sell the new series 2020 notes within the United States to, or for the account or benefit of, any United States person unless the offer or sale would qualify for a registration exemption from the Securities Act and applicable state securities laws.</w:t>
      </w: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400" w:type="dxa"/>
            <w:vAlign w:val="bottom"/>
            <w:tcBorders>
              <w:top w:val="single" w:sz="8" w:color="auto"/>
              <w:left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820" w:type="dxa"/>
            <w:vAlign w:val="bottom"/>
            <w:tcBorders>
              <w:top w:val="single" w:sz="8" w:color="auto"/>
              <w:right w:val="single" w:sz="8" w:color="auto"/>
            </w:tcBorders>
          </w:tcPr>
          <w:p>
            <w:pPr>
              <w:jc w:val="center"/>
              <w:ind w:right="4532"/>
              <w:spacing w:after="0"/>
              <w:rPr>
                <w:sz w:val="20"/>
                <w:szCs w:val="20"/>
                <w:color w:val="auto"/>
              </w:rPr>
            </w:pPr>
            <w:r>
              <w:rPr>
                <w:rFonts w:ascii="Arial" w:cs="Arial" w:eastAsia="Arial" w:hAnsi="Arial"/>
                <w:sz w:val="18"/>
                <w:szCs w:val="18"/>
                <w:b w:val="1"/>
                <w:bCs w:val="1"/>
                <w:color w:val="auto"/>
                <w:w w:val="89"/>
              </w:rPr>
              <w:t>The Exchange Offer</w:t>
            </w: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2017 Notes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2017, which we issued on October 19, 2009. The old 2017</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88"/>
              </w:rPr>
              <w:t>notes were issued under the indenture, dated as of October 19, 2009. The old 2017 notes are, and,</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upon consummation of the exchange offer, the new 2017 notes will be, pari passu with the 2014</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notes, the 2020 notes and our obligations under our credit facilities.</w:t>
            </w: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2020 Notes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First Mortgage Notes due 2020, which we issued on April 28, 2010. The old 2020 notes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2"/>
              </w:rPr>
              <w:t>were issued under the indenture, dated as of April 28, 2010. The old 2020 notes are, and, upon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0"/>
              </w:rPr>
              <w:t>consummation of the exchange offer, the new 2020 notes will be, pari passu with the 2014 notes,</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the 2017 notes and our obligations under our credit facilities.</w:t>
            </w: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2017 Notes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2017, the issuance of which has been registered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Securities Act. The form and the terms of the new 2017 notes are substantially identical to those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7"/>
              </w:rPr>
              <w:t>of the old 2017 notes, except that the transfer restrictions, registration rights and liquidated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damages provisions relating to the old 2017 notes do not apply to the new 2017 notes.</w:t>
            </w: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2020 Notes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2020, the issuance of which has been registered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Securities Act. The form and the terms of the new notes are substantially identical to those of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old 2020 notes, except that the transfer restrictions, registration rights and liquidated damages</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provisions relating to the old 2020 notes do not apply to the new 2020 notes.</w:t>
            </w: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2017 Notes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4"/>
              </w:rPr>
              <w:t>We are offering to issue up to $500,000,000 aggregate principal amount of new 2017 notes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8"/>
              </w:rPr>
              <w:t>exchange for a like principal amount of old 2017 notes to satisfy our obligations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8"/>
              </w:rPr>
              <w:t>registration rights agreement that we entered into when the old 2017 notes were issued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transactions consummated in reliance upon the exemptions from registration provided by Rule</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144A and Regulation S under the Securities Act.</w:t>
            </w: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2020 Notes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4"/>
              </w:rPr>
              <w:t>We are offering to issue up to $382,010,000 aggregate principal amount of new 2020 notes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8"/>
              </w:rPr>
              <w:t>exchange for a like principal amount of old 2020 notes to satisfy our obligations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8"/>
              </w:rPr>
              <w:t>registration rights agreement that we entered into when the old 2020 notes were issued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transactions consummated in reliance upon the exemptions from registration provided by Rule</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144A and Regulation S under the Securities Act.</w:t>
            </w: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Expiration Date; Tenders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2"/>
              </w:rPr>
              <w:t>The exchange offer will expire at 5:00 p.m., New York City time, on August 30, 2010, unless we</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extend the exchange offer. By tendering your old notes, you represent to us that:</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you are not our “affiliate,” as defined in Rule 405 under the Securities Act;</w:t>
            </w:r>
          </w:p>
        </w:tc>
      </w:tr>
      <w:tr>
        <w:trPr>
          <w:trHeight w:val="161"/>
        </w:trPr>
        <w:tc>
          <w:tcPr>
            <w:tcW w:w="34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20" w:type="dxa"/>
            <w:vAlign w:val="bottom"/>
          </w:tcPr>
          <w:p>
            <w:pPr>
              <w:jc w:val="right"/>
              <w:ind w:right="561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480" w:type="dxa"/>
            <w:vAlign w:val="bottom"/>
            <w:tcBorders>
              <w:top w:val="single" w:sz="8" w:color="auto"/>
              <w:left w:val="single" w:sz="8" w:color="auto"/>
            </w:tcBorders>
          </w:tcPr>
          <w:p>
            <w:pPr>
              <w:spacing w:after="0"/>
              <w:rPr>
                <w:sz w:val="24"/>
                <w:szCs w:val="24"/>
                <w:color w:val="auto"/>
              </w:rPr>
            </w:pPr>
          </w:p>
        </w:tc>
        <w:tc>
          <w:tcPr>
            <w:tcW w:w="11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1"/>
              </w:rPr>
              <w:t>any new notes you receive in the exchange offer are being acquired by you in the ordinary</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course of your business;</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at the time of the commencement of the exchange offer, neither you nor, to your</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knowledge, anyone receiving new notes from you, has any arrangement or understanding</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with any person to participate in the distribution, as defined in the Securities Act, of the</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new notes in violation of the Securities Act;</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if you are a broker-dealer, you will receive the new notes for your own account in</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exchange for old notes that were acquired by you as a result of your market-making or</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other trading activities and that you will deliver a prospectus in connection with any resale</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of the new notes you receive; for further information regarding resales of the new notes by</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participating broker-dealers, see the discussion under the caption “Plan of Distribution”;</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and</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if you are not a broker-dealer, you are not engaged in, and do not intend to engage in, the</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distribution of the new notes, as defined in the Securities Act.</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Withdrawal; Non-Acceptance</w:t>
            </w: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3"/>
              </w:rPr>
              <w:t>You may withdraw any old notes tendered in the exchange offer at any time prior to 5:00 p.m.,</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2"/>
              </w:rPr>
              <w:t>New York City time, on August 30, 2010, which date we may extend if we extend the exchange</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89"/>
              </w:rPr>
              <w:t>offer. If we decide for any reason not to accept any old notes tendered for exchange, the old notes</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will be returned to the registered holder at our expense promptly after the expiration or</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3"/>
              </w:rPr>
              <w:t>termination of the exchange offer. In the case of old notes tendered by book-entry transfer into</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6"/>
              </w:rPr>
              <w:t>the exchange agent’s account at The Depository Trust Company (“DTC”), any withdrawn or</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7"/>
              </w:rPr>
              <w:t>unaccepted old notes will be credited to the tendering holder’s account at DTC. For further</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1"/>
              </w:rPr>
              <w:t>information regarding the withdrawal of tendered old notes, see “The Exchange Offer—Terms of</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5"/>
              </w:rPr>
              <w:t>the Exchange Offer; Period for Tendering Old Notes” and “The Exchange Offer—Withdrawal</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Rights.”</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Conditions to the Exchange Offer</w:t>
            </w: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the expiration of the exchange offer:</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the exchange offer violates any applicable law or applicable interpretation of the staff of</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SEC;</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an action or proceeding shall have been instituted or threatened in any court or by any</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governmental agency that might materially impair our or the guarantors’ ability to proceed</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with the exchange offer;</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we do not receive all the governmental approvals that we believe are necessary to</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89"/>
              </w:rPr>
              <w:t>there has been proposed, adopted, or enacted any law, statute, rule or regulation that, in our</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reasonable judgment, would materially impair our ability to consummate the exchange</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offer.</w:t>
            </w:r>
          </w:p>
        </w:tc>
      </w:tr>
      <w:tr>
        <w:trPr>
          <w:trHeight w:val="161"/>
        </w:trPr>
        <w:tc>
          <w:tcPr>
            <w:tcW w:w="3480" w:type="dxa"/>
            <w:vAlign w:val="bottom"/>
            <w:tcBorders>
              <w:left w:val="single" w:sz="8" w:color="auto"/>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20" w:type="dxa"/>
            <w:vAlign w:val="bottom"/>
          </w:tcPr>
          <w:p>
            <w:pPr>
              <w:ind w:left="104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line="259" w:lineRule="auto"/>
        <w:rPr>
          <w:sz w:val="20"/>
          <w:szCs w:val="20"/>
          <w:color w:val="auto"/>
        </w:rPr>
      </w:pPr>
      <w:r>
        <w:rPr>
          <w:rFonts w:ascii="Arial" w:cs="Arial" w:eastAsia="Arial" w:hAnsi="Arial"/>
          <w:sz w:val="18"/>
          <w:szCs w:val="18"/>
          <w:color w:val="auto"/>
        </w:rPr>
        <w:t>We may waive any of the above conditions in our reasonable discretion. See the discussion below under the caption “The Exchange Offer—Conditions to the Exchange Offer” for more information regarding the conditions to the exchange offer.</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Procedures for Tendering Old Notes</w:t>
            </w: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90"/>
              </w:rPr>
              <w:t>Unless you comply with the procedure described below under the caption “The Exchange Offer</w:t>
            </w:r>
          </w:p>
        </w:tc>
      </w:tr>
      <w:tr>
        <w:trPr>
          <w:trHeight w:val="216"/>
        </w:trPr>
        <w:tc>
          <w:tcPr>
            <w:tcW w:w="3360" w:type="dxa"/>
            <w:vAlign w:val="bottom"/>
          </w:tcPr>
          <w:p>
            <w:pPr>
              <w:spacing w:after="0"/>
              <w:rPr>
                <w:sz w:val="18"/>
                <w:szCs w:val="18"/>
                <w:color w:val="auto"/>
              </w:rPr>
            </w:pP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98"/>
              </w:rPr>
              <w:t>—Guaranteed Delivery Procedures,” you must do one of the following on or prior to the</w:t>
            </w:r>
          </w:p>
        </w:tc>
      </w:tr>
      <w:tr>
        <w:trPr>
          <w:trHeight w:val="222"/>
        </w:trPr>
        <w:tc>
          <w:tcPr>
            <w:tcW w:w="3360" w:type="dxa"/>
            <w:vAlign w:val="bottom"/>
          </w:tcPr>
          <w:p>
            <w:pPr>
              <w:spacing w:after="0"/>
              <w:rPr>
                <w:sz w:val="19"/>
                <w:szCs w:val="19"/>
                <w:color w:val="auto"/>
              </w:rPr>
            </w:pP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tender your old notes by sending (i) the certificates for your old notes (in proper form for</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0"/>
              </w:rPr>
              <w:t>transfer), (ii) a properly completed and duly executed letter of transmittal and (iii) all other</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documents required by the letter of transmittal to U.S. Bank National Association, as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2"/>
              </w:rPr>
              <w:t>exchange agent, at one of the addresses listed below under the caption “The Exchange</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Offer—Exchange Agent”; or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tender your old notes by using the book-entry transfer procedures described below and</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3"/>
              </w:rPr>
              <w:t>transmitting a properly completed and duly executed letter of transmittal, or an agent’s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message instead of the letter of transmittal, to the exchange agent. For a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transfer to constitute a valid tender of your old notes in the exchange offer, U.S. Bank</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6"/>
              </w:rPr>
              <w:t>National Association, as exchange agent, must receive a confirmation of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9"/>
              </w:rPr>
              <w:t>transfer of your old notes into the exchange agent’s account at DTC prior to the expiration</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9"/>
              </w:rPr>
              <w:t>or termination of the exchange offer. For more information regarding the use of book-entry</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5"/>
              </w:rPr>
              <w:t>transfer procedures, including a description of the required agent’s message, see the</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discussion below under the caption “The Exchange Offer—Book-Entry Transfers.” As</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7"/>
              </w:rPr>
              <w:t>used in this prospectus, the term “agent’s message” means a message, transmitted by DTC</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2"/>
              </w:rPr>
              <w:t>to and received by the exchange agent and forming a part of a book-entry confirmation,</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6"/>
              </w:rPr>
              <w:t>which states that DTC has received an express acknowledgment from the tendering</w:t>
            </w: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88"/>
              </w:rPr>
              <w:t>participant stating that such participant has received and agrees to be bound by the letter of</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transmittal and that we may enforce such letter of transmittal against such participant.</w:t>
            </w:r>
          </w:p>
        </w:tc>
      </w:tr>
      <w:tr>
        <w:trPr>
          <w:trHeight w:val="412"/>
        </w:trPr>
        <w:tc>
          <w:tcPr>
            <w:tcW w:w="3360" w:type="dxa"/>
            <w:vAlign w:val="bottom"/>
          </w:tcPr>
          <w:p>
            <w:pPr>
              <w:spacing w:after="0"/>
              <w:rPr>
                <w:sz w:val="20"/>
                <w:szCs w:val="20"/>
                <w:color w:val="auto"/>
              </w:rPr>
            </w:pPr>
            <w:r>
              <w:rPr>
                <w:rFonts w:ascii="Arial" w:cs="Arial" w:eastAsia="Arial" w:hAnsi="Arial"/>
                <w:sz w:val="18"/>
                <w:szCs w:val="18"/>
                <w:color w:val="auto"/>
              </w:rPr>
              <w:t>Guaranteed Delivery Procedures</w:t>
            </w:r>
          </w:p>
        </w:tc>
        <w:tc>
          <w:tcPr>
            <w:tcW w:w="7700" w:type="dxa"/>
            <w:vAlign w:val="bottom"/>
            <w:gridSpan w:val="2"/>
          </w:tcPr>
          <w:p>
            <w:pPr>
              <w:ind w:left="840"/>
              <w:spacing w:after="0"/>
              <w:rPr>
                <w:sz w:val="20"/>
                <w:szCs w:val="20"/>
                <w:color w:val="auto"/>
              </w:rPr>
            </w:pPr>
            <w:r>
              <w:rPr>
                <w:rFonts w:ascii="Arial" w:cs="Arial" w:eastAsia="Arial" w:hAnsi="Arial"/>
                <w:sz w:val="18"/>
                <w:szCs w:val="18"/>
                <w:color w:val="auto"/>
                <w:w w:val="88"/>
              </w:rPr>
              <w:t>If you are a registered holder of old notes and wish to tender your old notes in the exchange offer,</w:t>
            </w:r>
          </w:p>
        </w:tc>
      </w:tr>
      <w:tr>
        <w:trPr>
          <w:trHeight w:val="222"/>
        </w:trPr>
        <w:tc>
          <w:tcPr>
            <w:tcW w:w="336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but:</w:t>
            </w:r>
          </w:p>
        </w:tc>
        <w:tc>
          <w:tcPr>
            <w:tcW w:w="6520" w:type="dxa"/>
            <w:vAlign w:val="bottom"/>
          </w:tcPr>
          <w:p>
            <w:pPr>
              <w:spacing w:after="0"/>
              <w:rPr>
                <w:sz w:val="19"/>
                <w:szCs w:val="19"/>
                <w:color w:val="auto"/>
              </w:rPr>
            </w:pPr>
          </w:p>
        </w:tc>
      </w:tr>
      <w:tr>
        <w:trPr>
          <w:trHeight w:val="297"/>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rPr>
              <w:t>the old notes are not immediately available;</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4"/>
              </w:rPr>
              <w:t>time will not permit your old notes or other required documents to reach the exchange</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agent before the expiration or termination of the exchange offer; or</w:t>
            </w:r>
          </w:p>
        </w:tc>
      </w:tr>
      <w:tr>
        <w:trPr>
          <w:trHeight w:val="291"/>
        </w:trPr>
        <w:tc>
          <w:tcPr>
            <w:tcW w:w="33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520" w:type="dxa"/>
            <w:vAlign w:val="bottom"/>
          </w:tcPr>
          <w:p>
            <w:pPr>
              <w:ind w:left="80"/>
              <w:spacing w:after="0"/>
              <w:rPr>
                <w:sz w:val="20"/>
                <w:szCs w:val="20"/>
                <w:color w:val="auto"/>
              </w:rPr>
            </w:pPr>
            <w:r>
              <w:rPr>
                <w:rFonts w:ascii="Arial" w:cs="Arial" w:eastAsia="Arial" w:hAnsi="Arial"/>
                <w:sz w:val="18"/>
                <w:szCs w:val="18"/>
                <w:color w:val="auto"/>
                <w:w w:val="97"/>
              </w:rPr>
              <w:t>the procedure for book-entry transfer cannot be completed prior to the expiration or</w:t>
            </w:r>
          </w:p>
        </w:tc>
      </w:tr>
      <w:tr>
        <w:trPr>
          <w:trHeight w:val="222"/>
        </w:trPr>
        <w:tc>
          <w:tcPr>
            <w:tcW w:w="3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termination of the exchange offer;</w:t>
            </w:r>
          </w:p>
        </w:tc>
      </w:tr>
    </w:tbl>
    <w:p>
      <w:pPr>
        <w:spacing w:after="0" w:line="75" w:lineRule="exact"/>
        <w:rPr>
          <w:sz w:val="20"/>
          <w:szCs w:val="20"/>
          <w:color w:val="auto"/>
        </w:rPr>
      </w:pPr>
    </w:p>
    <w:p>
      <w:pPr>
        <w:ind w:left="4400" w:right="26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961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96125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159"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ind w:left="440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Exchange Agent</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U.S. Bank National Association is the exchange agent for the exchange offer. You can find the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7"/>
              </w:rPr>
              <w:t>address and telephone number of the exchange agent below under the caption, “The Exchange</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Offer—Exchange Agent.”</w:t>
            </w:r>
          </w:p>
        </w:tc>
      </w:tr>
      <w:tr>
        <w:trPr>
          <w:trHeight w:val="412"/>
        </w:trPr>
        <w:tc>
          <w:tcPr>
            <w:tcW w:w="2680" w:type="dxa"/>
            <w:vAlign w:val="bottom"/>
          </w:tcPr>
          <w:p>
            <w:pPr>
              <w:spacing w:after="0"/>
              <w:rPr>
                <w:sz w:val="20"/>
                <w:szCs w:val="20"/>
                <w:color w:val="auto"/>
              </w:rPr>
            </w:pPr>
            <w:r>
              <w:rPr>
                <w:rFonts w:ascii="Arial" w:cs="Arial" w:eastAsia="Arial" w:hAnsi="Arial"/>
                <w:sz w:val="18"/>
                <w:szCs w:val="18"/>
                <w:color w:val="auto"/>
              </w:rPr>
              <w:t>Resales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Based on interpretations by the staff of the SEC, as set forth in no-action letters issued to third</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9"/>
              </w:rPr>
              <w:t>parties, we believe that the new notes issued in the exchange offer may be offered for resale,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resold or otherwise transferred by you without compliance with the registration and prospectus</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acquiring the new notes in the ordinary course of your business;</w:t>
            </w:r>
          </w:p>
        </w:tc>
      </w:tr>
      <w:tr>
        <w:trPr>
          <w:trHeight w:val="291"/>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w w:val="96"/>
              </w:rPr>
              <w:t>you are not participating, do not intend to participate and have no arrangement or</w:t>
            </w:r>
          </w:p>
        </w:tc>
      </w:tr>
      <w:tr>
        <w:trPr>
          <w:trHeight w:val="222"/>
        </w:trPr>
        <w:tc>
          <w:tcPr>
            <w:tcW w:w="2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w w:val="94"/>
              </w:rPr>
              <w:t>understanding with any person to participate, in a distribution of the new notes; and</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not an affiliate of ours.</w:t>
            </w:r>
          </w:p>
        </w:tc>
      </w:tr>
    </w:tbl>
    <w:p>
      <w:pPr>
        <w:spacing w:after="0" w:line="156" w:lineRule="exact"/>
        <w:rPr>
          <w:sz w:val="20"/>
          <w:szCs w:val="20"/>
          <w:color w:val="auto"/>
        </w:rPr>
      </w:pPr>
    </w:p>
    <w:p>
      <w:pPr>
        <w:ind w:left="4400" w:right="10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new notes:</w:t>
      </w:r>
    </w:p>
    <w:p>
      <w:pPr>
        <w:spacing w:after="0" w:line="4" w:lineRule="exact"/>
        <w:rPr>
          <w:sz w:val="20"/>
          <w:szCs w:val="20"/>
          <w:color w:val="auto"/>
        </w:rPr>
      </w:pPr>
    </w:p>
    <w:p>
      <w:pPr>
        <w:ind w:left="4820" w:hanging="423"/>
        <w:spacing w:after="0"/>
        <w:tabs>
          <w:tab w:leader="none" w:pos="4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w:t>
      </w:r>
    </w:p>
    <w:p>
      <w:pPr>
        <w:spacing w:after="0" w:line="90" w:lineRule="exact"/>
        <w:rPr>
          <w:rFonts w:ascii="Arial" w:cs="Arial" w:eastAsia="Arial" w:hAnsi="Arial"/>
          <w:sz w:val="18"/>
          <w:szCs w:val="18"/>
          <w:color w:val="auto"/>
        </w:rPr>
      </w:pPr>
    </w:p>
    <w:p>
      <w:pPr>
        <w:ind w:left="4820" w:hanging="423"/>
        <w:spacing w:after="0"/>
        <w:tabs>
          <w:tab w:leader="none" w:pos="4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not be entitled to tender your old notes in the exchange offer; and</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14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4514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 you must comply with the registration requirements of the Securities Act in connection with</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any resale transaction.</w:t>
      </w:r>
    </w:p>
    <w:p>
      <w:pPr>
        <w:spacing w:after="0" w:line="165" w:lineRule="exact"/>
        <w:rPr>
          <w:sz w:val="20"/>
          <w:szCs w:val="20"/>
          <w:color w:val="auto"/>
        </w:rPr>
      </w:pPr>
    </w:p>
    <w:p>
      <w:pPr>
        <w:ind w:left="4400" w:right="120"/>
        <w:spacing w:after="0" w:line="291" w:lineRule="auto"/>
        <w:rPr>
          <w:sz w:val="20"/>
          <w:szCs w:val="20"/>
          <w:color w:val="auto"/>
        </w:rPr>
      </w:pPr>
      <w:r>
        <w:rPr>
          <w:rFonts w:ascii="Arial" w:cs="Arial" w:eastAsia="Arial" w:hAnsi="Arial"/>
          <w:sz w:val="16"/>
          <w:szCs w:val="16"/>
          <w:color w:val="auto"/>
        </w:rPr>
        <w:t>Each broker or dealer that receives new notes for its own account in exchange for old notes that were acquired as a result of market-making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ectPr>
          <w:pgSz w:w="11900" w:h="16838" w:orient="portrait"/>
          <w:cols w:equalWidth="0" w:num="1">
            <w:col w:w="11240"/>
          </w:cols>
          <w:pgMar w:left="240" w:top="459" w:right="419" w:bottom="1440" w:gutter="0" w:footer="0" w:header="0"/>
        </w:sectPr>
      </w:pPr>
    </w:p>
    <w:p>
      <w:pPr>
        <w:spacing w:after="0" w:line="9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3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spacing w:after="0" w:line="370" w:lineRule="auto"/>
        <w:rPr>
          <w:sz w:val="20"/>
          <w:szCs w:val="20"/>
          <w:color w:val="auto"/>
        </w:rPr>
      </w:pPr>
      <w:r>
        <w:rPr>
          <w:rFonts w:ascii="Arial" w:cs="Arial" w:eastAsia="Arial" w:hAnsi="Arial"/>
          <w:sz w:val="15"/>
          <w:szCs w:val="15"/>
          <w:color w:val="auto"/>
        </w:rPr>
        <w:t>must also be named as a selling noteholder in connection with the registration and prospectus delivery requirements of the Securities Act relating to any resale transaction.</w:t>
      </w:r>
    </w:p>
    <w:p>
      <w:pPr>
        <w:spacing w:after="0" w:line="10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Broker-Dealers</w:t>
      </w:r>
    </w:p>
    <w:p>
      <w:pPr>
        <w:spacing w:after="0" w:line="20" w:lineRule="exact"/>
        <w:rPr>
          <w:sz w:val="20"/>
          <w:szCs w:val="20"/>
          <w:color w:val="auto"/>
        </w:rPr>
      </w:pPr>
      <w:r>
        <w:rPr>
          <w:sz w:val="20"/>
          <w:szCs w:val="20"/>
          <w:color w:val="auto"/>
        </w:rPr>
        <w:br w:type="column"/>
      </w:r>
    </w:p>
    <w:p>
      <w:pPr>
        <w:ind w:right="200"/>
        <w:spacing w:after="0" w:line="302"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w:t>
      </w:r>
    </w:p>
    <w:p>
      <w:pPr>
        <w:spacing w:after="0" w:line="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right="100"/>
        <w:spacing w:after="0" w:line="287" w:lineRule="auto"/>
        <w:rPr>
          <w:sz w:val="20"/>
          <w:szCs w:val="20"/>
          <w:color w:val="auto"/>
        </w:rPr>
      </w:pPr>
      <w:r>
        <w:rPr>
          <w:rFonts w:ascii="Arial" w:cs="Arial" w:eastAsia="Arial" w:hAnsi="Arial"/>
          <w:sz w:val="16"/>
          <w:szCs w:val="16"/>
          <w:color w:val="auto"/>
        </w:rPr>
        <w:t>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 beginning on page 261 for more information.</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w w:val="93"/>
              </w:rPr>
              <w:t>Registration Rights Agreement for the old 2017 notes</w:t>
            </w:r>
          </w:p>
        </w:tc>
        <w:tc>
          <w:tcPr>
            <w:tcW w:w="7280" w:type="dxa"/>
            <w:vAlign w:val="bottom"/>
            <w:tcBorders>
              <w:top w:val="single" w:sz="8" w:color="auto"/>
              <w:right w:val="single" w:sz="8" w:color="auto"/>
            </w:tcBorders>
            <w:gridSpan w:val="2"/>
          </w:tcPr>
          <w:p>
            <w:pPr>
              <w:ind w:left="220"/>
              <w:spacing w:after="0"/>
              <w:rPr>
                <w:sz w:val="20"/>
                <w:szCs w:val="20"/>
                <w:color w:val="auto"/>
              </w:rPr>
            </w:pPr>
            <w:r>
              <w:rPr>
                <w:rFonts w:ascii="Arial" w:cs="Arial" w:eastAsia="Arial" w:hAnsi="Arial"/>
                <w:sz w:val="18"/>
                <w:szCs w:val="18"/>
                <w:color w:val="auto"/>
                <w:w w:val="94"/>
              </w:rPr>
              <w:t>When we issued the old 2017 notes on October 19, 2009, we entered into a registration rights</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3"/>
              </w:rPr>
              <w:t>agreement with the initial purchasers of the old notes. Under the terms of the registration rights</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agreement, we agreed to:</w:t>
            </w:r>
          </w:p>
        </w:tc>
      </w:tr>
      <w:tr>
        <w:trPr>
          <w:trHeight w:val="297"/>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file the exchange offer registration statement with the SEC on or prior to May 17, 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use all commercially reasonable efforts to cause the exchange offer registration statement</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 be declared effective no later than August 15, 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use all commercially reasonable efforts to consummate the exchange offer within 30</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business days after the date on which the exchange offer registration statement is declared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effective, or, if later, within 10 business days after the exchange offer expires;</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use all commercially reasonable efforts to file a shelf registration statement for the resale</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of the old 2017 notes if we cannot effect an exchange offer within the time periods listed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above and in certain other circumstances; and</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if we fail to meet our registration obligations, we will pay liquidated damages in an amount</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equal to $0.05 per week per $1,000 of the principal amount of old 2017 notes held by a</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holder for each day that we default on our registration obligations, increasing by an</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additional $0.05 per week per $1,000 of the principal amount of old 2017 notes for each</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subsequent 90-day period our registration obligations are not met, up to a maximum of</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liquidated damages equal to $0.50 per week per $1,000 of the principal amount of old 2017</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notes.</w:t>
            </w:r>
          </w:p>
        </w:tc>
      </w:tr>
      <w:tr>
        <w:trPr>
          <w:trHeight w:val="412"/>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3"/>
              </w:rPr>
              <w:t>Registration Rights Agreement for the old 2020 notes</w:t>
            </w: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7"/>
              </w:rPr>
              <w:t>When we issued the old 2020 notes on April 28, 2010, we entered into a registration rights</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2"/>
              </w:rPr>
              <w:t>agreement with the dealer managers in the private placement exchange offer pursuant to which</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1"/>
              </w:rPr>
              <w:t>the old 2020 notes were issued. Under the terms of the registration rights agreement, we agreed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to:</w:t>
            </w:r>
          </w:p>
        </w:tc>
        <w:tc>
          <w:tcPr>
            <w:tcW w:w="6760" w:type="dxa"/>
            <w:vAlign w:val="bottom"/>
            <w:tcBorders>
              <w:right w:val="single" w:sz="8" w:color="auto"/>
            </w:tcBorders>
          </w:tcPr>
          <w:p>
            <w:pPr>
              <w:spacing w:after="0"/>
              <w:rPr>
                <w:sz w:val="19"/>
                <w:szCs w:val="19"/>
                <w:color w:val="auto"/>
              </w:rPr>
            </w:pP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file the exchange offer registration statement with the SEC on or prior to November 24,</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2010;</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use all commercially reasonable efforts to cause the exchange offer registration statement</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 be declared effective no later than February 22, 2011;</w:t>
            </w:r>
          </w:p>
        </w:tc>
      </w:tr>
      <w:tr>
        <w:trPr>
          <w:trHeight w:val="291"/>
        </w:trPr>
        <w:tc>
          <w:tcPr>
            <w:tcW w:w="4180" w:type="dxa"/>
            <w:vAlign w:val="bottom"/>
            <w:tcBorders>
              <w:left w:val="single" w:sz="8" w:color="auto"/>
            </w:tcBorders>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use all commercially reasonable efforts to consummate the exchange offer within 30</w:t>
            </w:r>
          </w:p>
        </w:tc>
      </w:tr>
      <w:tr>
        <w:trPr>
          <w:trHeight w:val="216"/>
        </w:trPr>
        <w:tc>
          <w:tcPr>
            <w:tcW w:w="41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business days after the date on which the exchange offer registration statement is declared</w:t>
            </w:r>
          </w:p>
        </w:tc>
      </w:tr>
      <w:tr>
        <w:trPr>
          <w:trHeight w:val="222"/>
        </w:trPr>
        <w:tc>
          <w:tcPr>
            <w:tcW w:w="418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7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effective, or, if later, within 10 business days after the exchange offer expires;</w:t>
            </w:r>
          </w:p>
        </w:tc>
      </w:tr>
      <w:tr>
        <w:trPr>
          <w:trHeight w:val="161"/>
        </w:trPr>
        <w:tc>
          <w:tcPr>
            <w:tcW w:w="418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359"/>
        </w:trPr>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60" w:type="dxa"/>
            <w:vAlign w:val="bottom"/>
          </w:tcPr>
          <w:p>
            <w:pPr>
              <w:ind w:left="9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34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37344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820" w:right="180" w:hanging="423"/>
        <w:spacing w:after="0" w:line="259" w:lineRule="auto"/>
        <w:tabs>
          <w:tab w:leader="none" w:pos="4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all commercially reasonable efforts to file a shelf registration statement for the resale of the old 2020 notes if we cannot effect an exchange offer within the time periods listed above and in certain other circumstances; and</w:t>
      </w:r>
    </w:p>
    <w:p>
      <w:pPr>
        <w:spacing w:after="0" w:line="59" w:lineRule="exact"/>
        <w:rPr>
          <w:rFonts w:ascii="Arial" w:cs="Arial" w:eastAsia="Arial" w:hAnsi="Arial"/>
          <w:sz w:val="18"/>
          <w:szCs w:val="18"/>
          <w:color w:val="auto"/>
        </w:rPr>
      </w:pPr>
    </w:p>
    <w:p>
      <w:pPr>
        <w:ind w:left="4820" w:hanging="423"/>
        <w:spacing w:after="0" w:line="253" w:lineRule="auto"/>
        <w:tabs>
          <w:tab w:leader="none" w:pos="4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meet our registration obligations, we will pay liquidated damages in an amount equal to $0.05 per week per $1,000 of the principal amount of old 2020 notes held by a holder for each day that we default on our registration obligations, increasing by an additional $0.05 per week per $1,000 of the principal amount of old 2020 notes for each subsequent 90-day period our registration obligations are not met, up to a maximum of liquidated damages equal to $0.50 per week per $1,000 of the principal amount of old 2020 notes.</w:t>
      </w:r>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7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such holders. For more information regarding the consequences of not tendering your old notes and our obligations to file a shelf registration statement, see “The Exchange Offer—Consequences of Exchanging or Failing to Exchange Old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2017 Notes</w:t>
      </w:r>
    </w:p>
    <w:p>
      <w:pPr>
        <w:spacing w:after="0" w:line="177"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The terms of the new 2017 notes and those of the outstanding old 2017 notes are substantially identical, except that the transfer restrictions, registration rights and liquidated damages provisions relating to the old 2017 notes do not apply to the new 2017 notes. For a more complete understanding of the new 2017 notes, see “Description of the New 2017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$500,000,000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November 1, 2017.</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new 2017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Capital, which is a co-issuer of the new 2017 notes, and Wynn Completion Guarantor, LLC) on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an equal and ratable basis with the guarantees by such guarantors of our credit facilities, the 2014</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88"/>
              </w:rPr>
              <w:t>notes, the old 2017 notes and the 2020 notes. The guarantees may be released if the lenders under</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our credit facilities release the corresponding guarantees provided by such guarantors in respect</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of our credit facilities and certain other conditions set forth in the indenture governing the 2017</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are satisfied.</w:t>
            </w:r>
          </w:p>
        </w:tc>
      </w:tr>
      <w:tr>
        <w:trPr>
          <w:trHeight w:val="419"/>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and November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new 2017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2014 notes, the old 2017 notes and the 2020 notes.</w:t>
            </w:r>
          </w:p>
        </w:tc>
      </w:tr>
      <w:tr>
        <w:trPr>
          <w:trHeight w:val="372"/>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guarantees of the new 2017 notes will be senior obligations of the guarantors and will rank</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pari passu in right of payment with all other senior obligations of the guarantors, including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guarantors’ obligations under our credit facilities, the 2014 notes, the old 2017 notes and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2020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liens, the new 2017 notes will be secured on an equal and ratable basis (with certain exceptions)</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with our obligations under our credit facilities, the 2014 notes, the old 2017 notes and the 2020</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Capital, and the guarantors (which pledge, in the case of equity interests in Wynn Las</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91"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2017 notes will be secured, on an equal and ratable basis (with certain exceptions) with such guarantors’ obligations under the guarantees of our credit facilities, the 2014 notes, the old 2017 notes and the 2020 notes, by a perfected first priority lien on substantially all of the existing and future assets of the subsidiary guarantors.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2017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new 2017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60"/>
        <w:spacing w:after="0" w:line="370" w:lineRule="auto"/>
        <w:rPr>
          <w:sz w:val="20"/>
          <w:szCs w:val="20"/>
          <w:color w:val="auto"/>
        </w:rPr>
      </w:pPr>
      <w:r>
        <w:rPr>
          <w:rFonts w:ascii="Arial" w:cs="Arial" w:eastAsia="Arial" w:hAnsi="Arial"/>
          <w:sz w:val="15"/>
          <w:szCs w:val="15"/>
          <w:color w:val="auto"/>
        </w:rPr>
        <w:t>the lenders under any other outstanding secured debt (other than capital lease obligations and purchase money indebtedness) have released their security interest in such collateral.</w:t>
      </w:r>
    </w:p>
    <w:p>
      <w:pPr>
        <w:spacing w:after="0" w:line="6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420" w:hanging="423"/>
        <w:spacing w:after="0" w:line="332" w:lineRule="auto"/>
        <w:tabs>
          <w:tab w:leader="none" w:pos="4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total debt does not exceed 6.5 times our Consolidated EBITDA (as defined in the indenture governing the 2017 notes) for the most recent four full fiscal quarters.</w:t>
      </w:r>
    </w:p>
    <w:p>
      <w:pPr>
        <w:spacing w:after="0" w:line="85" w:lineRule="exact"/>
        <w:rPr>
          <w:sz w:val="20"/>
          <w:szCs w:val="20"/>
          <w:color w:val="auto"/>
        </w:rPr>
      </w:pPr>
    </w:p>
    <w:p>
      <w:pPr>
        <w:ind w:left="4400" w:right="240"/>
        <w:spacing w:after="0" w:line="314" w:lineRule="auto"/>
        <w:rPr>
          <w:sz w:val="20"/>
          <w:szCs w:val="20"/>
          <w:color w:val="auto"/>
        </w:rPr>
      </w:pPr>
      <w:r>
        <w:rPr>
          <w:rFonts w:ascii="Arial" w:cs="Arial" w:eastAsia="Arial" w:hAnsi="Arial"/>
          <w:sz w:val="15"/>
          <w:szCs w:val="15"/>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the New 2017 Notes— Certain Covenants—Incurrence of Indebtedness and Issuance of Disqualified Stock,” then the security interest in the golf course land may not be released without obtaining the consent of holders of at least 90% of the outstanding principal amount of the 2017 notes.</w:t>
      </w:r>
    </w:p>
    <w:p>
      <w:pPr>
        <w:spacing w:after="0" w:line="105" w:lineRule="exact"/>
        <w:rPr>
          <w:sz w:val="20"/>
          <w:szCs w:val="20"/>
          <w:color w:val="auto"/>
        </w:rPr>
      </w:pPr>
    </w:p>
    <w:p>
      <w:pPr>
        <w:ind w:left="4400" w:right="160"/>
        <w:spacing w:after="0" w:line="256"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 (other than pursuant to a refinancing) and no default or event of default exists or is continuing.</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80"/>
        <w:spacing w:after="0" w:line="256" w:lineRule="auto"/>
        <w:rPr>
          <w:sz w:val="20"/>
          <w:szCs w:val="20"/>
          <w:color w:val="auto"/>
        </w:rPr>
      </w:pPr>
      <w:r>
        <w:rPr>
          <w:rFonts w:ascii="Arial" w:cs="Arial" w:eastAsia="Arial" w:hAnsi="Arial"/>
          <w:sz w:val="18"/>
          <w:szCs w:val="18"/>
          <w:color w:val="auto"/>
        </w:rPr>
        <w:t>In addition, the indenture governing the 2017 notes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w w:val="96"/>
              </w:rPr>
              <w:t>Optional redemption after qualified equity offerings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At any time prior to November 1, 2012, we may, on one or more occasions, redeem up to 35% of</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the outstanding new 2017 notes at a redemption price of 107.875% of the principal amount, plus</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at least 65% of the aggregate principal amount of 2017 notes issued under the indenture</w:t>
            </w:r>
          </w:p>
        </w:tc>
      </w:tr>
      <w:tr>
        <w:trPr>
          <w:trHeight w:val="216"/>
        </w:trPr>
        <w:tc>
          <w:tcPr>
            <w:tcW w:w="4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4"/>
              </w:rPr>
              <w:t>governing the 2017 notes remains outstanding immediately after the occurrence of such</w:t>
            </w:r>
          </w:p>
        </w:tc>
      </w:tr>
      <w:tr>
        <w:trPr>
          <w:trHeight w:val="222"/>
        </w:trPr>
        <w:tc>
          <w:tcPr>
            <w:tcW w:w="4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5"/>
              </w:rPr>
              <w:t>Except pursuant to a qualified equity offering, we cannot redeem the new 2017 notes prior to</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2"/>
              </w:rPr>
              <w:t>November 1, 2013. On or after November 1, 2013, we may redeem some or all of the new 2017</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notes at a premium declining ratably to zero, plus accrued and unpaid interest.</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Gaming Redemption</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4"/>
              </w:rPr>
              <w:t>The new 2017 notes will be subject to redemption requirements imposed by gaming laws and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Change of Control Offer</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3"/>
              </w:rPr>
              <w:t>If a change of control occurs, we must offer to repurchase the new 2017 notes at 101% of their</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Asset Sales and Events of Loss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2"/>
              </w:rPr>
              <w:t>If we or any of our restricted subsidiaries sell certain assets or experience certain events of loss,</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0"/>
              </w:rPr>
              <w:t>we may be required to offer to repurchase the 2020 notes, the 2017 notes and the 2014 notes and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repay indebtedness under our credit facilities on a pro rata basis.</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Certain Indenture Provisions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5"/>
              </w:rPr>
              <w:t>The indenture governing the 2017 notes contains covenants restricting our and our restricted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subsidiaries’ ability to:</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161"/>
        </w:trPr>
        <w:tc>
          <w:tcPr>
            <w:tcW w:w="4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7"/>
              </w:rPr>
              <w:t>The trustee under the indenture governing the 2020 notes, the trustee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governing the 2017 notes, the trustee under the indenture governing the 2014 notes, and the agent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for the lenders under our credit facilities have entered into an intercreditor agreement that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governs the relationship among the holders of the 2020 notes, the holders of the 2017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holders of the 2014 notes, the lenders under our credit facilities and holders of permitted senior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and junior indebtedness. Under the intercreditor agreement, the trustee on behalf of the holders of</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the 2020 notes, the trustee on behalf of the holders of the 2017 notes, the trustee on behalf of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holders of the 2014 notes and the agent for the lenders under our credit facilities have appointed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collateral agent with respect to the collateral granted in favor of the holders of the 2020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holders of the 2017 notes, the holders of the 2014 notes, and the lenders under our credit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facilities. The liens on the collateral that secure the 2017 notes rank pari passu with the liens 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such collateral that secure our credit facilities, the 2020 notes, the 2014 notes and any other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permitted senior debt, and rank prior to the liens on such collateral that secure any permitted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junior debt. Pursuant to the intercreditor agreement, as long as our credit facilities remain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outstanding or any amounts are outstanding under the 2014 notes, the trustee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governing the 2017 notes does not have the right to instruct the collateral agent with respect to</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exercise of remedies under the collateral documents.</w:t>
            </w:r>
          </w:p>
        </w:tc>
      </w:tr>
      <w:tr>
        <w:trPr>
          <w:trHeight w:val="419"/>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New 2017 notes issued in book-entry form will be issued to Cede &amp; Co. as nominee of DTC.</w:t>
            </w:r>
          </w:p>
        </w:tc>
      </w:tr>
      <w:tr>
        <w:trPr>
          <w:trHeight w:val="43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You should refer to the section entitled “Risk Factors,” beginning on page 19, for a discussion of</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certain risks involved in investing in the new 2017 notes.</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2020 Notes</w:t>
      </w:r>
    </w:p>
    <w:p>
      <w:pPr>
        <w:spacing w:after="0" w:line="177"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The terms of the new 2020 notes and those of the outstanding old 2020 notes are substantially identical, except that the transfer restrictions, registration rights and liquidated damages provisions relating to the old 2020 notes do not apply to the new 2020 notes. For a more complete understanding of the new 2020 notes, see “Description of the New 2020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$382,010,000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2020.</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new 2020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Capital, which is a co-issuer of the new 2020 notes, and Wynn Completion Guarantor, LLC) on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an equal and ratable basis with the guarantees by such guarantors of our credit facilities, the 2014</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88"/>
              </w:rPr>
              <w:t>notes, the old 2020 notes and the 2017 notes. The guarantees may be released if the lenders under</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our credit facilities release the corresponding guarantees provided by such guarantors in respect</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of our credit facilities and certain other conditions set forth in the indenture governing the 2020</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are satisfied.</w:t>
            </w:r>
          </w:p>
        </w:tc>
      </w:tr>
      <w:tr>
        <w:trPr>
          <w:trHeight w:val="419"/>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and November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new 2020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2014 notes, the old 2020 notes and the 2017 notes.</w:t>
            </w:r>
          </w:p>
        </w:tc>
      </w:tr>
      <w:tr>
        <w:trPr>
          <w:trHeight w:val="372"/>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guarantees of the new 2020 notes will be senior obligations of the guarantors and will rank</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pari passu in right of payment with all other senior obligations of the guarantors, including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guarantors’ obligations under our credit facilities, the 2014 notes, the old 2020 notes and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2017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liens, the new 2020 notes will be secured on an equal and ratable basis (with certain exceptions)</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with our obligations under our credit facilities, the 2014 notes, the old 2020 notes and the 2017</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Capital, and the guarantors (which pledge, in the case of equity interests in Wynn Las</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91"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2020 notes will be secured, on an equal and ratable basis (with certain exceptions) with such guarantors’ obligations under the guarantees of our credit facilities, the 2014 notes, the old 2020 notes and the 2017 notes, by a perfected first priority lien on substantially all of the existing and future assets of the subsidiary guarantors.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2020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new 2020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lenders under each other outstanding secured debt (other than capital lease obligations, mortgage financings and purchase money indebtedness) have released their security interest in such collateral.</w:t>
      </w:r>
    </w:p>
    <w:p>
      <w:pPr>
        <w:spacing w:after="0" w:line="140"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420" w:hanging="423"/>
        <w:spacing w:after="0" w:line="332" w:lineRule="auto"/>
        <w:tabs>
          <w:tab w:leader="none" w:pos="4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total debt does not exceed 6.5 times our Consolidated EBITDA (as defined in the indenture governing the 2020 notes) for the most recent four full fiscal quarters.</w:t>
      </w:r>
    </w:p>
    <w:p>
      <w:pPr>
        <w:spacing w:after="0" w:line="85" w:lineRule="exact"/>
        <w:rPr>
          <w:sz w:val="20"/>
          <w:szCs w:val="20"/>
          <w:color w:val="auto"/>
        </w:rPr>
      </w:pPr>
    </w:p>
    <w:p>
      <w:pPr>
        <w:ind w:left="4400" w:right="240"/>
        <w:spacing w:after="0" w:line="314" w:lineRule="auto"/>
        <w:rPr>
          <w:sz w:val="20"/>
          <w:szCs w:val="20"/>
          <w:color w:val="auto"/>
        </w:rPr>
      </w:pPr>
      <w:r>
        <w:rPr>
          <w:rFonts w:ascii="Arial" w:cs="Arial" w:eastAsia="Arial" w:hAnsi="Arial"/>
          <w:sz w:val="15"/>
          <w:szCs w:val="15"/>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the New 2020 Notes— Certain Covenants—Incurrence of Indebtedness and Issuance of Disqualified Stock,” then the security interest in the golf course land may not be released without obtaining the consent of holders of at least 90% of the outstanding principal amount of the 2020 notes.</w:t>
      </w:r>
    </w:p>
    <w:p>
      <w:pPr>
        <w:spacing w:after="0" w:line="105" w:lineRule="exact"/>
        <w:rPr>
          <w:sz w:val="20"/>
          <w:szCs w:val="20"/>
          <w:color w:val="auto"/>
        </w:rPr>
      </w:pPr>
    </w:p>
    <w:p>
      <w:pPr>
        <w:ind w:left="4400" w:right="240"/>
        <w:spacing w:after="0" w:line="259"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20" w:type="dxa"/>
            <w:vAlign w:val="bottom"/>
            <w:tcBorders>
              <w:top w:val="single" w:sz="8" w:color="auto"/>
              <w:left w:val="single" w:sz="8" w:color="auto"/>
            </w:tcBorders>
          </w:tcPr>
          <w:p>
            <w:pPr>
              <w:spacing w:after="0"/>
              <w:rPr>
                <w:sz w:val="24"/>
                <w:szCs w:val="24"/>
                <w:color w:val="auto"/>
              </w:rPr>
            </w:pPr>
          </w:p>
        </w:tc>
        <w:tc>
          <w:tcPr>
            <w:tcW w:w="7340" w:type="dxa"/>
            <w:vAlign w:val="bottom"/>
            <w:tcBorders>
              <w:top w:val="single" w:sz="8" w:color="auto"/>
              <w:right w:val="single" w:sz="8" w:color="auto"/>
            </w:tcBorders>
            <w:gridSpan w:val="2"/>
          </w:tcPr>
          <w:p>
            <w:pPr>
              <w:ind w:left="280"/>
              <w:spacing w:after="0"/>
              <w:rPr>
                <w:sz w:val="20"/>
                <w:szCs w:val="20"/>
                <w:color w:val="auto"/>
              </w:rPr>
            </w:pPr>
            <w:r>
              <w:rPr>
                <w:rFonts w:ascii="Arial" w:cs="Arial" w:eastAsia="Arial" w:hAnsi="Arial"/>
                <w:sz w:val="18"/>
                <w:szCs w:val="18"/>
                <w:color w:val="auto"/>
                <w:w w:val="94"/>
              </w:rPr>
              <w:t>(other than pursuant to a refinancing) and no default or event of default exists or is continuing.</w:t>
            </w:r>
          </w:p>
        </w:tc>
      </w:tr>
      <w:tr>
        <w:trPr>
          <w:trHeight w:val="385"/>
        </w:trPr>
        <w:tc>
          <w:tcPr>
            <w:tcW w:w="4120" w:type="dxa"/>
            <w:vAlign w:val="bottom"/>
            <w:tcBorders>
              <w:left w:val="single" w:sz="8" w:color="auto"/>
            </w:tcBorders>
          </w:tcPr>
          <w:p>
            <w:pPr>
              <w:spacing w:after="0"/>
              <w:rPr>
                <w:sz w:val="24"/>
                <w:szCs w:val="24"/>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In addition, the indenture governing the 2020 notes provides for releases of the security interests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in certain collateral under specified circumstances and also provides that security interests in the</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8"/>
              </w:rPr>
              <w:t>collateral can be released in connection with asset sales, permitted investments and other</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permitted dispositions.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Optional redemption after qualified equity offerings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At any time prior to May 1, 2013, we may, on one or more occasions, redeem up to 35% of the</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5"/>
              </w:rPr>
              <w:t>outstanding new 2020 notes at a redemption price of 107.875% of the principal amount, plus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at least 65% of the aggregate principal amount of 2020 notes issued under the indenture</w:t>
            </w:r>
          </w:p>
        </w:tc>
      </w:tr>
      <w:tr>
        <w:trPr>
          <w:trHeight w:val="216"/>
        </w:trPr>
        <w:tc>
          <w:tcPr>
            <w:tcW w:w="412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governing the 2020 notes remains outstanding immediately after the occurrence of such</w:t>
            </w:r>
          </w:p>
        </w:tc>
      </w:tr>
      <w:tr>
        <w:trPr>
          <w:trHeight w:val="222"/>
        </w:trPr>
        <w:tc>
          <w:tcPr>
            <w:tcW w:w="41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8"/>
              </w:rPr>
              <w:t>Except pursuant to a qualified equity offering, we cannot redeem the new 2020 notes until</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May 1, 2015. On or after May 1, 2015, we may redeem some or all of the new 2020 notes at a</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premium declining ratably to zero, plus accrued and unpaid interest.</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Gaming Redemption</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4"/>
              </w:rPr>
              <w:t>The new 2020 notes will be subject to redemption requirements imposed by gaming laws and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If a change of control occurs, we must offer to repurchase the new 2020 notes at 101% of their</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Asset Sales and Events of Loss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If we or any of our restricted subsidiaries sell certain assets or experience certain events of loss,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89"/>
              </w:rPr>
              <w:t>we may be required to offer to repurchase the 2020 notes, the 2017 notes and the 2014 notes and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repay indebtedness under our credit facilities on a pro rata basis.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Indenture Provisions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5"/>
              </w:rPr>
              <w:t>The indenture governing the 2020 notes contains covenants restricting our and our restricted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subsidiaries’ ability to:</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161"/>
        </w:trPr>
        <w:tc>
          <w:tcPr>
            <w:tcW w:w="412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The trustee under the indenture for the 2020 notes, the trustee under the indenture for the 2017</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notes, the trustee under the indenture for the 2014 notes, and the agent for the lenders under our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credit facilities have entered into an intercreditor agreement that governs the relationship among</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the holders of the 2020 notes, the holders of the 2017 notes, the holders of the 2014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lenders under our credit facilities and holders of permitted senior and junior indebtedness. Under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intercreditor agreement, the trustee on behalf of the holders of the 2020 notes, the trustee 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behalf of the holders of the 2017 notes, the trustee on behalf of the holders of the 2014 notes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agent for the lenders under our credit facilities have appointed a collateral agent with respect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to the collateral granted in favor of the holders of the 2020 notes, the holders of the 2017 notes,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the holders of the 2014 notes, and the lenders under our credit facilities. The liens on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collateral that secure the 2020 notes rank pari passu with the liens on such collateral that secure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our credit facilities, the 2014 notes, the 2017 notes and any other permitted senior debt, and rank</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prior to the liens on such collateral that secure any permitted junior debt. Pursuant to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intercreditor agreement, as long as our credit facilities remain outstanding or any amounts are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outstanding under the 2014 notes, the trustee under the indenture for the 2020 notes does not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have the right to instruct the collateral agent with respect to the exercise of remedies under the</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collateral documents.</w:t>
            </w:r>
          </w:p>
        </w:tc>
      </w:tr>
      <w:tr>
        <w:trPr>
          <w:trHeight w:val="419"/>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New 2020 notes issued in book-entry form will be issued to Cede &amp; Co. as nominee of DTC.</w:t>
            </w:r>
          </w:p>
        </w:tc>
      </w:tr>
      <w:tr>
        <w:trPr>
          <w:trHeight w:val="43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You should refer to the section entitled “Risk Factors,” beginning on page 19, for a discussion of</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certain risks involved in investing in the new 2020 notes.</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March 31, 2010, we had total outstanding debt of approximately $2.6 billion. In addition, our credit agreement and indentures permit us to incur additional indebtedness in the future. Our substantial indebtedness could have important consequences. For example:</w:t>
      </w:r>
    </w:p>
    <w:p>
      <w:pPr>
        <w:spacing w:after="0" w:line="59" w:lineRule="exact"/>
        <w:rPr>
          <w:sz w:val="20"/>
          <w:szCs w:val="20"/>
          <w:color w:val="auto"/>
        </w:rPr>
      </w:pPr>
    </w:p>
    <w:p>
      <w:pPr>
        <w:ind w:left="900" w:right="20" w:hanging="446"/>
        <w:spacing w:after="0" w:line="35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60" w:hanging="547"/>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and Encore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w:t>
      </w:r>
    </w:p>
    <w:p>
      <w:pPr>
        <w:spacing w:after="0" w:line="25"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current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the 2014 notes, the 2017 notes and the 2020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166"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debt facilities require us to satisfy various financial covenants, which include requirements for a minimum interest coverage ratio and a ratio pertaining to total debt to earnings before interest, tax, depreciation and amortization.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could materially and adversely affect our operating results and our financial condition or result in our lenders taking action to enforce their security interests in our various assets.</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Continued weakness and further weakening in global economic conditions may adversely affect consumer and corporate spending and tourism trends, resulting in additional deterioration in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Discretionary consumer spending has been adversely affected by the current economic crisis. Worldwide, consumers are traveling less and spending less when they do travel. Likewise, corporate spending on conventions and business development is being significantly curtailed as businesses cut their budgets. Since our business model relies on significant expenditures on luxury and discretionary items, continuation or deepening of the crisis will further adversely affect our operations.</w:t>
      </w:r>
    </w:p>
    <w:p>
      <w:pPr>
        <w:spacing w:after="0" w:line="22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current conditions in the world’s financial and credit markets adversely affect prospects of debt refinancing, availability of credit to us and to our customers and the profitability of our business.</w:t>
      </w:r>
    </w:p>
    <w:p>
      <w:pPr>
        <w:spacing w:after="0" w:line="5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There was continued instability in financial and credit markets worldwide in 2009. There can be no assurance that the decline is over and there can be no assurance that government response to these conditions will successfully address the fundamental weakness, restore consumer confidence or lead to improvement or increase liquidity in the markets. Customer demand for luxury amenities and leisure activities that we offer may be depressed or continue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excess room supply particularly in the luxury segment.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have been and will continue to be large additions to the room supply in Las Vegas. Even after the global economy begins to recover, there may be excess supply particularly in the luxury segment.</w:t>
      </w:r>
    </w:p>
    <w:p>
      <w:pPr>
        <w:spacing w:after="0" w:line="2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and Encore for all of our cash flow, which subjects us to greater risks than a gaming company with more operating properties.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We are entirely dependent upon Wynn Las Vegas and Encore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 Encore;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and Encore may also compete with one another.</w:t>
      </w:r>
    </w:p>
    <w:p>
      <w:pPr>
        <w:spacing w:after="0" w:line="10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significant portion of our table game revenue at Wynn Las Vegas and Encore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the current housing crisis, the current credit crisis, bank failures and the potential for additional bank failures, perceived or actual changes in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2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current recession and economic crisis have resulted in a significant decline in the amount of tourism and spending in Las Vegas. In 2009, the occupancy rates across Las Vegas have declined by approximately 4.5%, average daily room rates have declined by approximately 22% and Las Vegas Strip gaming revenue has declined approximately 9.4%, compared to 2008. We also experienced increased levels of attrition and cancellation in the group business segment during 2009. If these trends continue, our financial condition, results of operations and cash flows will be adversely affected.</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operations of Wynn Las Vegas and Encore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properties offer. Changes in consumer preferences or discretionary consumer spending could harm our business. The terrorist attacks of September 11, 2001, other terrorist activities in the United States and elsewhere, military conflicts in Iraq, Afghanistan and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our properties for up to $800 million of losses that could result from these acts. However, these types of acts could expose us to losses that exceed our coverage and could have a significant negative impact on our operations.</w:t>
      </w:r>
    </w:p>
    <w:p>
      <w:pPr>
        <w:spacing w:after="0" w:line="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service marks, our business or results of operations could be harmed.</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Wynn Holdings. Wynn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a mark primarily constituting a surname) cannot be registered unless the surname has acquired “secondary meaning.” To date, Wynn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2020 notes, the 2017 notes and the 2014 notes and would constitute an event of default under our credit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ultimate parent company is Wynn Resorts. Mr. Wynn, Elaine P. Wynn, and Aruze USA, Inc., a company controlled by one of our directors, together own approximately 37.9% of Wynn Resorts’ outstanding common stock. As a result, Mr. Wynn, Elaine P. Wynn, and Aruze USA, Inc., to the extent they vote their shares in a similar manner, may be able to control all matters requiring our stockholders’ approval, including the approval of significant corporate transactions.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ownership of 11,076,709 shares of the Wynn Resorts’ common stock. Under the amended and restated stockholders’ agreement, Mr. Wynn, Elaine P. Wynn, and Aruze USA, Inc., have agreed to vote their shares of Wynn Resorts’ common stock for a slate of directors supported by Mr. Wynn,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with stated exceptions, the agreement requires the written consent of Mr. Wynn, Elaine P. Wynn, and Aruze USA, Inc. prior to any party selling any shares of Wynn Resorts that it owns.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1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properties could have a negative effect on our results of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2020 Notes and the 2017 Notes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default occurs with respect to the 2020 notes and the 2017 notes, the value of the collateral may not be sufficient to repay the holders of 2020 notes and 2017 notes.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As of March 31, 2010, we had approximately $80.4 million outstanding under our senior secured term loan credit facility and approximately $252.7 million outstanding under our revolving credit facility. As of the same date, we had $1.7 billion of 2014 notes outstanding, which included $65.8 million of 2014 notes payable to an affiliate. Currently, as a result of the 2014/2020 exchange offer, we have approximately $1.32 billion of 2014 notes outstanding, which includes $35.8 million of 2014 notes payable to an affiliate. Under the indentures governing the 2020 notes and the 2017 notes, we may be permitted to incur additional indebtedness that could be secured by first priority liens on the collateral, which liens would, pursuant to the intercreditor agreement,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2020 notes, the 2014 notes, the 2017 notes and our credit facilities. We are also permitted to incur additional indebtedness subject to compliance with certain covenants in the indentures governing the 2020 notes, the 2014 notes and the 2017 notes and in our existing credit facilities.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any borrowings from creditors with liens that have a priority to the liens securing the 2014 notes, the 2017 notes, the 2020 notes and the amounts outstanding under our credit facilities. If these proceeds were not sufficient to repay amounts outstanding under the 2020 notes and the 2017 notes, after paying any higher priority creditors and sharing pari passu with obligations under the 2014 notes and our credit facilities, then holders of the 2020 notes and the 2017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appraisals of any of the collateral have been prepared by us or on behalf of us in connection with the exchange offer. The fair market value of this collateral is subject to fluctuations based on factors that include, among others, our ability to implement our business strategy, the ability to sell the collateral in an orderly sale, general economic conditions, the availability of buyers and similar factors.</w:t>
      </w: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2020 note holders’ and the 2017 note holders’ liens on all or part of the collateral will be released without their consent if the lenders under our credit facilities release their liens and certain other conditions are met.</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liens on all of the collateral securing the 2014 notes, the 2017 notes and the 2020 notes, including the golf course land, will be released if the lenders under our credit facilities release their liens on such collateral (other than in connection with a refinancing) and (i) no default or event of default has occurred and</w:t>
      </w:r>
    </w:p>
    <w:p>
      <w:pPr>
        <w:ind w:right="200" w:firstLine="8"/>
        <w:spacing w:after="0" w:line="255" w:lineRule="auto"/>
        <w:tabs>
          <w:tab w:leader="none" w:pos="2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lenders under any other outstanding secured debt (other than capital lease obligations, mortgage financings and purchase money indebtedness) have released their security interest in such collateral. As of March 31, 2010, the total indebtedness outstanding under our credit facilities was $333.2 million and the total principal amount of 2014 notes and 2017 notes was $2.2 billion.</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 liens on the golf course land and related water rights may be released if (i) no default or event of default has occurred and is continuing immediately prior to or after giving effect to such release, (ii) the lenders under our credit facilities concurrently release their first priority liens on the golf course land (other than in connection with a refinancing) and (iii) both immediately prior to the release of the lien and after giving pro forma effect to such release our and our restricted subsidiaries’ total debt does not exceed 6.5 times Consolidated EBITDA (as defined in the indentures for the 2020 notes and the 2017 notes) for the last four full fiscal quarters.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event that the security interests on all of the collateral are released, the 2020 notes and the 2017 notes will become our unsecured obligations. As our senior unsecured obligations, the 2020 notes and the 2017 notes would be effectively subordinated to any secured indebtedness of the Issuers and the guarantors up to the value of the collateral securing such indebtedness, would rank senior in right of payment to any subordinated indebtedness of the Issuers and the guarantors, and would rank equal in right of payment to any existing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future unsecured senior indebtedness of the Issuers and the guarantors. In the event that only the security interests in the golf course land and the related water rights are released, the holders of 2020 notes and the holders of 2017 notes will have a first priority lien on the assets comprising the hotel and casino, and subject to gaming approval, the equity interest of Wynn Las Vegas and the equity interest in our restricted subsidiaries.</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the indentures governing the 2020 notes and 2017 notes provide for releases of the security interests in certain collateral under specified circumstances and also provide that security interests in the collateral can be released in connection with asset sales, permitted investments and other permitted dispositions.</w:t>
      </w:r>
    </w:p>
    <w:p>
      <w:pPr>
        <w:spacing w:after="0" w:line="221"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The intercreditor agreement permits the agent under our credit facilities to amend the terms of, and waive defaults under, the security documents and to amend certain provisions of the intercreditor agreement without the consent of the holders of the 2020 notes and the holders of the 2017 notes.</w:t>
      </w:r>
    </w:p>
    <w:p>
      <w:pPr>
        <w:ind w:right="140" w:firstLine="456"/>
        <w:spacing w:after="0" w:line="289" w:lineRule="auto"/>
        <w:rPr>
          <w:sz w:val="20"/>
          <w:szCs w:val="20"/>
          <w:color w:val="auto"/>
        </w:rPr>
      </w:pPr>
      <w:r>
        <w:rPr>
          <w:rFonts w:ascii="Arial" w:cs="Arial" w:eastAsia="Arial" w:hAnsi="Arial"/>
          <w:sz w:val="16"/>
          <w:szCs w:val="16"/>
          <w:color w:val="auto"/>
        </w:rPr>
        <w:t>The security documents create liens on the collateral in favor of a collateral agent to secure our obligations under the credit facilities, the indentures, the 2014 notes, the 2017 notes and the 2020 notes. However, the intercreditor agreement grants the agent under our credit facilities certain rights that may adversely affect the interest of the holders of the 2020 notes and the holders of the 2017 notes under the security documents. The intercreditor agreement permits the agent under our credit facilities, without the consent of the holders of the 2020 notes or the holders of the 2017 notes, to direct the collateral agent to amend various terms of, and waive defaults under, the security documents. The agent under our credit facilities is entitled to exercise this right even at a time when no amounts are outstanding under our credit facilities. If the agent under our credit facilities exercises such rights, the holders of the 2020 notes and the holders of the 2017 notes may not be able to enforce the terms of the security documents and exercise their rights thereunder. The intercreditor agreement will release the agent for the lenders from all liability to the extent permitted by law, except for fraud or willful misconduct.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the agent under our credit facilities is entitled, at any time when the amount outstanding under our credit facilities equals or exceeds $100 million and without the consent of the 2014 notes trustee or the holders of the 2014 notes, the 2017 notes trustee or holders of the 2017 notes, the 2020 notes trustee or holders of the 2020 notes, to amend the subordination provisions of the intercreditor agreement that apply to any permitted junior secured debt that we may incur provided that such amendment does not affect the provisions governing the relationship between the lenders under our credit facilities, the holders of the 2020 notes, the holders of the 2014 notes and the holders of the 2017 notes. Any such amendment could increase, perhaps significantly, the rights of any holders of junior debt under the intercreditor agreement to the detriment of the holders of the notes. Any such amendment could also adversely affect the ability of the 2020 notes trustee or the holders of the 2020 notes and the 2017 notes trustee or the holders of the 2017 notes to enforce remedies against the collateral and recover the proceeds thereof.</w:t>
      </w:r>
    </w:p>
    <w:p>
      <w:pPr>
        <w:spacing w:after="0" w:line="1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Under the intercreditor agreement, the holders of the 2020 notes and the holders of the 2017 notes will not be able to control decisions regarding the collateral and to take enforcement actions.</w:t>
      </w:r>
    </w:p>
    <w:p>
      <w:pPr>
        <w:spacing w:after="0" w:line="5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intercreditor agreement provides that, except under very limited circumstances, none of the 2020 notes trustee, the holders of the 2020 notes, the 2017 notes trustee or the holders of the 2017 notes will have the right to direct the collateral agent to enforce remedies against the collateral. As long as any indebtedness is outstanding under our credit facilities and as long as any of our 2014 notes remain outstanding, the holders of a majority of the aggregate amount of loans under our credit facilities and the 2014 notes may instruct the collateral agent to commence the exercise of remedies against the collateral. However, following any event of default under the credit facilities, the agent for the lenders may direct the collateral agent to commence enforcement actions against the collateral without the consent or direction of the 2020 notes trustee or holders of the 2020 notes, the 2014 notes trustee or holders of the 2014 notes or the 2017 notes trustee or holders of the 2017 notes. Given that the amount of loans advanced by the lenders under our credit facilities and the outstanding amount of the 2014 notes, each may, from time to time, be substantially different than the outstanding amount of the 2020 notes and the 2017 notes, the lenders’ interests and the interests of the holders of the 2014 notes may not be aligned with those of 2020 noteholders and the 2017 noteholders and the lenders and holders of the 2014 notes may have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different motives or strategies to protect their investment. As such, the lenders under our credit facilities or the holders of the 2014 notes may choose to instruct the collateral agent to enforce the various security interests or may initiate the exercise of other remedies against the collateral at any given time even though allowing us additional time to resolve any issues or take any other actions could increase the likelihood of repayment of the 2020 notes and the 2017 notes. In addition, the intercreditor agreement includes certain provisions, such as waivers of certain rights or consents to certain proceedings in bankruptcy, that may not be enforceable in bankruptcy.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institute bankruptcy proceedings to prevent foreclosure of the collateral.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connection with an exercise of remedies, the lenders under our credit facilities, and subject to the terms of the intercreditor agreement, the holders of 2014 notes, the holders of 2017 notes or the holders of 2020 notes may institute foreclosure proceedings against the collateral. To prevent foreclosure, we may be motivated to commence voluntary bankruptcy proceedings, or certain creditors may be motivated to institute involuntary bankruptcy proceedings against us under the United States Bankruptcy Code. The commencement of any such bankruptcy proceedings would expose the holders of the 2020 notes and the holders of the 2017 notes to additional risks, including, without limitation, additional restrictions on exercising rights against collateral and on otherwise pursuing or obtaining repayment of the 2020 notes and the 2017 notes. See “—Bankruptcy laws may significantly impair your rights to repossess and dispose of collateral securing the 2020 notes and the 2017 notes, and otherwise collect on any amounts due thereunder.”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result of gaming restrictions, in any foreclosure sale of Wynn Las Vegas or Encore, the purchaser or the operator of the facility would need to be licensed to operate the resort’s casino under the Nevada gaming laws and regulations. If the 2014 notes trustee, the 2017 notes trustee or the 2020 notes trustee or the lenders under our credit facilities purchased Wynn Las Vegas or Encore at a foreclosure sale, the 2020 notes trustee, the 2017 notes trustee, the 2014 notes trustee or such lenders would not be permitted to continue gaming operations at either casino unless they retained an entity licensed under the Nevada gaming laws to conduct gaming operations at the facility. The holders of the 2020 notes and the holders of the 2017 notes may have to be licensed or found suitable in any event.</w:t>
      </w:r>
    </w:p>
    <w:p>
      <w:pPr>
        <w:spacing w:after="0" w:line="14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the 2020 notes trustee and the 2017 notes trustee must obtain prior approval from, and may be required to be licensed by, the Nevada gaming authorities before the 2020 notes trustee and the 2017 notes trustee can foreclose on the pledged equity interests in our restricted subsidiaries.</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2020 notes and/or the 2017 notes upon acceleration of the 2020 notes and/or the 2017 notes, and to otherwise pursue or obtain repayment of the 2020 notes and/or the 2017 notes, is likely to be significantly impaired or delayed by applicable bankruptcy law if a bankruptcy case is commenced by or against us prior to a taking of possession or disposition of the collateral securing the 2020 notes and/or the 2017 notes by the 2020 notes trustee for the benefit of the holders of the 2020 notes and/or the 2017 notes trustee for the benefit of the holders of the 2017 notes.</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Parties who have provided services or supplies in connection with Wynn Las Vegas and Encore may have a lien on the property senior to the security interests securing the 2020 notes and the 2017 notes and the related guarantees.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Nevada law provides contractors, subcontractors and material suppliers with a lien on the property improved by their services or supplies in order to secure their right to be paid. If these parties are not paid in full, they may seek foreclosure of their liens. In Nevada, the priority of all mechanics’ liens related to a particular construction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project relate back to the date on which any contractor first commenced work. Accordingly, contractors, subcontractors and suppliers providing goods and services in connection with the expansion project who after recordation of the deed of trust securing the 2020 notes and the 2017 notes otherwise comply with the applicable requirements of Nevada law may have a lien on the property senior in priority to the lien securing the 2020 notes and the 2017 notes until they are paid in full. In the event of a liquidation, proceeds from the sale of collateral will be used to pay the holders of any mechanics’ liens then in existence before holders of the 2020 notes and holders of the 2017 notes.</w:t>
      </w:r>
    </w:p>
    <w:p>
      <w:pPr>
        <w:spacing w:after="0" w:line="22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2020 notes and the 2017 notes and to otherwise collect on any amounts due thereunder.</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a bankruptcy case were to be commenced by or against us prior to the repossession and disposition of 2020 note collateral and/or 2017 note collateral, the right of the 2020 notes trustee and/or the 2017 notes trustee to repossess and dispose of the 2020 note collateral and/or the 2017 note collateral upon the occurrence of an event of default under the applicable indenture is likely to be significantly impaired by applicable bankruptcy law. A bankruptcy case may be commenced by us or by certain unsecured creditors as provided in the United States Bankruptcy Code.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“automatic stay” under applicable bankruptcy law prohibits secured creditors, such as the holders of the 2020 notes, the 2017 notes, the 2014 notes and the lenders under our credit facilities, from repossessing their security from a debtor in a bankruptcy case, or from disposing of collateral in their possession, without bankruptcy court approval. Moreover, applicable bankruptcy law and/or the bankruptcy court may permit the debtor to continue to retain and use the collateral even though the debtor is in default under the applicable debt instruments, provided that the secured creditor is given “adequate protection” of its interest in the collateral.</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bankruptcy court may determine.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2020 note holders and/or 2017 note holders may not have any consent rights with respect to the use of those funds by us during the pendency of a bankruptcy proceeding. In view of the lack of a precise definition of the term “adequate protection,” the broad discretionary powers of a bankruptcy court and the possible complexity of valuation issues, it is impossible to predict how long payments under the 2020 notes and/or the 2017 notes could be delayed following commencement of a bankruptcy case, whether or when the 2020 notes trustee and/or the 2017 notes trustee could repossess or dispose of the collateral or whether or to what extent, through the requirement of “adequate protection,” the holders of the 2020 notes and/or the 2017 notes would be compensated for any delay in payment or loss of value of the collateral.</w:t>
      </w:r>
    </w:p>
    <w:p>
      <w:pPr>
        <w:spacing w:after="0" w:line="127"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Under the United States Bankruptcy Code, a claim is a secured claim up to the value of the collateral that secures it. In most cases, interest stops accruing on the date of commencement of the bankruptcy case, but if the collateral’s value exceeds the amount of the claim, interest may continue to accrue on the claim up to the collateral’s value. On the other hand, if the amount of the claim exceeds the collateral’s value, the excess constitutes an unsecured claim. Generally, the United States Bankruptcy Code contemplates that secured creditors will be paid in full. If a bankruptcy proceeding is commenced by or against us, we cannot assure you that the Bankruptcy Court would find that your collateral’s value exceeds the amount outstanding under the 2020 notes and/or the 2017 notes.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Factors that might bear on the recovery by the holders of the 2020 notes and/or 2017 notes in these circumstances, among others, would include:</w:t>
      </w:r>
    </w:p>
    <w:p>
      <w:pPr>
        <w:spacing w:after="0" w:line="113" w:lineRule="exact"/>
        <w:rPr>
          <w:sz w:val="20"/>
          <w:szCs w:val="20"/>
          <w:color w:val="auto"/>
        </w:rPr>
      </w:pPr>
    </w:p>
    <w:p>
      <w:pPr>
        <w:ind w:left="900" w:right="4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Encore;</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lenders with higher priority liens or other secured creditors may seek, and perhaps receive, relief from the automatic stay to foreclose their respective liens;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Moreover, in a bankruptcy proceeding, the bankruptcy court would have broad discretion to approve transactions that could disadvantage the holders of the 2020 notes and/or 2017 notes. For example, under certain circumstances, a bankruptcy court could approve our or third parties’ motions for sales of collateral on terms favorable to us, require you to accept subordinated or other securities in exchange for the 2020 notes and/or 2017 notes, or order substantive consolidation of us with Wynn Resorts in a bankruptcy in which Wynn Resorts was debtor.</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Accordingly, regardless of the ultimate disposition of any of these or other motions or claims, there can be no assurances, pending or following the completion of the bankruptcy proceeding, with respect to the following: whether and when any payments under the 2020 notes and/or 2017 notes would be made; whether or when the trustee could foreclose upon or sell the collateral; whether the terms and conditions of the 2020 notes and/or 2017 notes or any rights of the holders of 2020 notes and/or 2017 notes could be altered in a bankruptcy case without the trustee’s or your consent; whether the trustee or you would be able to enforce your rights against the subsidiary guarantors under their guarantees; and whether and to what extent holders of 2020 notes and/or 2017 notes would be compensated for any delay in payment or decline in the collateral’s value.</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2020 notes and the 2017 notes will not have the benefit of a first priority pledge on any equity interests of Wynn Las Vegas until we receive approval from the Nevada Gaming Commission.</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borrowings under our credit facilities, the 2014 notes, the 2017 notes and the 2020 notes are secured by a first priority pledge of the equity interests of Wynn Las Vegas by its parent, Wynn Holdings. Wynn Holdings has agreed to secure the 2020 notes and the 2017 notes by a first priority lien on the equity interests of Wynn Las Vegas. However, such lien with respect to the equity interests of Wynn Las Vegas cannot be effective to secure the 2020 notes and the 2017 notes without the prior approval from the Nevada Gaming Commission, upon a recommendation from the Nevada State Gaming Control Board. This lien will not be effective unless and until we receive such approvals. While we have agreed to seek such approval, we cannot give any assurance that such approvals will be granted within any particular time period or at all. The delay between the issuance of the 2020 notes and the 2017 notes and the granting of any regulatory approvals necessary to establish the lien on the equity interests may result in rendering the lien subject to avoidance by a bankruptcy trustee if (i) the obligations with respect to the 2020 notes and the 2017 notes constitute “antecedent debt” for purposes of the Bankruptcy Code, (ii) the pledge occurs at a time when Wynn Holdings and its subsidiaries, on a consolidated basis, are insolvent, (iii) the pledge is deemed to occur within 90 days of the commencement of a bankruptcy proceeding of Wynn Holdings and (iv) as a result of such pledge the holders of the 2020 notes and the 2017 notes (or any insider-creditor for whose benefit the transfer is made) would receive more, in light of the pledge, than they would have received in liquidation under chapter 7 of the Bankruptcy Code, if the pledge had not been granted.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the 2020 notes and 2017 notes have no liens on certain assets.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the 2020 notes and 2017 notes do not have a lien on our gaming or liquor licenses, because under the Nevada gaming laws they may not be pledged as collateral. In addition, the 2020 notes, the 2017 notes, the 2014 notes and our credit facilities are not secured by any assets related to Wynn Macau, and the holders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2020 notes and the 2017 notes have no claim against those assets. The 2020 notes and the 2017 notes also are not secured by, among other things, World Travel, LLC’s aircraft. Accordingly, such assets are not available to the holders upon an exercise of remedies under the collateral documents.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additional liens on collateral provided after the 2020 notes and 2017 notes are issued could also be avoided as preferential transfers.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2020 notes indenture and the 2017 notes indenture provide that certain future restricted subsidiaries will guarantee the 2020 notes and the 2017 notes and secure their guarantees with liens on their assets. The indentures also require us to grant liens on certain assets that we and the existing guarantors acquire after the 2020 notes and the 2017 notes are issued. If the entity granting an additional lien were insolvent at the time of the grant and if such grant was made within 90 days before that entity commenced a bankruptcy case (or one year before commencement of a bankruptcy case if the creditor that benefited from the lien is an “insider” under the United States Bankruptcy Code), the additional lien could be avoided as a preferential transfer.</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2020 notes, 2017 notes, guarantees, and liens, and to require holders of 2020 notes and 2017 notes to return payments received from us or the guarantors.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creditors or the creditors of the guarantors could challenge the issuance of the 2020 notes and/or the 2017 notes or the guarantors’ issuance of their guarantees, and the liens on the assets that secure the 2020 notes and/or the 2017 notes and guarantees, respectively, as fraudulent conveyances or on other grounds. Under the federal bankruptcy law and similar provisions of state fraudulent transfer laws, the issuance of 2020 notes and/or the 2017 notes, the delivery of the guarantees, and the granting of liens could be avoided (that is, cancelled) as fraudulent transfers, or claims in respect of a note or guarantee could be subordinated to all of our other debts or all of the other debts of the applicable guarantor, if a court determined that the issuer, at the time it issued the 2020 notes and/or the 2017 notes or granted the liens, or the guarantor, at the time it issued the guarantee or granted the liens (or, in some jurisdictions, when payment became due under the guarantee):</w:t>
      </w:r>
    </w:p>
    <w:p>
      <w:pPr>
        <w:spacing w:after="0" w:line="37" w:lineRule="exact"/>
        <w:rPr>
          <w:sz w:val="20"/>
          <w:szCs w:val="20"/>
          <w:color w:val="auto"/>
        </w:rPr>
      </w:pPr>
    </w:p>
    <w:p>
      <w:pPr>
        <w:ind w:left="900" w:right="3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issued the 2020 notes and/or the 2017 notes or guarantees, as the case may be, or granted the liens with the intent to hinder, delay or defraud its existing or future creditors; or</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2020 notes and/or the 2017 notes or guarantees, as the case may be, or granting of the liens, and if the issuer or guarantor: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was insolvent or rendered insolvent at the time it issued the 2020 notes and/or the 2017 notes, issued the guarantee, or granted the liens;</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issuer’s or guarantor’s remaining assets constituted unreasonably small capital; or</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generally as they mature.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court likely would find that a guarantor did not receive reasonably equivalent value or fair consideration for its guaranty or pledge of assets unless it benefited directly or indirectly from the 2020 notes and/or the 2017 notes issuance. If the guarantees were avoided or limited under fraudulent transfer or other laws, any claim you may make against the guarantors for amounts payable on the 2020 notes and/or the 2017 notes would be unenforceable to the extent of such avoidance or limitation.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5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cannot be sure what standard a bankruptcy court would apply in making these determinations or, regardless of the standard, that a bankruptcy court would not avoid the guarantees.</w:t>
      </w:r>
    </w:p>
    <w:p>
      <w:pPr>
        <w:spacing w:after="0" w:line="2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collateral securing the 2020 notes and the 2017 notes includes real property and, as a result, holders of the 2020 notes and/or 2017 notes may be subject to certain environmental risks.</w:t>
      </w:r>
    </w:p>
    <w:p>
      <w:pPr>
        <w:spacing w:after="0" w:line="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that can adversely affect the property’s value or result in investigative or remedial costs or liabilities that could be material. In addition, under the federal Comprehensive Environmental Response, Compensation, and Liability Act, as amended (“CERCLA”), a secured lender may be held liable, in certain limited circumstances, for the costs of remediating a release of, or preventing a threatened release of, hazardous substances at a mortgaged property or at an owned property after foreclosure. There may be similar risks under state laws or common law theories.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 holders of the 2020 notes and the 2017 notes may be adversely affected by the failure to perfect security interests in the collateral and other issues generally associated with the realization of security interests in collateral.</w:t>
      </w:r>
    </w:p>
    <w:p>
      <w:pPr>
        <w:spacing w:after="0" w:line="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Applicable law requires that a security interest in certain tangible and intangible assets can only be properly perfected and its priority retained through certain actions undertaken by the secured party. The liens in the collateral securing the 2020 notes and the 2017 notes may not be perfected with respect to the claims of 2020 notes and the 2017 notes if the collateral agent is not able to take the actions necessary to perfect any of these liens on or prior to the date of the indenture governing the 2020 notes and the indenture governing the 2017 notes. In addition, applicable law requires that certain property and rights acquired after the grant of a general security interest, such as real property, can only be perfected at the time such property and rights are acquired and identified and additional steps to perfect in such property and rights are taken. The Issuers and the guarantors will have limited obligations to perfect the security interest of the holders of 2020 notes and the 2017 notes in specified collateral. There can be no assurance that the trustees or the collateral agents for the 2020 notes and the 2017 notes will monitor, or that the Issuers will inform such trustees or collateral agents of, the future acquisition of property and rights that constitute collateral, and that the necessary action will be taken to properly perfect the security interest in such after-acquired collateral. The collateral agents for the 2020 notes and the 2017 notes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have no obligation to monitor the acquisition of additional property or rights that constitute collateral or the perfection of any security interest. Such failure may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result in the loss of the security interest in the collateral or the priority of the security interest in favor of 2020 notes and/or the 2017 notes against third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parties. Circumstances may exist that cause liens to lose perfection or priority, such as, among other things, the passage of time, movement of collateral, changes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name or entity type.</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the security interest of the collateral agent will be subject to practical challenges generally associated with the realization of security interests in collateral. For example, the collateral agent may need to obtain the consent of third parties and make additional filings. If we are unable to obtain these consents or make these filings, the security interests may be invalid and the holders will not be entitled to the collateral or any recovery with respect thereto. We cannot assure you that the collateral agent will be able to obtain any such consent. We also cannot assure you that the consents of any third parties will be given when required to facilitate a foreclosure on such assets. Accordingly, the collateral agent may not have the ability to foreclose upon those assets and the value of the collateral may significantly decrease.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2020 notes and the 2017 notes upon a change of control.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we experience certain specific change of control events, we will be required to offer to repurchase all outstanding 2020 notes and 2017 notes at 101% of their principal amount, plus accrued and unpaid interest to the date of repurchase. We cannot assure you that we will have available funds sufficient to pay the change of control purchase price for any or all of the 2020 notes and 2017 notes that might be delivered by holders of the 2020 notes and 2017 notes seeking to accept the change of control offer. Moreover, under the indentures governing the 2020 notes and the 2017 notes, certain important corporate events, such as leveraged recapitalizations that would increase the level of our indebtedness, would not constitute a “change of control” and thus would not give rise to any repurchase rights. See “Description of the New 2017 Notes—Repurchase at the Option of Holders—Change of Control” and “Description of the New 2020 Notes —Repurchase at the Option of Holders—Change of Control.”</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our credit facilities contain, and any future credit agreement likely will contain, restrictions or prohibitions on our ability to repurchase the 2020 notes and the 2017 notes under certain circumstances. If these change of control events or similar events occur at a time when we are prohibited from repurchasing the 2020 notes and the 2017 notes, we may seek the consent of our lenders to purchase the 2020 notes and the 2017 notes or could attempt to refinance the obligations that contain these prohibitions or restrictions. If we do not obtain our lenders’ consent or refinance these obligations, we will not be able to repurchase the 2020 notes and the 2017 notes. Accordingly, the holders of the 2020 notes and the 2017 notes may not receive the change of control purchase price for their 2020 notes and 2017 notes in the event of a sale or other change of control, which will give the trustees for the 2020 notes and the 2017 notes and the holders of the 2020 notes and the 2017 notes the right to declare an event of default and accelerate the repayment of the 2020 notes and 2017 notes. See “Description of the New 2017 Notes—Events of Default and Remedies” and “Description of the New 2020 Notes—Events of Default and Remedies.”</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2020 notes and the 2017 notes could be delayed or reduced.</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United States Bankruptcy Code. If a bankruptcy court concludes that substantive consolidation of us with any affiliated party referred to in this paragraph is warranted, holders of 2020 notes and 2017 notes should expect payments on the 2020 notes and 2017 notes to be delayed and/or reduced.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guarantors of the 2020 notes and the 2017 notes likely will not be able to contribute to any payments with respect to the 2020 notes and the 2017 notes.</w:t>
      </w:r>
    </w:p>
    <w:p>
      <w:pPr>
        <w:spacing w:after="0" w:line="1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the assets of the subsidiary guarantors are important to our operations, they are not expected to generate significant cash flows. As such, you should not expect any of the guarantors to contribute to any payments of principal, interest or other amounts required to be made on the 2020 notes and the 2017 notes.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2020 notes and the 2017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18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Unrestricted subsidiaries will generally not be subject to the covenants under the 2020 notes indenture and the 2017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2020 notes and the 2017 notes.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2020 notes and 2017 notes due to regulatory considerations, either as required by gaming authorities or in our discretion.</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2020 notes indenture and the 2017 notes indenture grant us the power to redeem the 2020 notes and the 2017 notes that you own or control if any gaming authority requires you, or a beneficial owner of the 2020 notes and the 2017 notes, to be licensed, qualified or found suitable under any applicable gaming law and:</w:t>
      </w:r>
    </w:p>
    <w:p>
      <w:pPr>
        <w:spacing w:after="0" w:line="59" w:lineRule="exact"/>
        <w:rPr>
          <w:sz w:val="20"/>
          <w:szCs w:val="20"/>
          <w:color w:val="auto"/>
        </w:rPr>
      </w:pPr>
    </w:p>
    <w:p>
      <w:pPr>
        <w:ind w:left="900" w:right="1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you or such beneficial owner is determined by a gaming authority to be unsuitable to own or control the 2020 notes or the 2017 notes.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foregoing circumstances, under the 2020 notes indenture and the 2017 notes indeture, we may redeem, and if required by the applicable gaming authority, we must redeem, your 2020 notes and 2017 notes to the extent required by the gaming authority or deemed necessary or advisable by us. The redemption price will be equal to:</w:t>
      </w:r>
    </w:p>
    <w:p>
      <w:pPr>
        <w:spacing w:after="0" w:line="5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lesser of (1) the principal amount of the 2020 notes or the 2017 notes, as applicable, and (2) the price that you or the beneficial owner paid for the 2020 notes or the 2017 notes, as applicable, in either case, together with accrued and unpaid interest on the 2020 notes or the 2017 notes, as applicable.</w:t>
      </w:r>
    </w:p>
    <w:p>
      <w:pPr>
        <w:spacing w:after="0" w:line="22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As a holder of the 2020 notes and/or 2017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2020 notes and/or 2017 notes be registered, licensed, qualified or found suitable, or comply with other requirements under applicable gaming laws. If you purchase, acquire or otherwise accept an interest in the 2020 notes and/or the 2017 notes, by the terms of the indentures governing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2020 notes and the 2017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62" w:lineRule="exact"/>
        <w:rPr>
          <w:sz w:val="20"/>
          <w:szCs w:val="20"/>
          <w:color w:val="auto"/>
        </w:rPr>
      </w:pPr>
    </w:p>
    <w:p>
      <w:pPr>
        <w:ind w:left="900" w:right="1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you to sell your 2020 notes and 2017 notes or beneficial interest in the 2020 notes and 2017 notes within 30 days after you receive notice of our election, or any earlier date that the relevant gaming authority may request or prescribe; or</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redeem your 2020 notes and/or 2017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60" w:right="140" w:hanging="547"/>
        <w:spacing w:after="0" w:line="332" w:lineRule="auto"/>
        <w:tabs>
          <w:tab w:leader="none" w:pos="14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lesser of (1) the principal amount of the 2020 notes and/or the 2017 notes, and (2) the price that you or the beneficial owner paid for the 2020 notes and/or the 2017 notes, in either case, together with accrued and unpaid interest on the 2020 notes and/or the 2017 notes.</w:t>
      </w:r>
    </w:p>
    <w:p>
      <w:pPr>
        <w:spacing w:after="0" w:line="85"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will notify the 2020 notes trustee and the 2017 notes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indentures governing the 2020 notes and the 2017 notes also provide that as soon as you are required to sell your 2020 notes and/or 2017 notes as a result of a gaming authority action, you will, to the extent required by applicable gaming laws, have no further right:</w:t>
      </w:r>
    </w:p>
    <w:p>
      <w:pPr>
        <w:spacing w:after="0" w:line="1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2020 notes and/or 2017 notes;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2020 notes and/or 2017 notes, except the redemption price we refer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2017 Notes—Gaming Redemption” and “Description of the New 2020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existing title insurance may not be sufficient to cover all of our secured obligations.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connection with the issuance of the 2020 notes, we obtained title insurance in an amount equal to the aggregate principal amount of 2020 notes. The 2020 notes indenture does not require us to obtain, modify or increase the coverage of any title insurance policy we may have from time to time, and the amount of our secured debt, including obligations under our existing or additional hedging agreements, may from time to time be greater than the amount of our title insurance. In addition, certain transactions that we may enter into may have an adverse effect on the coverage provided by any such title insurance policy. Accordingly, the coverage afforded by the title policy previously obtained or any additional title policies we may obtain at any time may not be adequate to cover losses or damages incurred by the holders of the 2020 notes as a result of the lack of lien or priority of the mortgages. We did not obtain a survey of the real property collateral in connection with the issuance of the 2020 notes. A current survey of the real property collateral may reveal issues that could materially affect the use or value of such real property. Furthermore, we may from time to time obtain or maintain title insurance policies that benefit the lenders under our credit facilities, the holders of the 2014 notes, 2017 notes or other indebtedness, but not the 2020 notes. In addition, under certain circumstances, the holders of the 2020 notes may be required to share certain proceeds of title insurance that benefit such holders with the lenders under our credit facilities, the holders of the 2014 notes, 2017 notes or other indebtedness. See “Intercreditor Agreement—Application of Proceeds.”</w:t>
      </w:r>
    </w:p>
    <w:p>
      <w:pPr>
        <w:spacing w:after="0" w:line="1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connection with the issuance of the 2017 notes, we obtained title insurance in an amount equal to the outstanding principal amount of our loans and commitments under the credit facilities, the 2014 notes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2017 notes as of October 19, 2009. However, the 2017 notes indenture does not require us to modify or increase the coverage of the title insurance policy in the future, and the amount of our secured debt, including obligations under our existing or additional hedging agreements, may from time to time be greater than the amount of our title insurance obtained in connection with the 2017 notes. In addition, certain transactions that we may have entered into after the issuance of the 2017 notes or that we may enter into after the date hereof, may have an adverse effect on the coverage provided by such title insurance policy. Accordingly, the coverage afforded by the title policy obtained in connection with the 2017 notes issuance may not be adequate to cover losses or damages incurred by the note holders as a result of the lack of lien or priority of the mortgages.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new 2020 notes and the new 2017 notes are new issues of securities for which there is currently no public market. An active market may not develop for the new notes offered hereby,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their initial offering price. Future trading prices of the new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 disruptions, and there can be no assurance that the new notes will not be subject to such volatility, either of which could have an adverse effect on the price and liquidity of the new notes. We do not intend to apply for listing of the new notes on any securities exchange or for quotation of the new notes in any automated dealer quotation system.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be required to recognize taxable income on the 2017 notes in a taxable year in excess of cash payments made to you on the 2017 notes.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old 2017 notes were issued with “original issue discount” for U.S. federal income tax purposes. As a result, in addition to the stated interest on the new 2017 notes, you may be required to include a portion of such original issue discount in your income as it accrues for federal income tax purposes in advance of receipt of any payment on the new 2017 notes to which the income is attributable. Each prospective investor is urged to consult its tax advisor regarding an investment in the new 2017 notes.</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In the event of a bankruptcy, holders may not have a claim with respect to original issue discount on the 2017 notes constituting “unmatured interest” under the U.S. Bankruptcy Code.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U.S. bankruptcy code, the principal amount of each 2017 note in excess of its issue price is treated as unmatured interest. The claim of a holder of a 2017 note in a bankruptcy proceeding in respect of the 2017 notes with respect to this original issue discount would be limited to the portion thereof that had accreted prior to the date of the commencement of the bankruptcy case. Holders of 2017 notes would not be entitled to receive any additional portion of the original issue discount that accreted during the commencement of a bankruptcy proceeding except to the extent the notes are oversecured by their security interest in the collateral.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are registered under the Securities Act and applicable state securities laws, or are offered and sold under an exemption from these requirements. We do not plan to register the old notes under the Securities Act.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 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14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00" w:hanging="446"/>
        <w:spacing w:after="0" w:line="357"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ind w:left="900" w:right="4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agreements. See “The Exchange Offer—Procedures for Tendering Old Notes” and “The Exchange Offer—Consequences of Exchanging or Failing to Exchange Old Notes.”</w:t>
      </w:r>
    </w:p>
    <w:p>
      <w:pPr>
        <w:spacing w:after="0" w:line="19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three months ended March 31, 2010 and for the years ended December 31, 2009, 2008, 2007, 2006 and 2005,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For the Three Months Ended</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gridSpan w:val="4"/>
          </w:tcPr>
          <w:p>
            <w:pPr>
              <w:ind w:left="500"/>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80" w:type="dxa"/>
            <w:vAlign w:val="bottom"/>
          </w:tcPr>
          <w:p>
            <w:pPr>
              <w:spacing w:after="0"/>
              <w:rPr>
                <w:sz w:val="14"/>
                <w:szCs w:val="14"/>
                <w:color w:val="auto"/>
              </w:rPr>
            </w:pPr>
          </w:p>
        </w:tc>
        <w:tc>
          <w:tcPr>
            <w:tcW w:w="2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gridSpan w:val="4"/>
          </w:tcPr>
          <w:p>
            <w:pPr>
              <w:ind w:left="6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1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2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1.87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1.12</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Deficiency of earnings to cover fixed charges</w:t>
            </w:r>
          </w:p>
        </w:tc>
        <w:tc>
          <w:tcPr>
            <w:tcW w:w="2220" w:type="dxa"/>
            <w:vAlign w:val="bottom"/>
            <w:gridSpan w:val="2"/>
          </w:tcPr>
          <w:p>
            <w:pPr>
              <w:jc w:val="right"/>
              <w:ind w:right="480"/>
              <w:spacing w:after="0"/>
              <w:rPr>
                <w:sz w:val="20"/>
                <w:szCs w:val="20"/>
                <w:color w:val="auto"/>
              </w:rPr>
            </w:pPr>
            <w:r>
              <w:rPr>
                <w:rFonts w:ascii="Arial" w:cs="Arial" w:eastAsia="Arial" w:hAnsi="Arial"/>
                <w:sz w:val="18"/>
                <w:szCs w:val="18"/>
                <w:color w:val="auto"/>
              </w:rPr>
              <w:t>(75,715)</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$(284,944)</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$(195,762)</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(73,381)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determining the ratio of earnings to fixed charges, earnings are defined as earnings before income from equity investments plus fixed charges. Fixed charges consist of interest, whether capitalized or expensed, amortization of issuance costs and the estimated interest component of rent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capitalization, on a consolidated basis, as of March 31, 2010:</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 as adjusted basis after giving effect to the issuance of the old 2020 notes.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data in the table should be read in conjunction with “Management’s Discussion and Analysis of Financial Condition and Results of Operations” and our consolidated financial statements and notes thereto.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As of March 31, 2010</w:t>
            </w:r>
          </w:p>
        </w:tc>
      </w:tr>
      <w:tr>
        <w:trPr>
          <w:trHeight w:val="142"/>
        </w:trPr>
        <w:tc>
          <w:tcPr>
            <w:tcW w:w="11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As Adjusted</w:t>
            </w: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right"/>
              <w:ind w:right="594"/>
              <w:spacing w:after="0" w:line="142" w:lineRule="exact"/>
              <w:rPr>
                <w:sz w:val="20"/>
                <w:szCs w:val="20"/>
                <w:color w:val="auto"/>
              </w:rPr>
            </w:pPr>
            <w:r>
              <w:rPr>
                <w:rFonts w:ascii="Arial" w:cs="Arial" w:eastAsia="Arial" w:hAnsi="Arial"/>
                <w:sz w:val="14"/>
                <w:szCs w:val="14"/>
                <w:b w:val="1"/>
                <w:bCs w:val="1"/>
                <w:color w:val="auto"/>
                <w:w w:val="74"/>
              </w:rPr>
              <w:t>thousands)</w:t>
            </w:r>
          </w:p>
        </w:tc>
        <w:tc>
          <w:tcPr>
            <w:tcW w:w="20" w:type="dxa"/>
            <w:vAlign w:val="bottom"/>
          </w:tcPr>
          <w:p>
            <w:pPr>
              <w:spacing w:after="0"/>
              <w:rPr>
                <w:sz w:val="12"/>
                <w:szCs w:val="12"/>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2020 net of original issue discount of $2,642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349,368</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2017 net of original issue discount of $10,449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489,551</w:t>
            </w: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2014 net of original issue discount of $5,220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1,626,368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1,277,000</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Credit facilities (1)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333,163</w:t>
            </w: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Aircraft financing</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37,800</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Payable to affiliate (2)</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20" w:type="dxa"/>
            <w:vAlign w:val="bottom"/>
          </w:tcPr>
          <w:p>
            <w:pPr>
              <w:spacing w:after="0"/>
              <w:rPr>
                <w:sz w:val="18"/>
                <w:szCs w:val="18"/>
                <w:color w:val="auto"/>
              </w:rPr>
            </w:pPr>
          </w:p>
        </w:tc>
      </w:tr>
      <w:tr>
        <w:trPr>
          <w:trHeight w:val="221"/>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2,552,652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2,552,652</w:t>
            </w: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1,306,809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1,306,809</w:t>
            </w:r>
          </w:p>
        </w:tc>
        <w:tc>
          <w:tcPr>
            <w:tcW w:w="20" w:type="dxa"/>
            <w:vAlign w:val="bottom"/>
          </w:tcPr>
          <w:p>
            <w:pPr>
              <w:spacing w:after="0"/>
              <w:rPr>
                <w:sz w:val="18"/>
                <w:szCs w:val="18"/>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3,859,461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3,859,461</w:t>
            </w:r>
          </w:p>
        </w:tc>
      </w:tr>
      <w:tr>
        <w:trPr>
          <w:trHeight w:val="20"/>
        </w:trPr>
        <w:tc>
          <w:tcPr>
            <w:tcW w:w="11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March 31, 2010, the available undrawn commitments under the revolving credit facility are approximately $185.3 million.</w:t>
      </w:r>
    </w:p>
    <w:p>
      <w:pPr>
        <w:spacing w:after="0" w:line="90" w:lineRule="exact"/>
        <w:rPr>
          <w:rFonts w:ascii="Arial" w:cs="Arial" w:eastAsia="Arial" w:hAnsi="Arial"/>
          <w:sz w:val="18"/>
          <w:szCs w:val="18"/>
          <w:color w:val="auto"/>
        </w:rPr>
      </w:pPr>
    </w:p>
    <w:p>
      <w:pPr>
        <w:ind w:left="460" w:right="360" w:hanging="452"/>
        <w:spacing w:after="0" w:line="298"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year ended December 31, 2009, Wynn Resorts purchased $65.8 million face amount of the 2014 notes through open market purchases at a discount. The purchase of the notes by Wynn Resorts has not been contributed to Wynn Las Vegas and the notes have not been retired. Wynn Resorts tendered $30 million of these 2014 notes for 2020 notes. Accordingly, $35.8 million of the 2014 notes and $30 million of the 2020 notes held by Wynn Resorts remain on Wynn Las Vegas’ balance sheet as a payable to affiliate within Long-term Debt.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selected data presented below as of and for the three months ended March 31, 2010 and 2009 is derived from our unaudited consolidated financial statements. The selected data presented below as of and for the years ended December 31, 2009, 2008, 2007, 2006 and 2005 is derived from our audited consolidated financial statements.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4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6"/>
              </w:rPr>
              <w:t>March 31,</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2"/>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80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(in</w:t>
            </w:r>
          </w:p>
        </w:tc>
        <w:tc>
          <w:tcPr>
            <w:tcW w:w="7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thousands)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revenues(1)</w:t>
            </w:r>
          </w:p>
        </w:tc>
        <w:tc>
          <w:tcPr>
            <w:tcW w:w="960" w:type="dxa"/>
            <w:vAlign w:val="bottom"/>
            <w:gridSpan w:val="4"/>
          </w:tcPr>
          <w:p>
            <w:pPr>
              <w:jc w:val="right"/>
              <w:ind w:right="192"/>
              <w:spacing w:after="0"/>
              <w:rPr>
                <w:sz w:val="20"/>
                <w:szCs w:val="20"/>
                <w:color w:val="auto"/>
              </w:rPr>
            </w:pPr>
            <w:r>
              <w:rPr>
                <w:rFonts w:ascii="Arial" w:cs="Arial" w:eastAsia="Arial" w:hAnsi="Arial"/>
                <w:sz w:val="18"/>
                <w:szCs w:val="18"/>
                <w:color w:val="auto"/>
                <w:w w:val="87"/>
              </w:rPr>
              <w:t>$318,607</w:t>
            </w:r>
          </w:p>
        </w:tc>
        <w:tc>
          <w:tcPr>
            <w:tcW w:w="40" w:type="dxa"/>
            <w:vAlign w:val="bottom"/>
          </w:tcPr>
          <w:p>
            <w:pPr>
              <w:spacing w:after="0"/>
              <w:rPr>
                <w:sz w:val="18"/>
                <w:szCs w:val="18"/>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w w:val="87"/>
              </w:rPr>
              <w:t>$291,522</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5"/>
              </w:rPr>
              <w:t>$1,230,120</w:t>
            </w:r>
          </w:p>
        </w:tc>
        <w:tc>
          <w:tcPr>
            <w:tcW w:w="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$1,099,891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$1,295,851</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$ 1,139,348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$ 722,292</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379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72,373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2,020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(34,485)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(58,384)</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(144,279)</w:t>
            </w: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(58,616)</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199,825</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115,047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12,446</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(81,692)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6"/>
              </w:rPr>
              <w:t>(95,464)</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(309,870)</w:t>
            </w: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(129,794)</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9,808</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(45,274)</w:t>
            </w:r>
          </w:p>
        </w:tc>
      </w:tr>
      <w:tr>
        <w:trPr>
          <w:trHeight w:val="351"/>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w w:val="92"/>
              </w:rPr>
              <w:t>As of March 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6"/>
              </w:rPr>
              <w:t>As of December 31,</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76"/>
              </w:rPr>
              <w:t>2008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12"/>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40" w:type="dxa"/>
            <w:vAlign w:val="bottom"/>
            <w:gridSpan w:val="2"/>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46,506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   66,354</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  123,315</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146,521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   93,820</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87,777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197,517</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394,757</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23,973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4,579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865,130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214,574</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30,996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4,185,632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4,254,324</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4,584,271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3,647,256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3,119,888</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3,195,828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long-term obligations(3)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2,645,217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2,638,083</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2,897,328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2,034,603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1,678,597</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1,749,267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1,306,809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1,385,553</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1,257,563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1,242,770</w:t>
            </w: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1,224,829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Wynn Las Vegas opened on April 28, 2005 and Encore opened on December 22, 2008.</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cash and investments primarily reflect the proceeds of our debt and equity financings that were restricted for the construction of Encore and prior to December 31, 2005, for Wynn Las Vegas.</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long-term debt, long-term amounts due to affiliates, and an interest rate swap.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and Encore, a destination casino resort located adjacent to and connected to Wynn Las Vegas, which opened on December 22, 2008. Until the opening of Wynn Las Vegas in 2005, we were solely a development stage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April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9"/>
              </w:rPr>
              <w:t>Hotel Rooms &amp;</w:t>
            </w:r>
          </w:p>
        </w:tc>
        <w:tc>
          <w:tcPr>
            <w:tcW w:w="960" w:type="dxa"/>
            <w:vAlign w:val="bottom"/>
          </w:tcPr>
          <w:p>
            <w:pPr>
              <w:spacing w:after="0"/>
              <w:rPr>
                <w:sz w:val="14"/>
                <w:szCs w:val="14"/>
                <w:color w:val="auto"/>
              </w:rPr>
            </w:pPr>
          </w:p>
        </w:tc>
        <w:tc>
          <w:tcPr>
            <w:tcW w:w="21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Approximate Casino</w:t>
            </w:r>
          </w:p>
        </w:tc>
        <w:tc>
          <w:tcPr>
            <w:tcW w:w="22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Approximate Number</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840" w:type="dxa"/>
            <w:vAlign w:val="bottom"/>
          </w:tcPr>
          <w:p>
            <w:pPr>
              <w:spacing w:after="0"/>
              <w:rPr>
                <w:sz w:val="14"/>
                <w:szCs w:val="14"/>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Suites</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Square Footage</w:t>
            </w:r>
          </w:p>
        </w:tc>
        <w:tc>
          <w:tcPr>
            <w:tcW w:w="9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Table Games</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of Slots</w:t>
            </w:r>
          </w:p>
        </w:tc>
        <w:tc>
          <w:tcPr>
            <w:tcW w:w="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31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110,000</w:t>
            </w:r>
          </w:p>
        </w:tc>
        <w:tc>
          <w:tcPr>
            <w:tcW w:w="22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140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Encore</w:t>
            </w:r>
          </w:p>
        </w:tc>
        <w:tc>
          <w:tcPr>
            <w:tcW w:w="920" w:type="dxa"/>
            <w:vAlign w:val="bottom"/>
          </w:tcPr>
          <w:p>
            <w:pPr>
              <w:jc w:val="right"/>
              <w:spacing w:after="0"/>
              <w:rPr>
                <w:sz w:val="20"/>
                <w:szCs w:val="20"/>
                <w:color w:val="auto"/>
              </w:rPr>
            </w:pPr>
            <w:r>
              <w:rPr>
                <w:rFonts w:ascii="Arial" w:cs="Arial" w:eastAsia="Arial" w:hAnsi="Arial"/>
                <w:sz w:val="18"/>
                <w:szCs w:val="18"/>
                <w:color w:val="auto"/>
              </w:rPr>
              <w:t>2,034</w:t>
            </w:r>
          </w:p>
        </w:tc>
        <w:tc>
          <w:tcPr>
            <w:tcW w:w="3120" w:type="dxa"/>
            <w:vAlign w:val="bottom"/>
            <w:gridSpan w:val="3"/>
          </w:tcPr>
          <w:p>
            <w:pPr>
              <w:jc w:val="right"/>
              <w:ind w:right="960"/>
              <w:spacing w:after="0"/>
              <w:rPr>
                <w:sz w:val="20"/>
                <w:szCs w:val="20"/>
                <w:color w:val="auto"/>
              </w:rPr>
            </w:pPr>
            <w:r>
              <w:rPr>
                <w:rFonts w:ascii="Arial" w:cs="Arial" w:eastAsia="Arial" w:hAnsi="Arial"/>
                <w:sz w:val="18"/>
                <w:szCs w:val="18"/>
                <w:color w:val="auto"/>
              </w:rPr>
              <w:t>76,000</w:t>
            </w:r>
          </w:p>
        </w:tc>
        <w:tc>
          <w:tcPr>
            <w:tcW w:w="2260" w:type="dxa"/>
            <w:vAlign w:val="bottom"/>
            <w:gridSpan w:val="2"/>
          </w:tcPr>
          <w:p>
            <w:pPr>
              <w:jc w:val="right"/>
              <w:ind w:right="980"/>
              <w:spacing w:after="0"/>
              <w:rPr>
                <w:sz w:val="20"/>
                <w:szCs w:val="20"/>
                <w:color w:val="auto"/>
              </w:rPr>
            </w:pPr>
            <w:r>
              <w:rPr>
                <w:rFonts w:ascii="Arial" w:cs="Arial" w:eastAsia="Arial" w:hAnsi="Arial"/>
                <w:sz w:val="18"/>
                <w:szCs w:val="18"/>
                <w:color w:val="auto"/>
              </w:rPr>
              <w:t>80</w:t>
            </w:r>
          </w:p>
        </w:tc>
        <w:tc>
          <w:tcPr>
            <w:tcW w:w="128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is located at the intersection of the Las Vegas Strip and Sands Avenue, occupies approximately 217 acres of land fronting the Las Vegas Strip and utilizes approximately 18 additional acres across Sands Avenue, a portion of which is improved with an employee parking garage.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900" w:right="2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baccarat salons, a poker room, and a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22 food and beverage outlets including the AAA five-diamond and Forbes five-star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showroom, two nightclubs and a lounge.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Encore on December 22, 2008. This resort is located immediately adjacent to and connected with Wynn Las Vegas. Encore features:</w:t>
      </w:r>
    </w:p>
    <w:p>
      <w:pPr>
        <w:spacing w:after="0" w:line="113" w:lineRule="exact"/>
        <w:rPr>
          <w:sz w:val="20"/>
          <w:szCs w:val="20"/>
          <w:color w:val="auto"/>
        </w:rPr>
      </w:pPr>
    </w:p>
    <w:p>
      <w:pPr>
        <w:ind w:left="5620" w:right="80" w:hanging="5166"/>
        <w:spacing w:after="0" w:line="440" w:lineRule="auto"/>
        <w:tabs>
          <w:tab w:leader="none" w:pos="8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approximately 76,000 square foot casino offering 24-hour gaming and a full range of games, including private baccarat salons and a sports book; 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Luxury hotel accommodations in 2,034 all-suite rooms;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featuring Hermes, Chanel and others;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have and expect to continue to remodel and make enhancements and refinements at both Wynn Las Vegas and Encore.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opened on May 28, 2010.</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Approximately 142 acres of land immediately adjacent to both Wynn Las Vegas and Encore is currently improved with a golf course. While we may develop this property in the future, due to the current economic environment and certain restrictions in our credit facilities, we have no immediate plans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remains highly uncertain. Auto traffic into Las Vegas, airline capacity and air travel to McCarran International airport have continued to declined year over year, resulting in lower casino volumes and a reduced demand for hotel rooms. This slow down was particularly significant in the fourth quarter of 2008 and has continued throughout 2009 and the first quarter of 2010. Based on our experience over this past year and current market conditions, we believe that Wynn Las Vegas and Encore have, and are likely to continue to experience lower than historical hotel occupancy rates, room rates, casino volumes and accordingly lower departmental profitability. In addition, significant new supply in Las Vegas will put additional pressure on occupancy and room rates during 2010.</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the current economic and market conditions, we have increasingly focused on efficiency initiatives that we began implementing at Wynn Las Vegas in early 2009. These initiatives include reductions in pay for salaried employees in Las Vegas, reduced work weeks for full-time hourly employees, the substantial reduction of 2009 bonus accruals and a suspension of the employer match to the 401(k) contributions.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results of operations for the periods presented are not comparable as the year ended December 31, 2009 includes a full year of operations for Encore, whereas in 2008, Encore was open for only 10 days. Encore did not significantly impact our results of operations for the year ended December 31, 2008. We also believe that our operating results at both properties for the three months ended March 31, 2010, were adversely impacted by the weakened economy and significant new supply that was added to the Las Vegas market in late 2009. In addition, we believe that our operating results at both properties for the three months ended March 31, 2010 and 2009 and for the years ended December 31, 2009 and 2008, were adversely impacted by the weakened global economy. Disruptions in the global financial and stock markets and reduced levels of consumer spending have and are likely to continue to adversely impact our financial results.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and Encore. We currently rely solely upon the operations of Wynn Las Vegas and Encore for our operating cash flow. Concentration of our cash flows to Wynn Las Vegas and Encore exposes us to certain risks that competitors, whose operations are more diversified, may be better able to control. In addition to the concentration of operations to Wynn Las Vegas and Encore, many of our customers are high-end gaming customers who wager on credit, thus exposing us to increased credit risk. High-end gaming also increases the potential for variability in our results.</w:t>
      </w:r>
    </w:p>
    <w:p>
      <w:pPr>
        <w:spacing w:after="0" w:line="11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recorded a net loss for the quarter ended March 31, 2010 of $81.7 million compared to a net loss of $95.5 million recorded during the quarter ended March 31, 2009. This improvement was primarily a result of increased departmental profits, especially in the casino department, and a decrease in property charges and other, offset by increased interest expense associated with the old 2017 notes issued in October 2009.</w:t>
      </w:r>
    </w:p>
    <w:p>
      <w:pPr>
        <w:spacing w:after="0" w:line="107"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We recorded a net loss for the year ended December 31, 2009 of $309.9 million, which represents a $180.1 million increase from the net loss of $129.8 million recorded during the year ended December 31, 2008. This decrease is primarily due to an increase in depreciation and amortization expense of $144.1 million associated with the assets placed in service for Encore and an increase in interest expense of $81.4 million as we no longer capitalized interest during 2009 with the opening of Encore in December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8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March 31, 2010 compared to the three months ended March 31, 2009.</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Net revenues for the three months ended March 31, 2010 are comprised of $139.5 million in casino revenues (43.8% of total net revenues) and $179.1 million of net non-casino revenues (56.2% of total net revenues). Net revenues for the three months ended March 31, 2009 were comprised of $117.5 million in casino revenues (40.3% of total net revenues) and $174 million of net non-casino revenues (59.7% of total net revenues).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$22 million (or 18.8%) to $139.5 million for the three months ended March 31, 2010, compared to $117.5 million for the three months ended March 31, 2009. During the three months ended March 31, 2010, we experienced a 7.1% increase in drop and an increase in the average table games win percentage compared to the prior year quarter. Our average table games win percentage (before discounts) of 23.2% was within the expected range of 21% to 24% for the three months ended March 31, 2010. For the three months ended March 31, 2009, our average table games win percentage (before discounts)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was 17.7%. Slot handle decreased 26.6% during the three months ended March 31, 2010 as compared to 2009, and the slot win percentage was within the expected range of 4.5% to 5.5%. This decrease in slot play is due to high volumes of slot play experienced when Encore opened last year and new supply added to the Las Vegas market in late 2009.</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months ended March 31, 2010, room revenues were approximately $77.6 million, which represents a $7.5 million (or 8.8%) decrease over the $85.1 million generated in the three months ended March 31, 2009. We continued to experience a decrease in occupancy and room rates during the three months ended March 31, 2010, compared to the three months ended March 31, 2009. We believe this is due to the current economic conditions in which we operate in the U.S. and increased capacity in the Las Vegas market with the opening of a new large scale casino hotel in December 2009.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2009</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89.4%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non-casino revenues for the three months ended March 31, 2010 include: food and beverage revenues of approximately $95.9 million, retail revenues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$18.9 million, entertainment revenues of approximately $18.2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$14.5 million. Other non-gaming revenues for the three months ended March 31, 2009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$96.9 million, retail revenues of approximately $19.6 million, entertainment revenues of approximately $12.8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$14 million. Entertainment revenues increased over the prior year quarter primarily due to performances by Garth Brooks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Encore Theater which started in December 2009, as well as increased revenue from our Le Reve show.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the three months ended March 31, 2010, departmental expenses included casino expense of $76.8 million, room expense of $30.6 million, food and beverage expense of $58.0 million, and entertainment, retail and other expense of $35.9 million. Also included are general and administrative expenses of approximately $59.8 million and approximately $6.6 million charged as a provision for doubtful accounts receivable. During the three months ended March 31, 2009, departmental expenses included casino expenses of $76.0 million, room expense of $26.3 million, food and beverage expenses of $57.1 million, and entertainment, retail and other expenses of $29.5 million. Also included are general and administrative expenses of approximately $64.7 million and approximately $0.6 million charged as a provision for doubtful accounts receivable. The increase in room expenses was attributable to additional customer acquisition and marketing costs.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Entertainment, retail and other expense increased primarily as a result of performances by Garth Brooks in the Encore Theater at Wynn Las Vegas as noted above. General and administrative expenses decreased as a result of lower advertising expenses and our cost savings initiatives. Our provision for doubtful accounts receivable increased during the three months ended March 31, 2010, compared to the prior year’s quarter. This increase is primarily due to a reduction in the bad debt reserve taken in the prior year quarter as a result of strong collection trends as well as a higher casino revenue base for the three months ended March 31, 2010 compared to March 31,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paid upon meeting certain leverage ratios and satisfying certain other criteria set forth in our credit facilities and the indenture governing the 2014 notes.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 were $4.8 million for the quarter ended March 31, 2010, compared to $4.4 million for the quarter ended March 31, 2009.</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three months ended March 31, 2010, we incurred $0.4 million of pre-opening costs. We incurred no pre-opening costs for the three months ended March 31, 2009. Pre-opening costs incurred during the three months ended March 31, 2010, were related the Encore Beach Club which opened on May 28,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Depreciation and amortization for the three months ended March 31, 2010 was $78.9 million compared to $77.4 million for the three months ended March 31, 2009. This increase was due to miscellaneous capital improvements made during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2010, were $1.3 million compared to approximately $13.9 million for the three months ended March 31, 2009. Property charges and other for the three months ended March 31, 2010 related to miscellaneous renovations and abandonments at Wynn Las Vegas and Encore.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Property charges and other for the three months ended March 31, 2009, include the write-off of $13.4 million of aircraft purchase deposits. On February 19, 2009, we cancelled the agreement to purchase an aircraft. The deposit was refundable to the extent another buyer was found. Due to the uncertainty as to the recoverability of this deposit, we wrote off the deposit in the first quarter of 2009. In the second quarter of 2009 another buyer was found and we recovered $8.1 million of our deposit. The remaining property charges were related to miscellaneous renovations and abandonments at Wynn Las Vegas.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Interest expense was $45.1 million, net of capitalized interest of $0.2 million, for the three months ended March 31, 2010, compared to $36.8 million for the three months ended March 31, 2009. There was no interest capitalized during the three months ended March 31, 2009. Interest expense increased approximately $8.3 million primarily due to increased interest related to the old 2017 notes, offset by lower average borrowings outstanding on the Wynn Las Vegas credit facilities.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$2.3 million for the three months ended March 31, 2010, resulting from the decrease in the fair value of our interest rate swap from December 31, 2009 to March 31, 2010. We had no interest rate swaps during the prior year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2009 compared to the year ended December 31, 2008.</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earlier, our financial results for the year ended December 31, 2009 are not comparable to the year ended December 31, 2008, as the year ended December 31, 2009 includes a full year of operations for Encore, whereas the prior year includes only 10 days of operations for Encore.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2009 are comprised of $505.8 million in casino revenues (41.1% of total net revenues) and $724.3 million of net non-casino revenues (58.9% of total net revenues). Net revenues for the year ended December 31, 2008 were comprised of $479.7 million in casino revenues (43.6% of total net revenues) and $620.2 million of net non-casino revenues (56.4% of total net revenues).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which added approximately 90 table games and approximately 800 slot machines to our casino operations. Even with these additions in capacity, we experienced only a modest increase in casino revenues of approximately $26.1 million to $505.8 million for the year ended December 31, 2009, compared to $479.7 million for the year ended December 31, 2008. During the year ended December 31, 2009, we experienced a 1.2% increase in drop and a slight increase in the average table games win percentage compared to the prior year. Our average table games win percentage (before discounts) of 20.2% for the year ended December 31, 2009, was below the expected range of 21% to 24%. For the year ended December 31, 2008, our average table games win percentage (before discounts) was 20.0%. Slot handle decreased 2.5% during the year ended December 31, 2009, as compared to 2008, and the slot win percentage was within the expected range of 4.5% to 5.5%.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2009, room revenues were approximately $321.2 million, which represents a $52.6 million (or 19.6%) increase over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$268.5 million generated in the year ended December 31, 2008. This increase is a result of the addition of 2,034 suites at Encore which opened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2008. We continued to experience a decrease in occupancy and room rates during the year ended December 31, 2009, compared to the year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2008. See the table below for key operating measures related to our room revenue.</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7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$ 217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$ 288</w:t>
            </w:r>
          </w:p>
        </w:tc>
        <w:tc>
          <w:tcPr>
            <w:tcW w:w="2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Occupancy</w:t>
            </w:r>
          </w:p>
        </w:tc>
        <w:tc>
          <w:tcPr>
            <w:tcW w:w="1200" w:type="dxa"/>
            <w:vAlign w:val="bottom"/>
            <w:gridSpan w:val="2"/>
          </w:tcPr>
          <w:p>
            <w:pPr>
              <w:jc w:val="right"/>
              <w:ind w:right="572"/>
              <w:spacing w:after="0"/>
              <w:rPr>
                <w:sz w:val="20"/>
                <w:szCs w:val="20"/>
                <w:color w:val="auto"/>
              </w:rPr>
            </w:pPr>
            <w:r>
              <w:rPr>
                <w:rFonts w:ascii="Arial" w:cs="Arial" w:eastAsia="Arial" w:hAnsi="Arial"/>
                <w:sz w:val="18"/>
                <w:szCs w:val="18"/>
                <w:color w:val="auto"/>
              </w:rPr>
              <w:t>85.2%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$ 185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Other non-casino revenues for the year ended December 31, 2009 include: food and beverage revenues of approximately $385.8 million, retail revenues of approximately $85.8 million, entertainment revenues of approximately $57.1 million, and other revenues from outlets such as the spa and salon, of approximately $60.5 million. Other non-gaming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On a comparable basis, excluding the Encore expansion, which opened in December 2008, all of our revenues have declined when compared to the prior year due to the current economic environment in which we are operating. Food and beverage revenues increased during the year ended December 31,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primarily due to the closure of the Spamalot production show in July 2008. This decrease was offset in part by revenue from headliner acts that performed during 2009, including Garth Brooks, who began performing in the Encore Theater in December 2009.</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year ended December 31, 2009, departmental expenses included casino expense of $277.6 million, rooms expense of $106.8 million, food and beverage expense of $238.3 million, and entertainment, retail and other expense of $133.8 million. Also included are general and administrative expenses of approximately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$248.5 million and approximately $12.4 million charged as a provision for doubtful accounts receivable. During the year ended December 31, 2008, departmental expenses included casino expenses of $258 million, room expenses of $73.8 million, food and beverage expenses of $188.5 million, and entertainment, retail and other expenses of $132.9 million. Also included are general and administrative expenses of approximately $199.5 million and approximately $24.9 million charged as a provision for doubtful accounts receivable. Expenses for the year ended December 31, 2009, increased compared to December 31, 2008 as a result of the Encore expansion which opened in December 2008. Our provision for doubtful accounts receivable declined during the year ended December 31, 2009 compared to the prior year. In the prior year we increased our reserves in light of the economic uncertainty that existed at that time. Due to continued strong collection experience we have reduced the additional reserves we recorded in the third quarter of 2008.</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our indentures. Management fees were $18.4 million for the year ended December 31, 2009, compared to $16.5 million for the year ended December 31,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2009, we incurred $0.3 million pre-opening costs compared to $72.4 million for the year ended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Pre-opening costs incurred during the year ended December 31, 2008 were related to Encore which opened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2009 was $313.8 million compared to $169.6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This increase is primarily due to depreciation on the assets of Encore, which were placed into service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Property charges and other for the year ended December 31, 2009, were $24.5 million compared to $22.4 million for the year ended December 31, 2008. In response to the evaluation of our properties and the reactions of our guests, we make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at Wynn Las Vegas to make way for an addition to that property; (b) a $5.3 million charge for the write-off of two aircraft deposits; and (c) $2.5 million related to miscellaneous remodels, abandonments and loss on sale of equipment.</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Property charges and other for the year ended December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Wynn Las Vegas and Encore and the reactions of our guests, we continue to make enhancements to the property. The costs relating to assets retired as a result of these enhancement and remodel efforts will be expensed as property charges.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income decreased by $4.8 million for the year ended December 31, 2009 compared to the year ended December 31, 2008. This decrease is due to the repayment of an $80 million note receivable from Wynn Resorts in July 2008, that resulted in $3.3 million of interest income in the prior year, as well as a decrease in the average interest rate earned on our invested cash balances and reduced average invested cash balances during the year ended December 31, 2009, compared to the prior year.</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Interest expense was $157.2 million, net of capitalized interest of $0, for the year ended December 31, 2009, compared to $75.9 million, net of capitalized interest of $80.4 million during the year ended December 31, 2008. Interest expense increased primarily due to an $80.4 million decrease in capitalized interest with the opening of Encore. Also increasing interest expense was approximately $8.4 million of interest related to the old 2017 notes issued in October 2009. These increases were offset by lower interest rates on our variable rate debt and lower average balances outstanding during 2009 compared to the prior year.</w:t>
      </w:r>
    </w:p>
    <w:p>
      <w:pPr>
        <w:spacing w:after="0" w:line="9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increase (or decrease) in swap fair value in each year. We recorded an expense of approximately $4.2 million for the year ended December 31, 2009, resulting from the decrease in the fair value of our interest rate swap from August 2009 (the date we entered into the agreement) to December 31, 2009. We recorded an expense of approximately $0.4 million for the year ended December 31, 2008 resulting from the decrease in the fair value of our interest rate swap from December 31, 2007 to December 31, 2008.</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recorded a loss on early extinguishment of debt of $3.8 million during the year ended December 31, 2009. Through an offer to purchase loans outstanding under the Wynn Las Vegas credit agreement, we purchased loans with a face-value of $87.6 million for $84.4 million, reflecting a discounted price of 96.37%. In connection with this transaction, we recognized a gain of approximately $2.1 million on early retirement of debt in the fourth quarter of 2009. Offsetting this gain was the write-off of deferred financing costs totaling $5.7 million in connection with the permanent reduction in the availability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2008 compared to financial results for the year ended December 31, 2007.</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Net revenues for the year ended December 31, 2008 were comprised of $479.7 million in net casino revenues (43.6% of total net revenues) and $620.2 million of net non-casino revenues (56.4% of total net revenues). Net revenues for the year ended December 31, 2007 were comprised of $642.3 million in net casino revenues (49.6% of total net revenues) and $653.5 million of net non-casino revenues (50.4% of total net revenues). Our results for 2008 include the 10 days of operations at Encore which opened December 22, 2008.</w:t>
      </w:r>
    </w:p>
    <w:p>
      <w:pPr>
        <w:spacing w:after="0" w:line="14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2008 of approximately $479.7 million represents a decrease of approximately $162.6 million (or 25.3%) from casino revenues of $642.3 million for the year ended December 31, 2007. For the year ended December 31, 2008, we experienced a 7.1% decrease in drop and our average table games win percentage (before discounts) of 20.0% was below the expected range of 21% to 24%. During the year ended December 31, 2007, our average table games win percentage (before discounts) was 25.3%. Slot handle decreased 12.9% during the year ended December 31, 2008 as compared to 2007, and our slot win percentage for the years ended December 31, 2008 and 2007 were within the expected range of 4.5% and 5.5%. As noted above, we believe the decrease in casino volumes reflect the overall slowdown in the global economy. In the fourth quarter of 2008, casino revenue at Wynn Las Vegas, including Encore, declined 43.3% compared to the fourth quarter of 2007 as a result of a decrease in table games drop of 20.2% and a decline in our average table games win percentage to 15.3% compared to</w:t>
      </w:r>
    </w:p>
    <w:p>
      <w:pPr>
        <w:spacing w:after="0" w:line="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23.5% in the prior year fourth quarter. Slot handle at Wynn Las Vegas, including Encore, decreased 22.7% during the fourth quarter of 2008 compared to the fourth quarter of 2007.</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2008, room revenues were approximately $268.5 million, which represents a $17.2 million (or 6%) decrease from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$285.7 million generated for the year ended December 31, 2007. The decrease is primarily driven by decreased occupancy and rates at Wynn Las Vegas, offset by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revenues generated from the 10 days of operations at Encore. In the fourth quarter of 2008, room revenue at Wynn Las Vegas, including Encore, declined by 14%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our occupancy percentage declined 14.6% and the average daily rate declined 6%, all compared to the fourth quarter of 2007. Room rates have continued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decline as the economic slow down reduces demand for our product.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 for Wynn Las Vegas, including Encore.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4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2008</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w:t>
            </w:r>
          </w:p>
        </w:tc>
        <w:tc>
          <w:tcPr>
            <w:tcW w:w="8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Occupancy</w:t>
            </w:r>
          </w:p>
        </w:tc>
        <w:tc>
          <w:tcPr>
            <w:tcW w:w="3940" w:type="dxa"/>
            <w:vAlign w:val="bottom"/>
            <w:gridSpan w:val="3"/>
          </w:tcPr>
          <w:p>
            <w:pPr>
              <w:jc w:val="right"/>
              <w:ind w:right="672"/>
              <w:spacing w:after="0"/>
              <w:rPr>
                <w:sz w:val="20"/>
                <w:szCs w:val="20"/>
                <w:color w:val="auto"/>
              </w:rPr>
            </w:pPr>
            <w:r>
              <w:rPr>
                <w:rFonts w:ascii="Arial" w:cs="Arial" w:eastAsia="Arial" w:hAnsi="Arial"/>
                <w:sz w:val="18"/>
                <w:szCs w:val="18"/>
                <w:color w:val="auto"/>
              </w:rPr>
              <w:t>91.8%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96.0%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w:t>
            </w:r>
          </w:p>
        </w:tc>
        <w:tc>
          <w:tcPr>
            <w:tcW w:w="8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Other non-casino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Other non-casino revenues for the year ended December 31, 2007 included food and beverage revenues of approximately $311 million, retail revenues of approximately $94.8 million, entertainment revenues of approximately $64.5 million, and other revenues from outlets, including the spa and salon, of approximately $50.2 million. Food and beverage revenues and retail revenues declined in 2008 as compared to 2007 as a result of fewer customers and customers spending less due to current economic conditions. Entertainment revenues increased approximately $10.9 million from Le Rêve at Wynn Las Vegas, offset by a decrease of $9.2 million due to the close of Spamalot in mid-July 2008. Together with the producers, we elected to end Spamalot’s run at Wynn Las Vegas in July 2008 pursuant to the terms of our contract.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2008, departmental expenses included casino expenses of $258 million, rooms expenses of $73.8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$188.5 million, and entertainment, retail and other expenses of $132.9 million. General and administrative expenses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$199.5 million and approximately $24.9 million charged as a provision for doubtful accounts receivable. During the year ended December 31, 2007, departmental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included casino expenses of $276.5 million, room expenses of $75.8 million, food and beverage expenses of $192.5 million, and entertainment, retail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expenses of $145.5 million. Also included are general and administrative expenses of approximately $199.8 million and approximately $21.1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charged as a provision for doubtful accounts receivable. Departmental expenses decreased commensurate with the decrease in revenues.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increased with the opening of Encore, offset by a reduction in employee bonuses for the year ended December 31, 2008. Our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doubtful accounts receivable increased compared to the prior year primarily due to an additional provision in light of global economic uncertainties.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$16.5 million for the year ended December 31, 2008 compared to $19.5 million for the prior year as a result of decreased revenues.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Pre-opening costs for the year ended December 31, 2008 of $72.4 million increased by $65.9 million compared to the $6.5 million incurred during the year ended December 31, 2007. Pre-opening costs for the year ended December 31, 2008 relate to Encore. Pre-opening costs related to Encore ceased once it opened on December 22,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Depreciation and amortization expense for the year ended December 31, 2008 was $169.6 million, an increase of $16.8 million compared to the $152.8 million incurred in the year ended December 31, 2007. This increase related primarily to shortened estimated lives, beginning in March 2008, of certain hotel room furniture, fixtures and equipment at Wynn Las Vegas based on a planned room renovation and the opening of Encore.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construction of Wynn Las Vegas and Encore, costs incurred in the construction of the buildings, improvements to land and the purchases of assets for use in operations were capitalized. Once Wynn Las Vegas and Encore opened on April 28, 2005 and December 22, 2008, respectively, these assets were placed into service and we began recognizing the associated depreciation expense.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2008 of $22.4 million increased by $16.4 million compared to the $6 million incurred for the year ended December 31, 2007.</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upon our evaluation of Wynn Las Vegas and the reactions of our guests, we continue to make enhancements and refinements to Wynn Las Vegas. Costs relating to assets retired as a result of these enhancement and remodel efforts have been expensed as property charges. During the year ended December 31, 2008, property charges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Property charges for the year ended December 31, 2007 were related to renovations to portions of the Le Rêve Theater, the abandonment of a marquee sign, the conversion of two retail outlets and a nightclub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properties.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Interest income was $4.8 million for the year ended December 31, 2008, a decrease of $9.4 million compared to $14.2 million for the year ended December 31, 2007. This decrease was primarily due to reduced interest income earned on invested cash balances during the year ended December 31, 2008 compared to 2007 as our cash was used to fund costs related to the development and construction of Encore, along with a decrease in interest rates on our invested cash balance.</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Interest expense was $75.9 million, net of capitalized interest of $80.4 million for the year ended December 31, 2008 compared to $86.1 million, net of capitalized interest of $33.6 million, for the year ended December 31, 2007. Interest expense increased approximately $24.1 million related to the additional $400</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million of 2014 notes issued in November 2007 and approximately $12.5 million net related to borrowings under our credit facilities and other. This increase was offset by an approximate $46.8 million increase in capitalized interest due to the construction costs of Encore. In future periods, interest expense will increase significantly as we no longer capitalize such costs with the opening of Encore.</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an increase (decrease) in swap fair value. We recorded a decrease in swap fair value of approximately $0.4 million for the year ended December 31, 2008 and a decrease in swap fair value of approximately $4.4 million for the year ended December 31, 2007 resulting from a decrease in the fair value of our interest rate swap from December 31, 2007 to December 31, 2008 and a decrease in the fair value of our interest rate swap from December 31, 2006 to December 31, 2007,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Loss on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w:t>
      </w:r>
    </w:p>
    <w:p>
      <w:pPr>
        <w:spacing w:after="0" w:line="218"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Net cash provided by operations for the three months ended March 31, 2010 was $9.9 million compared to $4.7 million used in operations for the three months ended March 31, 2009. Operating cash flows were positively impacted by an improvement in operating income and benefits from ordinary working capital changes.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provided by operations for the year ended December 31, 2009 was $80.4 million compared to $135.1 million provided by operations for the year ended December 31, 2008. Operating cash flows were negatively impacted by increased interest as we no longer capitalized such cost with the opening of Encore in 2008, a decrease in departmental profit due to current economic conditions and the opening of Encore, and decreased benefits from ordinary working capital changes, offset by decreases in pre-opening costs that were incurred during 2008 related to Encore.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March 31, 2010, we had approximately $46.5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We anticipate such funds, together with any other cash needs during 2010 in excess of what we generate from operations or additional borrowings, will be provided with capital contributions from Wynn Resorts. As of March 31, 2010, we had approximately $185.3 million available to draw under our Wynn Las Vegas credit facilities.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December 31, 2009, we had approximately $66.4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As of December 31, 2009, we had $185 million of availability under our senior revolving credit facility. We anticipate such funds, together with any other cash needs during 2010 in excess of what we generate from operations or additional borrowings, will be provided with capital contributions from Wynn Resorts.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scheduled quarterly payments on one note payable, we have no debt maturities until September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Capital expenditures were approximately $35.5 million for the three months ended March 31, 2010, and related primarily to the Encore Beach Club. Capital expenditures were approximately $245 million for the year ended December 31, 2009, and were related primarily to cash payments on construction and retention payables for Encore. Capital expenditures were approximately $1.1 billion for the year ended December 31, 2008 and were almost entirely related to the construction of Encore.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15, 2005, Wynn Las Vegas, LLC loaned $80 million to Wynn Resorts. In July 2008, Wynn Resorts repaid the $80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2010,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March 31, 2010, we had borrowed $252.7 million under the Wynn Las Vegas Revolver. We also had $19.9 million of outstanding letters of credit that reduce our availability under the Wynn Las Vegas Revolver. Consequently, we have availability of $185.3 million under the Wynn Las Vegas Revolver as of March 31, 2010.</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year ended December 31, 2009, Wynn Resorts made capital contributions to us in the amount of $413 million. The proceeds from these contributions were used to fund construction costs of Encore paid during the year, to fund the paydown on the Wynn Las Vegas Revolver pursuant to the fourth amendment to our credit facilities, and to fund the offer to purchase loans outstanding under the Credit Agreement described below.</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26, 2010, the Issuers commenced an offer to exchange their outstanding 2014 notes for the old 2020 notes,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old 2020 notes were offered only to qualified institutional buyers and outside the United States in accordance with Rule 144A and Regulation S, respectively, under the Securities Act. As of April 23, 2010, the exchange offer expiration date, approximately $382 million of the 2014 notes were validly tendered for exchange for old 2020 notes. This includes $30 million of the 2014 notes that were purchased by Wynn Resorts in 2009. The exchange offer closed on April 28, 2010.</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2020 notes rank pari passu in right of payment with borrowings under the Wynn Las Vegas Credit Facilities, the 2014 notes and the Issuers’ 2017 notes. The 2020 notes are senior secured obligations of the Issuers, are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the Wynn Las Vegas Credit Facilities, the 2014 notes and the 2017 notes.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described below, during the year ended December 31, 2009, we (a) extended the maturity of the Wynn Las Vegas Revolver, (b) received relief from certain financial covenants, (c) increased the Wynn Las Vegas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Revolver by $65 million, (d) repurchased $87.6 million of Wynn Las Vegas Revolver loans at a discount, and (e) used the net proceeds received from the issuance of the old 2017 notes to repay amounts outstanding, including a permanent reduction in the Wynn Las Vegas Credit Facilities of $360 million.</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2009, we entered into a fourth amendment to our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and (iii) 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we expanded the availability of the Wynn Las Vegas Revolver by $65 million.</w:t>
      </w:r>
    </w:p>
    <w:p>
      <w:pPr>
        <w:spacing w:after="0" w:line="194"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In September 2009, we entered into a fifth amendment to our Credit Agreement. This amendment, among other things, permitted the issuance of the old 2017 notes and required that 75% of the net cash proceeds from such issuance be applied to prepay loans and reduce commitments under the Credit Agreement.</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October 2009, the Issuers issued, in a private offering, $500 million aggregate principal amount of old 2017 notes at a price of 97.823% of the principal amount. The old 2017 notes rank pari passu with the borrowing under the Wynn Las Vegas Credit Facilities, the outstanding 2020 notes and the outstanding 2014 notes issued by the Issuers. The old 2017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described above, we used the proceeds of this offering to repay amounts outstanding under the Wynn Las Vegas Revolver and Wynn Las Vegas Term Loan.</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Wynn Las Vegas Term Loan will be payable in two installments of $40.2 million each on September 30, 2012 and August 15, 2013. The Wynn Las Vegas Revolver matures on July 15, 2013.</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borrowings under the Wynn Las Vegas Revolver we have historically elected Eurodollar loans, which bear interest at 1-month LIBOR and currently include a margin of 3.0% on the outstanding balance. We also incur a fee of 1.0% on the daily average of unborrowed amounts. For borrowings under the Wynn Las Vegas Term Loan we have historically elected Eurodollar loans, which bear interest at 1-month LIBOR and currently include a margin of 1.875% on the outstanding balance.</w:t>
      </w:r>
    </w:p>
    <w:p>
      <w:pPr>
        <w:spacing w:after="0" w:line="143" w:lineRule="exact"/>
        <w:rPr>
          <w:sz w:val="20"/>
          <w:szCs w:val="20"/>
          <w:color w:val="auto"/>
        </w:rPr>
      </w:pPr>
    </w:p>
    <w:p>
      <w:pPr>
        <w:ind w:right="480" w:firstLine="456"/>
        <w:spacing w:after="0" w:line="323" w:lineRule="auto"/>
        <w:rPr>
          <w:sz w:val="20"/>
          <w:szCs w:val="20"/>
          <w:color w:val="auto"/>
        </w:rPr>
      </w:pPr>
      <w:r>
        <w:rPr>
          <w:rFonts w:ascii="Arial" w:cs="Arial" w:eastAsia="Arial" w:hAnsi="Arial"/>
          <w:sz w:val="15"/>
          <w:szCs w:val="15"/>
          <w:color w:val="auto"/>
        </w:rPr>
        <w:t>The Wynn Las Vegas Credit Facilities are an obligation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Agreement rank pari passu in right of payment with their existing and future senior indebtedness, including indebtedness with respect to the 2014 notes and the old notes and senior in right of payment to all of their existing and future subordinated indebtedness.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Wynn Las Vegas Credit Agreement contains a requirement that we must make mandatory repayments of indebtedness from specified percentages of excess cash flow. If Wynn Las Vegas meets a Consolidated Leverage Ratio, as defined in the Credit Agreement, of greater than 3.5:1, such repayment is defined as 50% of Excess Cash Flow, as defined in the Credit Agreement. If the Consolidated Leverage Ratio is equal to or less than 3.5:1,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2010, and therefore we do not expect to make any mandatory repayments pursuant to this requirement during 2010.</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Wynn Las Vegas Credit Agreement contains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 maintain a Consolidated Interest Coverage Ratio, as defined, not less than 1.25 : 1 as of March 31, 2010. Management believes that we were in compliance with all covenants at March 31, 2010. We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March 31, 2010, we had $19.9 million of outstanding letters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2009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1"/>
                <w:szCs w:val="11"/>
                <w:color w:val="auto"/>
              </w:rPr>
            </w:pPr>
          </w:p>
        </w:tc>
        <w:tc>
          <w:tcPr>
            <w:tcW w:w="96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4 to 5</w:t>
            </w:r>
          </w:p>
        </w:tc>
        <w:tc>
          <w:tcPr>
            <w:tcW w:w="84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5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$531.5</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304.0</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294.6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111.6</w:t>
            </w:r>
          </w:p>
        </w:tc>
        <w:tc>
          <w:tcPr>
            <w:tcW w:w="620" w:type="dxa"/>
            <w:vAlign w:val="bottom"/>
          </w:tcPr>
          <w:p>
            <w:pPr>
              <w:jc w:val="right"/>
              <w:spacing w:after="0"/>
              <w:rPr>
                <w:sz w:val="20"/>
                <w:szCs w:val="20"/>
                <w:color w:val="auto"/>
              </w:rPr>
            </w:pPr>
            <w:r>
              <w:rPr>
                <w:rFonts w:ascii="Arial" w:cs="Arial" w:eastAsia="Arial" w:hAnsi="Arial"/>
                <w:sz w:val="18"/>
                <w:szCs w:val="18"/>
                <w:color w:val="auto"/>
              </w:rPr>
              <w:t>862.2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266.8</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430.4</w:t>
            </w:r>
          </w:p>
        </w:tc>
        <w:tc>
          <w:tcPr>
            <w:tcW w:w="3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2,332.8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647.1</w:t>
            </w:r>
          </w:p>
        </w:tc>
        <w:tc>
          <w:tcPr>
            <w:tcW w:w="3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3,677.1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2009. Such rates are at historical lows as of December 31, 2009. Actual rates will vary.</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restricted under the indentures governing the 2014 notes, the 2017 notes and the 2020 notes from making certain “restricted payments” as defined in the indentures. These restricted payments include the payment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of dividends or distributions to any direct or indirect holders of equity interests of Wynn Las Vegas, LLC. The restricted payments may not be made until certain other financial and non-financial criteria have been satisfied. In addition, the Credit Facilities contain similar restrictions.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Wynn Las Vegas and Encore will fund their operations and capital requirements from operating cash flow, availability under our Credit Facilities, and to the extent required and available, from capital contributions from Wynn Resorts. We cannot be sure that Wynn Las Vegas and Encore will generate sufficient cash flow from operations or that future borrowings or contributions from Wynn Resorts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143"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6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future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begin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and Encore.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March 31, 2010, December 31, 2009 and December 31, 2008, approximately 71%, 68% and 69%, respectively, of our casino accounts receivable were owed by customers from foreign countries, primarily in Asia. The collectability of markers given by foreign customers is affected by a number of factors including changes in currency exchange rates, business or economic conditions or other significant events in the customers’ home countries.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162,427</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149,786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142,515</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71,448</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66,328</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64,530</w:t>
            </w:r>
          </w:p>
        </w:tc>
        <w:tc>
          <w:tcPr>
            <w:tcW w:w="2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7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44.0%</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44.3%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08"/>
        </w:trPr>
        <w:tc>
          <w:tcPr>
            <w:tcW w:w="51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w:t>
            </w:r>
          </w:p>
        </w:tc>
        <w:tc>
          <w:tcPr>
            <w:tcW w:w="1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days</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35.3%</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37.9%</w:t>
            </w: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1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March 31, 2010, a 100 basis-point change in the allowance for doubtful accounts as a percentage of casino accounts receivable would change the provision for doubtful accounts by approximately $1.6 million.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changes in a region’s economy or legal system.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As of March 31, 2010, changes in the swap fair values are being recorded in our Consolidated Statements of Operations, as the swaps do not qualify for hedge accounting.</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these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share-based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issued by Wynn Resorts.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granted by Wynn Resorts. We estimate the expected stock price volatility using a combination of implied and historical factors related to Wynn Resorts’ stock price in accordance with applicable accounting standards. As Wynn Resorts’ stock price fluctuates, this estimate will change. For example, a 10% change in the volatility assumption for 2009 would have resulted in an approximate $1.8 million change in fair value. Expected term represents the estimated average time between the option’s grant date and its exercise date. Because of Wynn Resorts’ limited trading history as a public company we have elected to use the simplified method prescribed by applicable accounting standards, for companies with a limited trading history to estimate the expected term. Once Wynn Resorts has sufficient trading history, we will estimate the expected term using historical experience for options that have been granted to employees within Wynn Resorts’ stock option plan. A 10% change in the expected term assumption for 2009 would have resulted in an approximate $1.0 million change in fair value. These assumed changes in fair value would have been recognized over the vesting schedule of such awards.</w:t>
      </w:r>
    </w:p>
    <w:p>
      <w:pPr>
        <w:spacing w:after="0" w:line="12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the three months ended March 31, 2010 and 2009, the Company recorded $2.9 million and $2.2 million, respectively, in share-based compensation with a corresponding credit to contributed capital.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adoption of these new accounting standards did not have a material effect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2009 on our expected long-term indebtedness. However, we cannot predict the LIBOR rate that will be in effect in the future. As of December 31, 2009, such rates were at historic lows. Actual rates will vary. The one-month LIBOR rate at December 31, 2009 of 0.23% was used for all variable rate calculations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89"/>
              </w:rPr>
              <w:t>As of December 31,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60" w:type="dxa"/>
            <w:vAlign w:val="bottom"/>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8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5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Fixed rate</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1,700.0</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Variable rate</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$41.6</w:t>
            </w:r>
          </w:p>
        </w:tc>
        <w:tc>
          <w:tcPr>
            <w:tcW w:w="1140" w:type="dxa"/>
            <w:vAlign w:val="bottom"/>
            <w:gridSpan w:val="3"/>
          </w:tcPr>
          <w:p>
            <w:pPr>
              <w:jc w:val="right"/>
              <w:ind w:right="412"/>
              <w:spacing w:after="0"/>
              <w:rPr>
                <w:sz w:val="20"/>
                <w:szCs w:val="20"/>
                <w:color w:val="auto"/>
              </w:rPr>
            </w:pPr>
            <w:r>
              <w:rPr>
                <w:rFonts w:ascii="Arial" w:cs="Arial" w:eastAsia="Arial" w:hAnsi="Arial"/>
                <w:sz w:val="18"/>
                <w:szCs w:val="18"/>
                <w:color w:val="auto"/>
              </w:rPr>
              <w:t>$294.3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1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63"/>
        </w:trPr>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2010,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Consolidated Statements of Operations as the swap does not qualify for hedge accounting.</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As of March 31, 2010, our interest rate swap had an approximate liability fair value of $6.5 million and is included in long-term liabilities in the accompanying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2009 and using estimated future LIBOR rates based upon implied forward rates in the yield curve.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4"/>
                <w:szCs w:val="14"/>
                <w:b w:val="1"/>
                <w:bCs w:val="1"/>
                <w:color w:val="auto"/>
                <w:w w:val="91"/>
              </w:rPr>
              <w:t>Expected Maturity Date</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ind w:left="120"/>
              <w:spacing w:after="0"/>
              <w:rPr>
                <w:sz w:val="20"/>
                <w:szCs w:val="20"/>
                <w:color w:val="auto"/>
              </w:rPr>
            </w:pPr>
            <w:r>
              <w:rPr>
                <w:rFonts w:ascii="Arial" w:cs="Arial" w:eastAsia="Arial" w:hAnsi="Arial"/>
                <w:sz w:val="12"/>
                <w:szCs w:val="12"/>
                <w:b w:val="1"/>
                <w:bCs w:val="1"/>
                <w:color w:val="auto"/>
                <w:w w:val="81"/>
              </w:rPr>
              <w:t>(in</w:t>
            </w: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5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1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Average pay rate</w:t>
            </w:r>
          </w:p>
        </w:tc>
        <w:tc>
          <w:tcPr>
            <w:tcW w:w="116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72"/>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2010, approximately 95% of our long-term debt was based on fixed rates, including the notional amount related to our interest rate swap.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March 31, 2010, an assumed 1% change in variable rates would cause our annual interest cost to change by $1.2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Encore, which is located adjacent to and is connected with Wynn Las Vegas. Wynn Las Vegas, LLC was formed on April 17, 2001 as a Nevada limited liability company. The sole member of the Wynn Las Vegas, LLC is Wynn Holdings. The sole member of Wynn Holdings is Wynn Resorts.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Capital is a wholly owned subsidiary of Wynn Las Vegas, LLC, incorporated on June 3, 2002, solely for the purpose of obtaining financing for Wynn Las Vegas. Wynn Capital is authorized to issue 2,000 shares of common stock, par value $0.01. At December 31, 2009, Wynn Las Vegas, LLC owned the one share that was issued and outstanding. Wynn Capital has neither any significant net assets nor any operating activity. Its sole function is to serve as the co-issuer of the 2020 notes, the 2017 notes and the 2014 notes.</w:t>
      </w:r>
    </w:p>
    <w:p>
      <w:pPr>
        <w:spacing w:after="0" w:line="14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Due to a number of factors, including disruptions in global economies, stagnant credit markets, and reduced consumer spending, 2009 was a difficult year for the U.S. casino resort business. Auto traffic into Las Vegas, airline capacity and air travel to McCarran International Airport has declined, resulting in lower casino volumes and a reduced demand for hotel rooms. The current adverse global economic conditions, as well as the addition of new supply in late 2009, will likely continue to cause us to experience lower than historical hotel occupancy rates, room rates, casino volumes and profitability.</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We opened Encore on December 22, 2008. Prior to April 28, 2005, we were solely 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Wynn Las Vegas opened on April 28, 2005. Wynn Las Vegas offers exceptional accommodations, amenities and service with 2,716 rooms and suites, including 36 fairway villas and 6 private-entry villas for our premium guests. The Tower Suites at Wynn Las Vegas has received both the Forbes five-star and</w:t>
      </w:r>
    </w:p>
    <w:p>
      <w:pPr>
        <w:ind w:firstLine="8"/>
        <w:spacing w:after="0" w:line="261"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3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approximately 110,000 square foot casino features approximately 140 table games, a baccarat salon, private VIP gaming rooms, a poker room, approximately 1,875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Encore is located immediately adjacent to and is connected with Wynn Las Vegas and features a 2,034 all-suite hotel as well as an approximately 76,000 square foot casino with approximately 80 table games, a baccarat salon, private VIP gaming rooms, approximately 800 slot machines and a sports book. In its first full year of operations, the Encore Tower Suites has received both the Forbes five-star and AAA five-diamond awards. The Spa at Encore also earned five-star recognition from Forbes. The resort’s 12 food and beverage outlets include five restaurants, many of which feature award winning chefs. Encore also offers a night club,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opened on May 28,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Wynn Las Vegas and Encore. We have incurred and will continue to incur these capital expenditures at Wynn Las Vegas and Encore.</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Approximately 142 acres of land adjacent to both Wynn Las Vegas and Encore is currently improved with a golf course. While we may develop this property in the future, due to the economic environment and certain restrictions in our credit facilities, we have no immediate plans to do so.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continually seek out new opportunities for additional gaming or related businesses, in Las Vegas, other markets in the United States and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customer. Wynn Las Vegas and Encore are located on the Las Vegas Strip and compete with other high-quality resorts and hotel casinos on the Strip, those in downtown Las Vegas, as well as a large number of hotels in and near Las Vegas. Many competing properties, such as the Bellagio, Caesars Palace, Luxor Hotel and Casino, Mandalay Bay Resort &amp; Casino, The Mirage, New York-New York Hotel and Casino, Paris Las Vegas, Treasure Island, The Venetian, The Palazzo, the recently opened City Center and others, draw a significant number of visitors and directly compete with our operations. We seek to differentiate Wynn Las Vegas and Encore from other major Las Vegas resorts by concentrating on our fundamental elements of design, atmosphere, personal service and luxury.</w:t>
      </w:r>
    </w:p>
    <w:p>
      <w:pPr>
        <w:spacing w:after="0" w:line="10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Wynn Las Vegas and Encore face additional competition from new multi-billion dollar resorts including, without limitation, City Center which added approximately 6,000 rooms in 2009. Cosmopolitan, a $3.9 billion condo/hotel/casino resort located on the Las Vegas Strip, and the remaining phases of City Center are expected to open in 2010.</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2009, the economic environment in the gaming and hotel markets in Las Vegas continued to experience declines including among other things, a 3.0% decrease in visitation to 36.4 million visitors, a 9.4% decrease in Las Vegas Strip gaming revenue and a 22% decrease in average daily room rates, all as compared to the year ended December 2008. We, along with our competitors, have responded to the deterioration in consumer spending by aggressively marketing and pricing our Las Vegas offerings.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Operating Environment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the outlook for the gaming, travel and entertainment industries continues to remain highly uncertain. This slow down was particularly significant in the fourth quarter of 2008 and has continued throughout the first quarter of 2010. Based on our experience over this past year and current market conditions, we believe that our operations will continue to experience lower than historical hotel occupancy rates, room rates, casino volumes and departmental profitability. Significant new supply in Las Vegas has and will continue to put additional pressure on occupancy and room rates during 2010.</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the current economic and market conditions, we have focused on efficiency initiatives that we began implementing at our resort complex and corporate offices in early 2009. We continually review the cost structure of our operating properties and corporate offices to identify further opportunities to reduce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Encore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and Encore, has been approved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Capital., a co-issuer of the debt securities, was not required to be registered or licensed, but may be required to be found suitable as a lender or financing source.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prospectus have been filed. However, the Nevada Gaming Authorities may require additional applications and may also deny an application for licensing for any reason which they deem appropriate.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Encore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company’s voting securities for investment purposes only. Activities which are not deemed to be inconsistent with holding voting securities for investment purposes only include:</w:t>
      </w:r>
    </w:p>
    <w:p>
      <w:pPr>
        <w:spacing w:after="0" w:line="5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Approval of Public Offerings. </w:t>
      </w:r>
      <w:r>
        <w:rPr>
          <w:rFonts w:ascii="Arial" w:cs="Arial" w:eastAsia="Arial" w:hAnsi="Arial"/>
          <w:sz w:val="18"/>
          <w:szCs w:val="18"/>
          <w:color w:val="auto"/>
        </w:rPr>
        <w:t>We may not make a public offering without the prior approval of the Nevada Gaming Commission if the proceeds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are intended to be used to construct, acquire or finance gaming facilities in Nevada, or to retire or extend obligations incurred for those purposes or for similar transactions. On March 19, 2009,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Foreign Gaming Investigations. </w:t>
      </w:r>
      <w:r>
        <w:rPr>
          <w:rFonts w:ascii="Arial" w:cs="Arial" w:eastAsia="Arial" w:hAnsi="Arial"/>
          <w:sz w:val="18"/>
          <w:szCs w:val="18"/>
          <w:color w:val="auto"/>
        </w:rPr>
        <w:t>Any person who is licensed, required to be licensed, registered, required to be registered in Nevada, or is under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20" w:hanging="446"/>
        <w:spacing w:after="0" w:line="357"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and Encore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we had a total of approximately 12,200 employees.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2006, we entered into a collective bargaining agreement with the Culinary and Bartenders Union local covering approximately 5,800 of our employees. In May 2007, the dealers at Wynn Las Vegas elected the Transportation Workers Union to represent them. Contract negotiations have concluded with the only remaining item being the duration of the contract. The negotiated agreement is subject to ratification by the bargaining unit and the Transportation Workers Union has advised us that they have recommended ratification to the affected employees. Certain other unions may seek to organize the workers at Wynn Las Vegas and Encore. Unionization, pressure to unionize, or other forms of collective bargaining could increase our labor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most important marks are our trademarks and service marks that use the name “WYNN”. Wynn Holdings has filed applications with the PTO and various foreign patent and trademark registries, to register a variety of the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a mark primarily constituting a surname) is not registerable unless the surname has acquired “secondary meaning.” To date, Wynn Holdings has been successful in demonstrating to the PTO such secondary meaning for the Wynn name in certain of the applications based upon Mr. Wynn’s prominence as a resort developer.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We have retained counsel and intend to take all steps necessary to not only acquire, but protect our intellectual property rights against unauthorized use throughout the world.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granted Wynn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Land</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currently own approximately 240 acres of land on or near the Las Vegas Strip. This consists of approximately 75 acres at the northeast corner of the intersection of Las Vegas Boulevard and Sands Avenue on which Wynn Las Vegas and Encore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the 2020 notes, the 2017 notes, the 2014 notes and our credit facilities.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Water Rights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March 1, 2010.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680" w:type="dxa"/>
            <w:vAlign w:val="bottom"/>
          </w:tcPr>
          <w:p>
            <w:pPr>
              <w:spacing w:after="0"/>
              <w:rPr>
                <w:sz w:val="14"/>
                <w:szCs w:val="14"/>
                <w:color w:val="auto"/>
              </w:rPr>
            </w:pPr>
          </w:p>
        </w:tc>
      </w:tr>
      <w:tr>
        <w:trPr>
          <w:trHeight w:val="201"/>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Russell Goldsmith</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Macau</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89"/>
              </w:rPr>
              <w:t>Senior Vice President and Chief Financial Officer,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Robert Gansmo</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90"/>
              </w:rPr>
              <w:t>Vice President and Chief Financial Officer, Wynn Resorts (Macau), S.A.</w:t>
            </w:r>
          </w:p>
        </w:tc>
      </w:tr>
    </w:tbl>
    <w:p>
      <w:pPr>
        <w:spacing w:after="0" w:line="15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directors and the non-director executive officers and certain key management personnel of Wynn Resorts.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 Directors (Terms expire at the 2012 Annual Meeting of Stockholders)</w:t>
      </w:r>
    </w:p>
    <w:p>
      <w:pPr>
        <w:spacing w:after="0" w:line="84"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43, has served as a director of Wynn Resorts since October 2007. Ms. Chen serves as the President of Wynn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Limited, a wholly-owned indirect subsidiary of Wynn Resorts, a position she has held since January 2005. In addition, Ms. Chen is the Chief Operating Officer of Wynn Resorts (Macau), S.A., a wholly owned indirect subsidiary of Wynn Resorts, a role she has served in since June 2002, and is a member of the Board of Directors of Wynn Macau. Ms. Chen is responsible for managing the Wynn Resorts’ global marketing efforts and is involved in the operations and strategic development of Wynn Macau. Ms. Chen has a Bachelor of Science degree in Hotel Administrations from Cornell University and is a graduate of the Stanford Graduate School of Business Executive Development Program.</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Ms. Chen’s insights and experience as the primary marketing executive for Wynn Resorts’ Asian operations contributes to the Board’s ability to evaluate and make informed decisions that affect those operations. This experience becomes ever more important to Wynn Resorts and its stockholders as the percentage of the Wynn Resorts’ operational revenue and profits generated from its Macau operations increases.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60"/>
          </w:cols>
          <w:pgMar w:left="240" w:top="459" w:right="3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John A. Moran. </w:t>
      </w:r>
      <w:r>
        <w:rPr>
          <w:rFonts w:ascii="Arial" w:cs="Arial" w:eastAsia="Arial" w:hAnsi="Arial"/>
          <w:sz w:val="18"/>
          <w:szCs w:val="18"/>
          <w:color w:val="auto"/>
        </w:rPr>
        <w:t>Mr. Moran, 78, has served as a director of Wynn Resorts since October 2002. Mr. Moran was with The Dyson-Kissner-Moran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private investment entity, from 1967 and retired as Chairman of the Board in 1994.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14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With his extensive knowledge of the Wynn Resorts’ background, development and financing arrangements and his experience with financing and equity markets, Mr. Moran provides the Board insight that is important to the Board’s oversight of the Wynn Resorts’ financial structure. His guidance in the evaluation of capital deployment and management of the Wynn Resorts’ balance sheet is especially valuable. In addition, he brings to the Board experience in political and public policy matters.</w:t>
      </w:r>
    </w:p>
    <w:p>
      <w:pPr>
        <w:spacing w:after="0" w:line="13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Elaine Wynn, 67, has served as a director of Wynn Resorts since October 2002. In addition to her service as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1995 Elaine Wynn has co-chaired the Greater Las Vegas After-School All-Stars. She is the founding Chairperson of Communities-in-Schools of Nevada and, in 2009, was appointed as Chairperson of the National Board of Communities in Schools. Elaine Wynn is the former wife of Stephen A. Wynn.</w:t>
      </w:r>
    </w:p>
    <w:p>
      <w:pPr>
        <w:spacing w:after="0" w:line="10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Elaine P. Wynn has been a creative partner of Stephen A. Wynn and has contributed to the development of the Wynn Resorts’ properties. In addition, her significant community and philanthropic contributions have guided the Wynn Resorts’ efforts in these areas.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 Directors (Terms expire at the 2010 Annual Meeting of Stockholders)</w:t>
      </w:r>
    </w:p>
    <w:p>
      <w:pPr>
        <w:spacing w:after="0" w:line="84"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68, has served as Chairman of the Board and Chief Executive Officer of Wynn Resorts since June 2002. Mr. Wynn also</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the Chairman and Chief Executive Officer of Wynn Macau and as an officer and/or director of several of our subsidiaries. Mr. Wynn is the former husband of Elaine P. Wynn.</w:t>
      </w:r>
    </w:p>
    <w:p>
      <w:pPr>
        <w:spacing w:after="0" w:line="1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Wynn Resorts. Mr. Wynn’s senior leadership experience also enables him to provide insights and guidance and to assess and respond to situations encountered in serving on Wynn Resorts’s Board.</w:t>
      </w:r>
    </w:p>
    <w:p>
      <w:pPr>
        <w:spacing w:after="0" w:line="1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75, has served as a director of Wynn Resorts since October 2007. Dr. Irani is Chairman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Occidental Petroleum Corporation, an international oil and gas exploration and production company as well as a major North American chemical manufacturer, a position he has held since 1990.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 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 Dr. Irani received a B.S. degree in chemistry from the American University of Beirut in 1953 and a Ph.D. in physical chemistry from the University of Southern California in 1957.</w:t>
      </w:r>
    </w:p>
    <w:p>
      <w:pPr>
        <w:spacing w:after="0" w:line="11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After the opening of Wynn Macau in 2006, Wynn Resorts sought additional representation on the Board by executives with experience in managing international operations and with keen insight into international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relations, which are of increasing importance to Wynn Resorts. Dr. Irani was identified to the Nominating and Governance Committee as a potential director by Mr. Wynn and was elected to the Board of Directors in 2007 as a result of his extensive international experience with such matters as the long time Chairman and Chief Executive Officer of Occidental Petroleum Corporation, an international oil and gas exploration and production company with operations throughout the world.</w:t>
      </w:r>
    </w:p>
    <w:p>
      <w:pPr>
        <w:spacing w:after="0" w:line="13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71, has served as a director of Wynn Resorts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Frontier Bank, Western Community Bank Shares, and Huntsman Chemical Co.</w:t>
      </w:r>
    </w:p>
    <w:p>
      <w:pPr>
        <w:spacing w:after="0" w:line="10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Mr. Shoemaker has served on the Board of Directors of Wynn Resorts since its formation in 2002. With his extensive knowledge of Wynn Resorts’ background, development and financing arrangements and his deep experience as a financial executive serving as the Chairman of First Boston, Mr. Shoemaker contributes particularly to the Board’s oversight of Wynn Resorts’ financial matters. Mr. Shoemaker’s experience in this respect has continued to be important to Wynn Resorts during the current financial crisis, and enables him to provide strong leadership of the Audit Committee.</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57, has served as a director of Wynn Resorts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real estate and business ventures. From 2000 through May 2003, Mr. Wayson served as a member of the board of directors of MGM MIRAGE.</w:t>
      </w:r>
    </w:p>
    <w:p>
      <w:pPr>
        <w:spacing w:after="0" w:line="10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Wynn Resorts’ business and to provide insights to Wynn Resorts’ operations. Mr. Wayson has extensive operational experience in the casino finance area, beginning as casino controller and ultimately managing a resort casino property in Atlantic City, N.J. The Board is benefited from Mr. Wayson’s first hand experience in operations and utilizes his knowledge of the business, especially in the finance and marketing areas, to assist with its risk oversight responsibilities.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III Directors (Terms expire at the 2011 Annual Meeting of Stockholders)</w:t>
      </w:r>
    </w:p>
    <w:p>
      <w:pPr>
        <w:spacing w:after="0" w:line="8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60, has served as a director of Wynn Resorts since May 2008. Mr. Goldsmith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City National Bank, a provider of a wide range of banking, investing and trust services</w:t>
      </w:r>
      <w:r>
        <w:rPr>
          <w:rFonts w:ascii="Arial" w:cs="Arial" w:eastAsia="Arial" w:hAnsi="Arial"/>
          <w:sz w:val="16"/>
          <w:szCs w:val="16"/>
          <w:b w:val="1"/>
          <w:bCs w:val="1"/>
          <w:color w:val="auto"/>
        </w:rPr>
        <w:t>,</w:t>
      </w:r>
      <w:r>
        <w:rPr>
          <w:rFonts w:ascii="Arial" w:cs="Arial" w:eastAsia="Arial" w:hAnsi="Arial"/>
          <w:sz w:val="16"/>
          <w:szCs w:val="16"/>
          <w:color w:val="auto"/>
        </w:rPr>
        <w:t xml:space="preserve"> since 1995. Additionally, he has served as Chief Executive Officer and either President or Vice Chairman of its publicly held parent company, City National Corporation, since 1995. He has been a director of both the bank and its parent company since 1978. Mr. Goldsmith also serves on the Federal Reserve Board’s 12-member Federal Advisory Council, representing the Twelfth Federal Reserve District, and he serves on the Board of Directors of the Financial Services Roundtable.</w:t>
      </w:r>
    </w:p>
    <w:p>
      <w:pPr>
        <w:spacing w:after="0" w:line="11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our Board. His service on the Federal Reserve Board’s Advisory Council has brought additional perspective on the macroeconomic and public policy issues facing Wynn Resorts.</w:t>
      </w:r>
    </w:p>
    <w:p>
      <w:pPr>
        <w:spacing w:after="0" w:line="126"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67, has served as Vice Chairman of the Board of Wynn Resorts since October 2002. Mr. Okada also serves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In 1969, Mr. Okada founded Universal Lease Co. Ltd., which became Aruze Corp. in 1998. In November 2009, the name of Aruze Corp. was changed to Universal Entertainment Corporation (“Universal”) and is a Japanese manufacturer of pachislot and pachinko machines, amusement machines, and video games. Universal has been issued a manufacturer license by the Nevada Gaming Commission. The Nevada Gaming Commission has also approved Universal’s suitability as the 100% shareholder for a subsidiary, Aruze USA, Inc. Aruze USA has been found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suitable by the Nevada Gaming Commission as a major shareholder of Wynn Resorts. Mr. Okada currently serves as Director and Chairman of the Board of Universal and as Director, President, Secretary and Treasurer of Aruze USA. Aruze Gaming America is privately owned by Mr. Okada and holds manufacturer, distributor, and operator licenses from the Nevada Gaming Commission. Mr. Okada also serves as Director, President, Secretary and Treasurer of Aruze Gaming America, Inc.</w:t>
      </w:r>
    </w:p>
    <w:p>
      <w:pPr>
        <w:spacing w:after="0" w:line="143"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Mr. Okada, a founding stockholder along with Mr. Wynn, as well as Wynn Resorts’ Vice Chairman, brings an international perspective that is essential to Wynn Resorts’ strategic vision. In addition, his primary business as a manufacturer and developer of gaming equipment adds significant value to our operations.</w:t>
      </w:r>
    </w:p>
    <w:p>
      <w:pPr>
        <w:spacing w:after="0" w:line="5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Mr. Miller, 64, has served as a director of Wynn Resorts since October 2002. Since July 2005, he has been a principal of Dutko</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a multidisciplinary governmental affairs strategy and management firm. From January 1999 until he joined Dutko Worldwide, Mr. Miller was a partner of the Nevada law firm of Jones Vargas. He was a partner in Miller &amp; Behar Strategies from January 2003 to August 2007 and has been a partner in Nevada Rose, LLC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 Mr. Miller received a B.A. degree in political science from the University of Santa Clara in 1967 and a Juris Doctor from Loyola Law School in 1971.</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Governor Miller’s extensive experience in Nevada and federal politics brings unique expertise and insight into state regulatory and public policy issues that directly impact Wynn Resorts’ operations. In addition, his legal background and service as our Compliance Director and Chair of Wynn Resorts’ Compliance Committee is an important element of maintaining our regulatory structure and probity.</w:t>
      </w:r>
    </w:p>
    <w:p>
      <w:pPr>
        <w:spacing w:after="0" w:line="13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61, has served as a director of Wynn Resorts since October 2002. He is also Vice Chairman and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Wynn Macau. Mr. Zeman has been chairman of Lan Kwai Fong Holdings Limited, a Hong Kong based company engaged in property investment and development, since July 1996. Mr. Zeman is also chairman of Ocean Park, a major theme park in Hong Kong and serves on the Board of Directors of Pacific Century Premium Developments Limited (since 2004), Tsim Sha Tsui Properties Limited (since 2004) and Sino Land Company Limited (since 2004). In 2001, he was appointed a Justice of the Peace in Hong Kong and, in 2004, he was awarded the Gold Bauhinia Star by the Chief Executive of Hong Kong.</w:t>
      </w:r>
    </w:p>
    <w:p>
      <w:pPr>
        <w:spacing w:after="0" w:line="11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Mr. Zeman, a Hong Kong citizen and successful Hong Kong entrepreneur, has been a guiding force in the development of our Macau operations and the continued operation and strategic focus of Wynn Macau. His extensive knowledge of Wynn Resorts’ background, development and marketing strategy in Asia contribute to the Board’s oversight of these aspects of Wynn Resorts’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ind w:right="580" w:firstLine="456"/>
        <w:spacing w:after="0" w:line="339"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Operating Officer of Wynn Resorts, a position he has held since June 2002. Mr. Schorr also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Board of Directors of Wynn Macau and as an officer of several of Wynn Resorts’ other subsidiaries.</w:t>
      </w:r>
    </w:p>
    <w:p>
      <w:pPr>
        <w:spacing w:after="0" w:line="74"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Wynn Resorts.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Wynn Resorts, positions he had held since September 2002. Mr. Strzemp served as Wynn Resorts’ Treasurer from March 2003 to March 2006.</w:t>
      </w:r>
    </w:p>
    <w:p>
      <w:pPr>
        <w:spacing w:after="0" w:line="13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Matt Maddox. </w:t>
      </w:r>
      <w:r>
        <w:rPr>
          <w:rFonts w:ascii="Arial" w:cs="Arial" w:eastAsia="Arial" w:hAnsi="Arial"/>
          <w:sz w:val="18"/>
          <w:szCs w:val="18"/>
          <w:color w:val="auto"/>
        </w:rPr>
        <w:t>Mr. Maddox serves as Wynn Resorts’ Chief Financial Officer and Treasurer. Prior to his promotion in March 2008, Mr. Maddox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Wynn Resorts’ Senior Vice President of Business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Development and Treasurer, positions he held since January 2007 and May 2006, respectively. From June 2005 to December 31, 2006, Mr. Maddox served as the Senior Vice President of Business Development for Wynn Las Vegas, LLC. From March 2003 to June 2005, Mr. Maddox was the Chief Financial Officer of Wynn Resorts (Macau), S.A. From May 2002 through March 2003, Mr. Maddox was Wynn Resorts’ Treasurer and Vice President—Investor Relations.</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General Counsel and Secretary of Wynn Resorts, a position she has held since March 2006. Ms. Sinatra is also the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General Counsel of Worldwide Wynn, LLC, a wholly owned subsidiary of Wynn Resorts, a position she has held since January 2004. She also serves as an officer of several of Wynn Resorts’ subsidiaries.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Mr. Coughlan is an Executive Director of Wynn Macau and serves as the President of Wynn Resorts (Macau) S.A., a position he</w:t>
      </w:r>
      <w:r>
        <w:rPr>
          <w:rFonts w:ascii="Arial" w:cs="Arial" w:eastAsia="Arial" w:hAnsi="Arial"/>
          <w:sz w:val="18"/>
          <w:szCs w:val="18"/>
          <w:b w:val="1"/>
          <w:bCs w:val="1"/>
          <w:color w:val="auto"/>
        </w:rPr>
        <w:t xml:space="preserve"> </w:t>
      </w:r>
      <w:r>
        <w:rPr>
          <w:rFonts w:ascii="Arial" w:cs="Arial" w:eastAsia="Arial" w:hAnsi="Arial"/>
          <w:sz w:val="18"/>
          <w:szCs w:val="18"/>
          <w:color w:val="auto"/>
        </w:rPr>
        <w:t>has held since July 2007. Prior to becoming President of Wynn Macau, Mr. Coughlan was Director of Hotel Operations—Worldwide for Wynn Resorts, Limited. Mr. Coughlan has over 30 years of hospitality experience with leading hotels across Asia, Europe and the United States. Before joining Wynn Resorts, Limited, he spent 10 years with The Peninsula Group, including posts as General Manager of The Peninsula Hong Kong from September 2004 to January 2007, and General Manager of The Peninsula Bangkok from September 1999 to August 2004. Mr. Coughlan has a Diploma from Shannon College of Hotel Management, Ireland.</w:t>
      </w:r>
    </w:p>
    <w:p>
      <w:pPr>
        <w:spacing w:after="0" w:line="13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Andrew Pascal. </w:t>
      </w:r>
      <w:r>
        <w:rPr>
          <w:rFonts w:ascii="Arial" w:cs="Arial" w:eastAsia="Arial" w:hAnsi="Arial"/>
          <w:sz w:val="18"/>
          <w:szCs w:val="18"/>
          <w:color w:val="auto"/>
        </w:rPr>
        <w:t>Mr. Pascal is the President of Wynn Las Vegas, LLC., a position he has held since October 2005. From July 2005 through October 2005,</w:t>
      </w:r>
      <w:r>
        <w:rPr>
          <w:rFonts w:ascii="Arial" w:cs="Arial" w:eastAsia="Arial" w:hAnsi="Arial"/>
          <w:sz w:val="18"/>
          <w:szCs w:val="18"/>
          <w:b w:val="1"/>
          <w:bCs w:val="1"/>
          <w:color w:val="auto"/>
        </w:rPr>
        <w:t xml:space="preserve"> </w:t>
      </w:r>
      <w:r>
        <w:rPr>
          <w:rFonts w:ascii="Arial" w:cs="Arial" w:eastAsia="Arial" w:hAnsi="Arial"/>
          <w:sz w:val="18"/>
          <w:szCs w:val="18"/>
          <w:color w:val="auto"/>
        </w:rPr>
        <w:t>Mr. Pascal was the Executive Vice President and Chief Operating Officer of Wynn Las Vegas, LLC. Mr. Pascal served as the Senior Vice President—Product Marketing and Development for Wynn Resorts from August 2003 to July 2005. From March 2001 to September 2003, Mr. Pascal was Chief Executive Officer of WagerWorks, Inc. a developer and supplier of remote gaming applications.</w:t>
      </w:r>
    </w:p>
    <w:p>
      <w:pPr>
        <w:spacing w:after="0" w:line="136" w:lineRule="exact"/>
        <w:rPr>
          <w:sz w:val="20"/>
          <w:szCs w:val="20"/>
          <w:color w:val="auto"/>
        </w:rPr>
      </w:pPr>
    </w:p>
    <w:p>
      <w:pPr>
        <w:jc w:val="both"/>
        <w:ind w:right="160" w:firstLine="456"/>
        <w:spacing w:after="0" w:line="258" w:lineRule="auto"/>
        <w:rPr>
          <w:sz w:val="20"/>
          <w:szCs w:val="20"/>
          <w:color w:val="auto"/>
        </w:rPr>
      </w:pPr>
      <w:r>
        <w:rPr>
          <w:rFonts w:ascii="Arial" w:cs="Arial" w:eastAsia="Arial" w:hAnsi="Arial"/>
          <w:sz w:val="18"/>
          <w:szCs w:val="18"/>
          <w:b w:val="1"/>
          <w:bCs w:val="1"/>
          <w:color w:val="auto"/>
        </w:rPr>
        <w:t xml:space="preserve">Scott Peterson. </w:t>
      </w:r>
      <w:r>
        <w:rPr>
          <w:rFonts w:ascii="Arial" w:cs="Arial" w:eastAsia="Arial" w:hAnsi="Arial"/>
          <w:sz w:val="18"/>
          <w:szCs w:val="18"/>
          <w:color w:val="auto"/>
        </w:rPr>
        <w:t>Mr. Peterson is the Senior Vice President and Chief Financial Officer of Wynn Las Vegas, LLC,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From June 2005 to April 2009, Mr. Peterson was the Vice President and Chief Financial Officer for Wynn Resorts (Macau), S.A. From September 2002 to June 2005, Mr. Peterson was the Vice President—Finance of Wynn Las Vegas, LLC. From April 2001 to September 2002, Mr. Peterson was Assistant Vice President —Finance of Wynn Holdings.</w:t>
      </w:r>
    </w:p>
    <w:p>
      <w:pPr>
        <w:spacing w:after="0" w:line="136"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Vice President and Chief Financial Officer of Wynn Resorts (Macau), S.A.,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taking this position, from January 2007 to April 2009, Mr. Gansmo was the Director—Finance of Wynn Resorts (Macau), S.A. From November 2002 to January 2007, Mr. Gansmo was the Director of Financial Reporting for Wynn Resorts.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Seven of the eleven members of the Board of Directors are independent under the listing standards of The NASDAQ Stock Market LLC (“NASDAQ”). In addition, the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has determined that the following directors are independent under the NASDAQ listing standards and that they also meet the additional, heightened independence criteria applicable to audit committee members under the NASDAQ listing standards: Messrs. Goldsmith, Irani, Miller, Moran, Shoemaker, Wayson and Zeman. Based upon information requested from each director concerning his or her background, employment and affiliations, the Board of Directors has affirmatively determined that none of the independent directors has a material relationship with Wynn Resorts. In assessing independence, the Board of Directors considered all relevant facts and circumstances, including any direct or indirect relationship between Wynn Resorts and the director or his or her immediate family member. None of the independent directors has any economic relationship with Wynn Resorts other than receipt of his director’s compensation. Additionally, all related party transactions are considered under Wynn Resorts’ related party policy (described in additional detail below). None of the independent directors is engaged in any related party transaction with Wynn Resorts. Mr. Wynn, Mr. Okada, Elaine P. Wynn and Ms. Chen have been determined not to be independent.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6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96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4"/>
              </w:rPr>
              <w:t>Audit</w:t>
            </w:r>
          </w:p>
        </w:tc>
        <w:tc>
          <w:tcPr>
            <w:tcW w:w="16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82"/>
              </w:rPr>
              <w:t>Compensation</w:t>
            </w:r>
          </w:p>
        </w:tc>
        <w:tc>
          <w:tcPr>
            <w:tcW w:w="16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4"/>
                <w:szCs w:val="14"/>
                <w:b w:val="1"/>
                <w:bCs w:val="1"/>
                <w:color w:val="auto"/>
                <w:w w:val="92"/>
              </w:rPr>
              <w:t>Governance Committee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1"/>
              </w:rPr>
              <w:t>Russell</w:t>
            </w:r>
          </w:p>
        </w:tc>
        <w:tc>
          <w:tcPr>
            <w:tcW w:w="2880" w:type="dxa"/>
            <w:vAlign w:val="bottom"/>
          </w:tcPr>
          <w:p>
            <w:pPr>
              <w:ind w:left="60"/>
              <w:spacing w:after="0" w:line="201" w:lineRule="exact"/>
              <w:rPr>
                <w:sz w:val="20"/>
                <w:szCs w:val="20"/>
                <w:color w:val="auto"/>
              </w:rPr>
            </w:pPr>
            <w:r>
              <w:rPr>
                <w:rFonts w:ascii="Arial" w:cs="Arial" w:eastAsia="Arial" w:hAnsi="Arial"/>
                <w:sz w:val="18"/>
                <w:szCs w:val="18"/>
                <w:color w:val="auto"/>
              </w:rPr>
              <w:t>Goldsmith</w:t>
            </w:r>
          </w:p>
        </w:tc>
        <w:tc>
          <w:tcPr>
            <w:tcW w:w="1960" w:type="dxa"/>
            <w:vAlign w:val="bottom"/>
          </w:tcPr>
          <w:p>
            <w:pPr>
              <w:spacing w:after="0"/>
              <w:rPr>
                <w:sz w:val="17"/>
                <w:szCs w:val="17"/>
                <w:color w:val="auto"/>
              </w:rPr>
            </w:pPr>
          </w:p>
        </w:tc>
        <w:tc>
          <w:tcPr>
            <w:tcW w:w="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620" w:type="dxa"/>
            <w:vAlign w:val="bottom"/>
          </w:tcPr>
          <w:p>
            <w:pPr>
              <w:spacing w:after="0"/>
              <w:rPr>
                <w:sz w:val="17"/>
                <w:szCs w:val="17"/>
                <w:color w:val="auto"/>
              </w:rPr>
            </w:pPr>
          </w:p>
        </w:tc>
        <w:tc>
          <w:tcPr>
            <w:tcW w:w="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6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Chair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Chair</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w w:val="88"/>
              </w:rPr>
              <w:t>Chair</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Compensation Committee are appointed by the Board of Directors each year. The members of the Compensation Committee serving in 2009, Messrs. Irani, Moran, Shoemaker and Wayson, were appointed on May 5, 2009. Mr. Goldsmith was appointed by the Board of Directors to serve on the Compensation Committee on July 31, 2009.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Earned 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2"/>
                <w:szCs w:val="12"/>
                <w:color w:val="auto"/>
              </w:rPr>
            </w:pPr>
          </w:p>
        </w:tc>
        <w:tc>
          <w:tcPr>
            <w:tcW w:w="12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($)(1)(3)</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$ 105,500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$ 111,000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$ 169,000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$ 129,000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  66,000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$ 126,500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$ 136,500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Elaine Wynn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  67,500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$ 114,000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360" w:hanging="452"/>
        <w:spacing w:after="0" w:line="30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set forth in this column reflects the aggregate grant date fair value of stock option awards granted to each non-employee director in 2009, computed in accordance with accounting standards for stock-based compensation. See Wynn Resorts’ Annual Report on Form 10-K for the year ended December 31, 2009, Note 14 to its Consolidated Financial Statements for assumptions used in computing fair value.</w:t>
      </w:r>
    </w:p>
    <w:p>
      <w:pPr>
        <w:spacing w:after="0" w:line="25" w:lineRule="exact"/>
        <w:rPr>
          <w:rFonts w:ascii="Arial" w:cs="Arial" w:eastAsia="Arial" w:hAnsi="Arial"/>
          <w:sz w:val="16"/>
          <w:szCs w:val="16"/>
          <w:color w:val="auto"/>
        </w:rPr>
      </w:pPr>
    </w:p>
    <w:p>
      <w:pPr>
        <w:ind w:left="460" w:right="8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Wynn Resorts’ Gaming Compliance Committee and a $20,000 annual retainer for his service as Wynn Resorts’ Compliance Director.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outstanding awards for each director at December 31, 2009 is as follows:</w:t>
      </w:r>
    </w:p>
    <w:p>
      <w:pPr>
        <w:spacing w:after="0" w:line="90" w:lineRule="exact"/>
        <w:rPr>
          <w:rFonts w:ascii="Arial" w:cs="Arial" w:eastAsia="Arial" w:hAnsi="Arial"/>
          <w:sz w:val="18"/>
          <w:szCs w:val="18"/>
          <w:color w:val="auto"/>
        </w:rPr>
      </w:pPr>
    </w:p>
    <w:p>
      <w:pPr>
        <w:ind w:left="900" w:right="180" w:hanging="446"/>
        <w:spacing w:after="0" w:line="256"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restricted stock awards on 7,500 shares, for Dr. Irani restricted stock awards on 5,000 shares, and for Mr. Goldsmith a restricted stock award on 2,500 shares. The restricted stock awards vest upon the fifth anniversary of the grant date unless the director leaves the Board of Directors prior to vesting, in which case the grant vests pro rata, 20% per year, based upon the number of years served since the grant;</w:t>
      </w:r>
    </w:p>
    <w:p>
      <w:pPr>
        <w:spacing w:after="0" w:line="62"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stock option awards on 30,000 shares, and for Mr. Goldsmith and Dr. Irani stock options on 10,000 shares. The stock option awards are fully vested; and,</w:t>
      </w:r>
    </w:p>
    <w:p>
      <w:pPr>
        <w:spacing w:after="0" w:line="50" w:lineRule="exact"/>
        <w:rPr>
          <w:rFonts w:ascii="Arial" w:cs="Arial" w:eastAsia="Arial" w:hAnsi="Arial"/>
          <w:sz w:val="18"/>
          <w:szCs w:val="18"/>
          <w:color w:val="auto"/>
        </w:rPr>
      </w:pPr>
    </w:p>
    <w:p>
      <w:pPr>
        <w:ind w:left="900" w:right="88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each director stock options awards on 10,000 shares which were granted on May 6, 2009 and which vest 10% on each of the first four anniversaries of the grant date and the remaining 60% on May 6, 2014.</w:t>
      </w:r>
    </w:p>
    <w:p>
      <w:pPr>
        <w:spacing w:after="0" w:line="51"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Mr. Okada and Elaine P. Wynn, who each are greater than five percent beneficial owners of Wynn Resorts’ common stock, have not previously been granted equity awards for their service as directors.</w:t>
      </w:r>
    </w:p>
    <w:p>
      <w:pPr>
        <w:spacing w:after="0" w:line="5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amounts are included in “All Other Compensation”: Mr. Okada—merchandise discounts of $24,078.</w:t>
      </w:r>
    </w:p>
    <w:p>
      <w:pPr>
        <w:spacing w:after="0" w:line="171" w:lineRule="exact"/>
        <w:rPr>
          <w:sz w:val="20"/>
          <w:szCs w:val="20"/>
          <w:color w:val="auto"/>
        </w:rPr>
      </w:pPr>
    </w:p>
    <w:p>
      <w:pPr>
        <w:jc w:val="both"/>
        <w:ind w:right="720" w:firstLine="456"/>
        <w:spacing w:after="0" w:line="306" w:lineRule="auto"/>
        <w:rPr>
          <w:sz w:val="20"/>
          <w:szCs w:val="20"/>
          <w:color w:val="auto"/>
        </w:rPr>
      </w:pPr>
      <w:r>
        <w:rPr>
          <w:rFonts w:ascii="Arial" w:cs="Arial" w:eastAsia="Arial" w:hAnsi="Arial"/>
          <w:sz w:val="16"/>
          <w:szCs w:val="16"/>
          <w:color w:val="auto"/>
        </w:rPr>
        <w:t>Directors who are not employees of Wynn Resorts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2009 consisted of a grant of 10,000 stock options. All directors are provided complementary room, food and beverage privileges at our properties in connection with their attendance at board or committee meetings or other Wynn Resorts events and are reimbursed for any other out of pocket expenses related to attendance at meetings. Wynn Resorts does not provide non-equity incentive plan awards or deferred compensation or retirement plans for non-employee directors.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Compensation Committee has the responsibility for setting and implementing compensation for the executive officers named in the Summary Compensation Table below (the “named executive officers”). The Committee strives to provide total compensation that allows it to attract and retain superior management talent. Wynn Resorts’ executive compensation program is designed to reward the achievement of specific annual, long term and strategic goals, with the ultimate objective of creating stockholder value. Wynn Resorts’ goals include the development and operation of the premier casino resort in each jurisdiction in which it operates, and the development and expansion of the “Wynn” brand while delivering successful operating and financial performance. The Committee regularly evaluates Wynn Resorts’ compensation arrangements to assess whether they are appropriately structured to enable Wynn Resorts to attract and retain superior employees in key positions while rewarding achievement of financial, property development, and operating performance. To achieve these objectives, Wynn Resorts’ compensation includes both cash and equity based incentives.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sets all elements of compensation for the Chief Executive Officer and Chief Operating Officer based upon consideration of their respective contributions to the development and operating performance of Wynn Resorts. Annually, the Committee reviews compensation data of those with whom Wynn Resorts competes for talent. The Committee considers the recommendations of the Chief Executive Officer and Chief Operating Officer in establishing compensation for all other named executive officers. The Chief Executive Officer and Chief Operating Officer perform annual reviews of all of Wynn Resorts’ senior management and make recommendations to the Committee. The Committee reserves the discretion to modify recommendations and makes the final decisions regarding compensation for all of Wynn Resorts’ most senior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making compensation decisions for the named executive officers, the Compensation Committee compares each element of compensation and total compensation against compensation levels of executives in comparable positions at a peer group of companies. Additionally, the Committee considers current and long term goals for each executive and for Wynn Resorts to align rewards with performance. The Committee believes that Wynn Resorts’ peer companies are those companies with which Wynn Resorts competes for talent and stockholder investment. While cash bonuses are considered annually, reviews of base salary and equity incentives are conducted only on a periodic basis or in response to delivery of identified value creation for Wynn Resorts stockholders. When considering adjustments in base salary, or awards of cash bonuses or equity incentives, the Committee reviews both total compensation of peer companies and contribution to Wynn Resorts. Peer companies include gaming companies, as well as brand driven, entertainment and growth companies. In addition to peer company review, the Compensation Committee evaluates relative internal pay levels, relative levels of responsibility and correlates overall compensation levels to reward the drivers of financial and brand performance.</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discussed further below, base salaries for some of the named executive officers were adjusted in 2009 to reflect expanded responsibilities, discretionary cash bonuses were paid to reward extraordinary, measurable performance, and equity awards were granted to certain of the named executive officers in recognition of expanded responsibilities and the Committee’s assessment of the level of past equity grants and desire to retain senior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Wynn Resorts’ total direct compensation for named executive officers generally includes (a) base salary, (b) discretionary bonuses, (c) annual cash incentive compensation, and (d) long term equity incentives. However, Wynn Resorts has not granted equity awards to Mr. Wynn, at his election. The Compensation Committee reviews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total compensation annually, along with value created from past incentives, to assess whether Wynn Resorts’ compensation program achieves its objectives of attracting and retaining superior management while rewarding achievement of specific property and financial performance goals. Wynn Resorts’ policy for allocating among base salary, cash bonus awards, and long term compensation does not include a specific formula or weighting, but is designed to offer what the Compensation Committee views as adequate base compensation to attract and retain personnel while providing incentives to retain superior management talent and maximize long term value for Wynn Resorts and its stockholders.</w:t>
      </w:r>
    </w:p>
    <w:p>
      <w:pPr>
        <w:spacing w:after="0" w:line="11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When considering total compensation, the Committee uses the peer group described above as an indication of market levels of compensation, but not to target a specific relative pay level, and adjusts compensation levels to reflect the gaming industry’s exhaustive regulatory requirements and other demands.</w:t>
      </w:r>
    </w:p>
    <w:p>
      <w:pPr>
        <w:spacing w:after="0" w:line="6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Committee retains the discretion to adjust actual bonus amounts paid based on other factors, including corporate, property level and individual performance, as well as general macroeconomic conditions. The Committee exercised this discretion with respect to payments made for the 2009 performance year.</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To fulfill Wynn Resorts’ goal of attracting and retaining high-quality and experienced executives, Wynn Resorts has paid base salary levels for its named executive officers that may exceed the peer group mean. Companies in the gaming business typically have total compensation packages that may be higher than their non-gaming counterparts due to certain regulatory and other extraordinary demands. Wynn Resorts’ rapid expansion in the last five years has required that named executive officers provide extraordinary levels of financial, development, opening and operating expertise. These efforts have resulted in industry-leading product and impressive financial performance, including returns to stockholders exceeding the industry averages. In 2009, Mr. Maddox received a salary increase in consideration of his assuming additional responsibility in connection with the public offering of the shares of Wynn Macau and navigating the extremely challenging global macroeconomic conditions and related difficulties in the financial market. Additionally, Mr. Wynn, Mr. Schorr, and Ms. Sinatra continue with 15% reductions in base salary reflecting conditions imposed on other employees at Wynn Las Vegas.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Discretionary bonuses were awarded to named executive officers and certain other Wynn Resorts management for 2009 outside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Resorts, Limited Annual Performance-Based Incentive Plan for Executive Officers (the “Incentive Plan”) since the Committee determined not to establish performance targets under the Plan in light of the adverse economic conditions faced by operations. However, consistent with its historical practice under the Incentive Plan, the Compensation Committee evaluated Wynn Resorts’ financial and operating performance. Although operations did a superior job considering conditions beyond their control, operating income was significantly below historical levels in 2009. Value was created at the Wynn Resorts level by financial transactions led by the named executive officers. The discretionary bonuses to named executive officers in 2009 were paid in recognition of the financial success of the initial public offering of Wynn Macau shares and success in adjusting Wynn Resorts’ financial structure to resist the extremely difficult macroeconomic and credit market conditions of 2008 and 2009. These bonuses were awarded at the same level as in 2008, which were significantly below prior year bonuses under the Incentive Plan, except for Mr. Maddox and Ms. Sinatra in light of their significant individual efforts in timely and successfully managing the initial public offering of Wynn Macau.</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Wynn Resorts’ named executive officers is eligible to participate in the Incentive Plan. Typically, within 90 days after the commencement of that year, the Compensation Committee identifies the executive officers who will participate in the Incentive Plan for that year and establishes the performance criteria for the Incentive Plan, as well as the maximum percentage of base salary that can be paid to each participant. As provided under the Incentive Plan, named executive officer participants (other than Mr. Wynn) have a maximum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annual incentive under the Plan of 200% of Base Salary, and Mr. Wynn’s maximum annual incentive is 250% of his Base Salary. In light of the adverse economic conditions in 2009, the Compensation Committee did not establish targets or award annual incentives under the Incentive Plan in 2009.</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Long Term Incentives</w:t>
      </w:r>
      <w:r>
        <w:rPr>
          <w:rFonts w:ascii="Arial" w:cs="Arial" w:eastAsia="Arial" w:hAnsi="Arial"/>
          <w:sz w:val="16"/>
          <w:szCs w:val="16"/>
          <w:color w:val="auto"/>
        </w:rPr>
        <w:t>. The Compensation Committee has not provided annual equity grants to executives but instead uses grants under the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attract qualified individuals to work for Wynn Resorts, and makes periodic grants to existing officers to retain superior officers and to reward extraordinary performance, as determined in the Compensation Committee’s judgment. The number of options or shares of restricted stock to be granted to each executive officer is based on the individual executive’s job accomplishments, tenure and future potential as well as the Compensation Committee’s assessment of competitive compensation levels. In awarding long term equity incentive compensation, the Committee considers current and historical levels awarded by industry peers. Grants to named executive officers are typically made periodically with long term vesting dates. The underlying philosophy is to retain senior management for the long term, building a talent base for Wynn Resorts’ future growth and achievement of desired goals. In 2009, the Committee elected to award significant retention grants to its most senior officers. These grants were made in stock options as the Committee concluded that many executives in peer companies had profited from grants of restricted stock when shareholders had experienced losses in value and stock options only have value to the extent that the price of the Wynn Resorts’ common stock increases following the grant date. The awards were determined in consideration of relative seniority, past awards and value created and long term comparative value and contribution.</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Wynn, the founder, Chairman and Chief Executive Officer of Wynn Resorts who owns a large percentage of Wynn Resorts’ outstanding stock, does not participate in Wynn Resorts’ equity incentive plans at his election. This differs from the chief executive officer compensation at most of the companies included in the peer group.</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During 2009, the Compensation Committee made the following awards: 300,000 stock options to Mr. Maddox; 500,000 stock options to Mr. Schorr; 300,000 stock options to Ms. Chen; and 250,000 stock options to Ms. Sinatra. All of the grants awarded in 2009 will vest 10% on each anniversary of the grant date until fully vested. In addition, unless the executive is party to an employment agreement with Wynn Resorts and Wynn Resorts terminates the executive without cause, such awards will vest pro-rata on a monthly basis to the termination date. These long term incentive grants were made after thorough analysis of Wynn Resorts’ overhang of equity grants, peer group compensation with the goal of retaining and rewarding Wynn Resorts’ most senior and valuable management. As Wynn Resorts competes for talent with the peer group, the Committee endeavors to exceed the mean long term compensation on a comparative basis.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Wynn Resort’s policy with respect to qualifying compensation paid to its executive officers for tax deductibility purposes is that executive compensation plans will generally be designed and implemented to maximize tax deductibility.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Wynn Resorts. In light of the Compensation Committee’s determination not to operate under the Incentive Plan, most of the covered executives 2009 taxable compensation will not be deductible in excess of $1,000,000. However, stock options granted in 2009 are designed to qualify for deductibility under 162(m) if and when 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Wynn Resorts typically enters into employment agreements with its executives to advance its objectives of providing for a long-term relationship with talented and experienced executives. The terms and conditions of these agreements are described in the chart following the 2009 Summary Compensation table.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provided for a minimum base salary and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payment is limited to 4 years salary and bonus in certain circumstances. The employment agreements and the terms of equity awards also provide that vesting of some or all of an executive’s equity awards will accelerate upon such event. If termination occurs after a change in control, Wynn Resorts also provides for a tax gross-up. The Compensation Committee has determined that these arrangements are appropriate compensation to its senior management and are necessary to retain talent at a closely controlled public company that has more limited operations and a shorter operating history than many of its peers.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In addition to base salary, annual incentive compensation and long term equity incentives, Wynn Resorts also provides certain of its named executive officers with a number of executive benefits. The primary executive benefits include certain health insurance coverage, life insurance premiums, discounts and complementary privileges with respect to Wynn Resorts’ properties which are described in the footnotes to the “2009 Summary Compensation Table.” In 2009, executives also received matching contributions under Wynn Resorts’ 401(k) program until March 16, 2009, when Wynn Resorts suspended 401(k) matches for all employees, including the named executive officers. In addition, Messrs. Wynn and Schorr have access to Wynn Resorts’ aircraft pursuant to time sharing agreements described in “Certain Relationships and Related Transactions—Aircraft Arrangements.” For security purposes, the Board of Directors requires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Wynn to travel on Wynn Resorts’ aircraft for both personal and business travel, and Wynn Resorts provides a car and driver (and security when necessary) for his personal use. Consistent with competitive practice in Macau, Ms. Chen receives a car and driver, certain housing and living expenses and assistance with tax preparation.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Mr. Wynn is employed by Wynn Resorts pursuant to an employment agreement dated October 4, 2002, amended August 6, 2004, February 1, 2007 and September 15, 2008, which has a term expiring in 2020. Mr. Wynn, a holder of approximately 8.95% of Wynn Resorts’ common stock, has not received any equity awards as part of his compensation as Chief Executive Officer of Wynn Resorts. Mr. Wynn currently receives a base salary of $2,762,500 per year, and participates in the Incentive Plan. Mr. Wynn is provided with Wynn Resorts paid life insurance and disability policies, as well as participation in Wynn Resorts’ 401(k) plan. He also receives certain executive benefits described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years ended December 31, 2009, 2008 and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8"/>
              </w:rPr>
              <w:t>Non-Equity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 Chief</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2,953,125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4,062,500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$ 1,370,206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8,385,831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3,250,000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4,062,500</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$ 1,141,588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8,454,088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3,173,077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573,428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11,246,505</w:t>
            </w:r>
          </w:p>
        </w:tc>
        <w:tc>
          <w:tcPr>
            <w:tcW w:w="0" w:type="dxa"/>
            <w:vAlign w:val="bottom"/>
          </w:tcPr>
          <w:p>
            <w:pPr>
              <w:spacing w:after="0"/>
              <w:rPr>
                <w:sz w:val="1"/>
                <w:szCs w:val="1"/>
                <w:color w:val="auto"/>
              </w:rPr>
            </w:pPr>
          </w:p>
        </w:tc>
      </w:tr>
      <w:tr>
        <w:trPr>
          <w:trHeight w:val="316"/>
        </w:trPr>
        <w:tc>
          <w:tcPr>
            <w:tcW w:w="332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 Treasurer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779,988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5,650,000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248,067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15,026,299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593,590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5,397,500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13,786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17,664,896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1,817,308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13,913,740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$ 1,153,817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18,884,865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1,947,115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21,830,000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301,943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26,079,058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1,750,000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646,033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5,896,033</w:t>
            </w:r>
          </w:p>
        </w:tc>
        <w:tc>
          <w:tcPr>
            <w:tcW w:w="0" w:type="dxa"/>
            <w:vAlign w:val="bottom"/>
          </w:tcPr>
          <w:p>
            <w:pPr>
              <w:spacing w:after="0"/>
              <w:rPr>
                <w:sz w:val="1"/>
                <w:szCs w:val="1"/>
                <w:color w:val="auto"/>
              </w:rPr>
            </w:pPr>
          </w:p>
        </w:tc>
      </w:tr>
      <w:tr>
        <w:trPr>
          <w:trHeight w:val="309"/>
        </w:trPr>
        <w:tc>
          <w:tcPr>
            <w:tcW w:w="3320" w:type="dxa"/>
            <w:vAlign w:val="bottom"/>
            <w:gridSpan w:val="3"/>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w w:val="91"/>
              </w:rPr>
              <w:t>President of Wynn International Marketing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951,701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1,000,000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858,565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11,158,510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10,795,000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63,539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23,868,559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651,079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3,651,079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6,956,870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10,450,253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60" w:hanging="332"/>
        <w:spacing w:after="0" w:line="298"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set forth in these columns reflect the aggregate grant date fair value of equity awards granted in each respective year, computed in accordance with accounting standards for stock based compensation. See Wynn Resorts’ Annual Report on Form 10-K for the year ended December 31, 2009, Note 14 to its Consolidated Financial Statements for assumptions used in computing fair value. The 2009 grants will vest 10% per year beginning on the first anniversary of the grant until fully vested in May 2019. The 2008 grants will fully vest in December 2016.</w:t>
      </w:r>
    </w:p>
    <w:p>
      <w:pPr>
        <w:spacing w:after="0" w:line="153" w:lineRule="exact"/>
        <w:rPr>
          <w:rFonts w:ascii="Arial" w:cs="Arial" w:eastAsia="Arial" w:hAnsi="Arial"/>
          <w:sz w:val="16"/>
          <w:szCs w:val="16"/>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amounts for 2009 are included in “All Other Compensation” for Mr. Wynn:</w:t>
      </w:r>
    </w:p>
    <w:p>
      <w:pPr>
        <w:spacing w:after="0" w:line="90" w:lineRule="exact"/>
        <w:rPr>
          <w:rFonts w:ascii="Arial" w:cs="Arial" w:eastAsia="Arial" w:hAnsi="Arial"/>
          <w:sz w:val="18"/>
          <w:szCs w:val="18"/>
          <w:color w:val="auto"/>
        </w:rPr>
      </w:pPr>
    </w:p>
    <w:p>
      <w:pPr>
        <w:ind w:left="800" w:right="60" w:hanging="454"/>
        <w:spacing w:after="0" w:line="254" w:lineRule="auto"/>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personal use of Wynn Resorts’ aircraft of $1,198,056 (Mr. Wynn receives no tax-gross ups relating to the value of aircraft usage that is imputed to him as compensation);</w:t>
      </w:r>
    </w:p>
    <w:p>
      <w:pPr>
        <w:ind w:left="800" w:hanging="454"/>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executive life insurance premiums of $29,718;</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$60,036;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Wynn Resorts employs for Mr. Wynn of $12,806;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merchandise discounts of $62,240;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Maddox:</w:t>
      </w:r>
    </w:p>
    <w:p>
      <w:pPr>
        <w:spacing w:after="0" w:line="90" w:lineRule="exact"/>
        <w:rPr>
          <w:sz w:val="20"/>
          <w:szCs w:val="20"/>
          <w:color w:val="auto"/>
        </w:rPr>
      </w:pPr>
    </w:p>
    <w:p>
      <w:pPr>
        <w:ind w:left="800" w:hanging="454"/>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for executive life insurance premiums, merchandise discounts and 401k employer matching contributions of $8,067; and</w:t>
      </w:r>
    </w:p>
    <w:p>
      <w:pPr>
        <w:spacing w:after="0" w:line="15" w:lineRule="exact"/>
        <w:rPr>
          <w:rFonts w:ascii="Arial" w:cs="Arial" w:eastAsia="Arial" w:hAnsi="Arial"/>
          <w:sz w:val="18"/>
          <w:szCs w:val="18"/>
          <w:color w:val="auto"/>
        </w:rPr>
      </w:pPr>
    </w:p>
    <w:p>
      <w:pPr>
        <w:jc w:val="both"/>
        <w:ind w:left="800" w:right="380" w:hanging="454"/>
        <w:spacing w:after="0" w:line="255"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$240,000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Schorr:</w:t>
      </w:r>
    </w:p>
    <w:p>
      <w:pPr>
        <w:spacing w:after="0" w:line="90" w:lineRule="exact"/>
        <w:rPr>
          <w:sz w:val="20"/>
          <w:szCs w:val="20"/>
          <w:color w:val="auto"/>
        </w:rPr>
      </w:pPr>
    </w:p>
    <w:p>
      <w:pPr>
        <w:ind w:left="800" w:hanging="454"/>
        <w:spacing w:after="0" w:line="254"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personal use of Wynn Resorts’ aircraft of $103,421 (Mr. Schorr receives no tax-gross ups relating to the value of aircraft usage that is imputed to him as compensation);</w:t>
      </w:r>
    </w:p>
    <w:p>
      <w:pPr>
        <w:ind w:left="800" w:hanging="45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life insurance premiums of $13,365;</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merchandise discounts of $29,681; and</w:t>
      </w:r>
    </w:p>
    <w:p>
      <w:pPr>
        <w:spacing w:after="0" w:line="9" w:lineRule="exact"/>
        <w:rPr>
          <w:rFonts w:ascii="Arial" w:cs="Arial" w:eastAsia="Arial" w:hAnsi="Arial"/>
          <w:sz w:val="18"/>
          <w:szCs w:val="18"/>
          <w:color w:val="auto"/>
        </w:rPr>
      </w:pPr>
    </w:p>
    <w:p>
      <w:pPr>
        <w:ind w:left="800" w:right="120" w:hanging="454"/>
        <w:spacing w:after="0" w:line="255"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$1,000,000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Chen:</w:t>
      </w:r>
    </w:p>
    <w:p>
      <w:pPr>
        <w:spacing w:after="0" w:line="90" w:lineRule="exact"/>
        <w:rPr>
          <w:sz w:val="20"/>
          <w:szCs w:val="20"/>
          <w:color w:val="auto"/>
        </w:rPr>
      </w:pPr>
    </w:p>
    <w:p>
      <w:pPr>
        <w:ind w:left="800" w:hanging="45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$50,195 attributable to housing and other living expenses in Macau;</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$8,370; and</w:t>
      </w:r>
    </w:p>
    <w:p>
      <w:pPr>
        <w:spacing w:after="0" w:line="9"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$800,000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Sinatra:</w:t>
      </w:r>
    </w:p>
    <w:p>
      <w:pPr>
        <w:spacing w:after="0" w:line="90" w:lineRule="exact"/>
        <w:rPr>
          <w:sz w:val="20"/>
          <w:szCs w:val="20"/>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$7,801; and</w:t>
      </w:r>
    </w:p>
    <w:p>
      <w:pPr>
        <w:spacing w:after="0" w:line="15"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2009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Amounts shown as cash distributions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2009, each of the named executive officers received base salary in accordance with the terms of his or her employment agreement, as approved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Expiration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Wynn</w:t>
            </w:r>
          </w:p>
        </w:tc>
        <w:tc>
          <w:tcPr>
            <w:tcW w:w="6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10/24/20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11/30/13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8/1/11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and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80"/>
          </w:cols>
          <w:pgMar w:left="240" w:top="459"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or base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price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options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the option awards will vest 10% per year beginning on the first anniversary of the grant until fully vested in May 2019. Each of the awards has a term of ten years from the grant date.</w:t>
      </w:r>
    </w:p>
    <w:p>
      <w:pPr>
        <w:ind w:left="460" w:hanging="452"/>
        <w:spacing w:after="0"/>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amounts are calculated based on the aggregate grant date fair value computed in accordance with accounting standards for stock based compensation.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6"/>
          </w:tcPr>
          <w:p>
            <w:pPr>
              <w:ind w:lef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Number of</w:t>
            </w:r>
          </w:p>
        </w:tc>
        <w:tc>
          <w:tcPr>
            <w:tcW w:w="11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Exercisable</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59.44</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11/02/14</w:t>
            </w:r>
          </w:p>
        </w:tc>
        <w:tc>
          <w:tcPr>
            <w:tcW w:w="100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3,493,800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11/07/15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Marc D. Schorr(2)</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Linda Chen(3)</w:t>
            </w:r>
          </w:p>
        </w:tc>
        <w:tc>
          <w:tcPr>
            <w:tcW w:w="880" w:type="dxa"/>
            <w:vAlign w:val="bottom"/>
          </w:tcPr>
          <w:p>
            <w:pPr>
              <w:jc w:val="right"/>
              <w:spacing w:after="0"/>
              <w:rPr>
                <w:sz w:val="20"/>
                <w:szCs w:val="20"/>
                <w:color w:val="auto"/>
              </w:rPr>
            </w:pPr>
            <w:r>
              <w:rPr>
                <w:rFonts w:ascii="Arial" w:cs="Arial" w:eastAsia="Arial" w:hAnsi="Arial"/>
                <w:sz w:val="18"/>
                <w:szCs w:val="18"/>
                <w:color w:val="auto"/>
              </w:rPr>
              <w:t>66,667</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33,333</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56.67</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16,667 stock options will vest on November 7,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50,000 stock options will vest on May 6, 2010 and each anniversary thereafter until the 500,000 stock options are fully vested.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33,333 stock options vest on August 1,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25,000 stock options will vest on May 6, 2010 and each anniversary thereafter until the 250,000 stock options are fully vested;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25,000 shares of restricted stock will vest on July 31, 2011.</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Wynn Resorts’ stock at year-end which was $58.23 per share.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Wynn Resorts on the vesting date, except as discussed below under “Potential Payments Upon Termination or Change in Control.”</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8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080" w:type="dxa"/>
            <w:vAlign w:val="bottom"/>
            <w:gridSpan w:val="2"/>
          </w:tcPr>
          <w:p>
            <w:pPr>
              <w:jc w:val="center"/>
              <w:ind w:left="139"/>
              <w:spacing w:after="0"/>
              <w:rPr>
                <w:sz w:val="20"/>
                <w:szCs w:val="20"/>
                <w:color w:val="auto"/>
              </w:rPr>
            </w:pPr>
            <w:r>
              <w:rPr>
                <w:rFonts w:ascii="Arial" w:cs="Arial" w:eastAsia="Arial" w:hAnsi="Arial"/>
                <w:sz w:val="18"/>
                <w:szCs w:val="18"/>
                <w:color w:val="auto"/>
              </w:rPr>
              <w:t>$  658,313</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0"/>
              </w:rPr>
              <w:t>$ 1,034,250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amounts reported in the table above are based on the closing price of Wynn Resorts’ common stock on the date the stock award vested or the stock options were exercised. Upon vesting of the stock awards, the executive also was paid an amount equal to the dividends that had accrued on the shares prior to their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Wynn Resorts without cause upon notice to the employee, so long as a “separation payment” is paid as provided for in such contracts. Cause is defined as (i) willful destruction of property of Wynn Resorts or an affiliate having a material value to Wynn Resorts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Wynn Resorts, that is not cured within 15 days after written notice thereof; (v) willful and knowing material misrepresentation to Wynn Resorts’ or an affiliate’s board of directors; (vi) willful violation of a material policy of Wynn Resorts or an affiliate, which does or could result in material harm to Wynn Resorts or to Wynn Resorts’ reputation; or (vii) material violation of a statutory or common law duty of loyalty or fiduciary duty to Wynn Resorts or an affiliate.</w:t>
      </w:r>
    </w:p>
    <w:p>
      <w:pPr>
        <w:spacing w:after="0" w:line="1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case, not more than 4 years); (b) bonus for all bonus periods based upon last bonus paid pursuant to the employment agreement through the end of the term (and in Mr. Wynn’s case, this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Wynn Resorts without cause or upon termination by the employee for good reason after a change in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2009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available to all salaried employees, such as distributions under Wynn Resorts’s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Wynn Resorts’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case of Mr. Wynn, the payments to be made upon “Termination Without Cause at Employer’s Election During the Term” and “Termination by Employee for Good Reason After Change in Control for Good Reason” is three times the salary that would be payable during the remaining term of the contract with a limit of 4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Election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7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Disability(2)</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Term(2)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Control(2)</w:t>
            </w:r>
          </w:p>
        </w:tc>
        <w:tc>
          <w:tcPr>
            <w:tcW w:w="20" w:type="dxa"/>
            <w:vAlign w:val="bottom"/>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33,150,000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33,150,000</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20,312,500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52,812,500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52,812,500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33,912,649</w:t>
            </w:r>
          </w:p>
        </w:tc>
        <w:tc>
          <w:tcPr>
            <w:tcW w:w="20" w:type="dxa"/>
            <w:vAlign w:val="bottom"/>
          </w:tcPr>
          <w:p>
            <w:pPr>
              <w:spacing w:after="0"/>
              <w:rPr>
                <w:sz w:val="18"/>
                <w:szCs w:val="18"/>
                <w:color w:val="auto"/>
              </w:rPr>
            </w:pPr>
          </w:p>
        </w:tc>
      </w:tr>
      <w:tr>
        <w:trPr>
          <w:trHeight w:val="228"/>
        </w:trPr>
        <w:tc>
          <w:tcPr>
            <w:tcW w:w="740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377,655</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377,655</w:t>
            </w: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551,091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3,916,667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3,916,667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3,195,833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3,195,833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6,563,669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932,186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3,111,500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3,116,652</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367,788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539,610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2"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316,667 would vest in full immediately. Using the closing price on December 31, 2009, the value of such stock options upon exercise would have been $3,452,169.</w:t>
      </w:r>
    </w:p>
    <w:p>
      <w:pPr>
        <w:ind w:left="460" w:right="18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Wynn Resorts has not terminated or expired. Using the closing price on December 31, 2009, the value of such 50,000 shares would have been $2,911,500 plus accrued dividends of $200,000.</w:t>
      </w:r>
    </w:p>
    <w:p>
      <w:pPr>
        <w:spacing w:after="0" w:line="1"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Wynn Resorts has not terminated or expired, and another 10,000 shares of restricted stock would vest pro-rated based on the number of months since the grant date regardless of the status of the employee’s employment contract. Using the closing price on December 31, 2009, the value of such 14,482 shares would have been $843,253, plus accrued dividends of $88,933.</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without Cause</w:t>
            </w:r>
          </w:p>
        </w:tc>
        <w:tc>
          <w:tcPr>
            <w:tcW w:w="66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Election</w:t>
            </w:r>
          </w:p>
        </w:tc>
        <w:tc>
          <w:tcPr>
            <w:tcW w:w="6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Term(5)</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Control(5)</w:t>
            </w:r>
          </w:p>
        </w:tc>
        <w:tc>
          <w:tcPr>
            <w:tcW w:w="20" w:type="dxa"/>
            <w:vAlign w:val="bottom"/>
          </w:tcPr>
          <w:p>
            <w:pPr>
              <w:spacing w:after="0"/>
              <w:rPr>
                <w:sz w:val="14"/>
                <w:szCs w:val="14"/>
                <w:color w:val="auto"/>
              </w:rPr>
            </w:pPr>
          </w:p>
        </w:tc>
      </w:tr>
      <w:tr>
        <w:trPr>
          <w:trHeight w:val="201"/>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4,816,667</w:t>
            </w: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4,816,667</w:t>
            </w:r>
          </w:p>
        </w:tc>
        <w:tc>
          <w:tcPr>
            <w:tcW w:w="2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9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7,666,667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7,666,667</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21,112,500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2,381,249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15,557,500</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1,700,000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267,506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267,506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60" w:hanging="452"/>
        <w:spacing w:after="0" w:line="25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500,000 would vest in full immediately. Using the closing price on December 31, 2009, the value of such stock options upon exercise would have been $5,555,000.</w:t>
      </w:r>
    </w:p>
    <w:p>
      <w:pPr>
        <w:ind w:left="460" w:right="14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Wynn Resorts has not terminated or expired. Using the closing price on December 31, 2009, the value of such restricted stock grants upon vesting would have been $14,557,500, plus accrued dividends of $1,000,000.</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termination without cause 250,000 shares of restricted stock would vest on a pro-rated basis based on the number of months since the grant date, so long as the employee’s employment agreement with Wynn Resorts has not terminated or expired. Using the closing price on December 31, 2009, the value of such 38,265 shares would have been $2,228,189 plus accrued dividends of $153,060.</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1,583,333</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1,583,333</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2,583,000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2,583,333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9,607,999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5,386,510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6,223,000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149,489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149,489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hanging="452"/>
        <w:spacing w:after="0" w:line="25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333,333 would vest in full immediately. Using the closing price on December 31, 2009, the value of such stock options upon exercise would have been $3,384,999.</w:t>
      </w:r>
    </w:p>
    <w:p>
      <w:pPr>
        <w:ind w:left="460" w:right="700" w:hanging="452"/>
        <w:spacing w:after="0" w:line="281"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2009, the value of such 100,000 shares would have been $5,823,000, plus accrued dividends of $400,000.</w:t>
      </w:r>
    </w:p>
    <w:p>
      <w:pPr>
        <w:spacing w:after="0" w:line="1" w:lineRule="exact"/>
        <w:rPr>
          <w:rFonts w:ascii="Arial" w:cs="Arial" w:eastAsia="Arial" w:hAnsi="Arial"/>
          <w:sz w:val="16"/>
          <w:szCs w:val="16"/>
          <w:color w:val="auto"/>
        </w:rPr>
      </w:pPr>
    </w:p>
    <w:p>
      <w:pPr>
        <w:ind w:left="460" w:right="380" w:hanging="452"/>
        <w:spacing w:after="0" w:line="300"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2009, the value of such 75,576 shares would have been $4,400,816, plus accrued dividends of $985,694.</w:t>
      </w:r>
    </w:p>
    <w:p>
      <w:pPr>
        <w:ind w:left="460" w:right="22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2,394,167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2,394,167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4,333,250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1,403,254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1,555,750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552,500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409,127</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409,127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 w:hanging="452"/>
        <w:spacing w:after="0" w:line="252"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75,000 would vest in full immediately. Upon termination without cause, 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250,000 would vest in full immediately. Using the closing price on December 31, 2009, the value of such stock options upon exercise would have been $2,777,500.</w:t>
      </w:r>
    </w:p>
    <w:p>
      <w:pPr>
        <w:ind w:left="460" w:right="4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Wynn Resorts has not terminated or expired. Using the closing price on December 31, 2009, the value of such restricted stock grants upon vesting would have been $1,455,750, plus accrued dividends of $100,000.</w:t>
      </w:r>
    </w:p>
    <w:p>
      <w:pPr>
        <w:spacing w:after="0" w:line="1"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Upon termination without cause 25,000 shares of restricted stock would vest on a pro-rated basis based on the number of months since the grant date, so long as the employee’s employment agreement with Wynn Resorts has not terminated or expired and another 25,000 shares of restricted stock would vest 20% for each full year from the date of grant to the effective date of termination. Using the closing price on December 31, 2009, the value of such 19,657 shares would have been $1,144,627 plus accrued dividends of $258,627.</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2009,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14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161"/>
        </w:trPr>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(b)</w:t>
            </w:r>
          </w:p>
        </w:tc>
        <w:tc>
          <w:tcPr>
            <w:tcW w:w="114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889,000 shares of unvested restricted stock awards outstanding under a stockholder-approved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is a wholly owned subsidiary of ours.</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wholly owned subsidiary of Wynn Holdings. Wynn Holdings is a wholly owned subsidiary of Wynn Resorts. The following table sets forth, as of June 21, 2010, (unless otherwise indicated), certain information regarding the shares of Wynn Resorts’ common stock beneficially owned by: (i) each director and nominee for director; (ii) each stockholder who is known by Wynn Resorts to beneficially own in excess of 5% of the outstanding shares of Wynn Resorts’ common stock based on information reported on Schedule 13D or 13G filed with the SEC; (iii) each of the executive officers of Wynn Resorts named in the Summary Compensation Table; and (iv) all executive officers of Wynn Resorts, directors of Wynn Resorts and director nominees as a group. There were 123,481,682 shares outstanding as of June 21, 2010.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720" w:type="dxa"/>
            <w:vAlign w:val="bottom"/>
          </w:tcPr>
          <w:p>
            <w:pPr>
              <w:spacing w:after="0"/>
              <w:rPr>
                <w:sz w:val="14"/>
                <w:szCs w:val="14"/>
                <w:color w:val="auto"/>
              </w:rPr>
            </w:pPr>
          </w:p>
        </w:tc>
        <w:tc>
          <w:tcPr>
            <w:tcW w:w="28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Beneficial Ownership Of Shares(1)</w:t>
            </w:r>
          </w:p>
        </w:tc>
        <w:tc>
          <w:tcPr>
            <w:tcW w:w="0" w:type="dxa"/>
            <w:vAlign w:val="bottom"/>
          </w:tcPr>
          <w:p>
            <w:pPr>
              <w:spacing w:after="0"/>
              <w:rPr>
                <w:sz w:val="1"/>
                <w:szCs w:val="1"/>
                <w:color w:val="auto"/>
              </w:rPr>
            </w:pPr>
          </w:p>
        </w:tc>
      </w:tr>
      <w:tr>
        <w:trPr>
          <w:trHeight w:val="142"/>
        </w:trPr>
        <w:tc>
          <w:tcPr>
            <w:tcW w:w="78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10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w:t>
            </w:r>
          </w:p>
        </w:tc>
        <w:tc>
          <w:tcPr>
            <w:tcW w:w="5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11,026,708</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Elaine P. Wynn(3)</w:t>
            </w:r>
          </w:p>
        </w:tc>
        <w:tc>
          <w:tcPr>
            <w:tcW w:w="2340" w:type="dxa"/>
            <w:vAlign w:val="bottom"/>
            <w:gridSpan w:val="3"/>
          </w:tcPr>
          <w:p>
            <w:pPr>
              <w:jc w:val="right"/>
              <w:ind w:right="720"/>
              <w:spacing w:after="0"/>
              <w:rPr>
                <w:sz w:val="20"/>
                <w:szCs w:val="20"/>
                <w:color w:val="auto"/>
              </w:rPr>
            </w:pPr>
            <w:r>
              <w:rPr>
                <w:rFonts w:ascii="Arial" w:cs="Arial" w:eastAsia="Arial" w:hAnsi="Arial"/>
                <w:sz w:val="18"/>
                <w:szCs w:val="18"/>
                <w:color w:val="auto"/>
              </w:rPr>
              <w:t>11,041,709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Okada/Aruze USA, Inc.(3)(4)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Waddell &amp; Reed Financial, Inc.(5)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17,647,556</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6300 Lamar Avenue</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Overland Park, KS 66202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8,902,269</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Marsico Capital Management, LLC(7)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6,227,417</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Russell Goldsmith(9)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Robert J. Miller(11)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Moran(11)(12)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Alvin V. Shoemaker(11)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Wayson(11)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Allan Zeman(11)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Maddox(13)</w:t>
            </w:r>
          </w:p>
        </w:tc>
        <w:tc>
          <w:tcPr>
            <w:tcW w:w="2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110,333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Marc D. Schorr(14)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365,800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Kim Sinatra (16)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(15 persons)(17)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48,290,772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28"/>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hanging="572"/>
        <w:spacing w:after="0" w:line="253"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60" w:hanging="572"/>
        <w:spacing w:after="0" w:line="254"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500" w:hanging="572"/>
        <w:spacing w:after="0" w:line="281"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Amended and Restated Stockholders Agreement, dated as of January 6, 2010 (the “Stockholders Agreement”), by and among Mr. Wynn, Elaine P. Wynn and Aruze USA, Inc.</w:t>
      </w:r>
    </w:p>
    <w:p>
      <w:pPr>
        <w:spacing w:after="0" w:line="1" w:lineRule="exact"/>
        <w:rPr>
          <w:rFonts w:ascii="Arial" w:cs="Arial" w:eastAsia="Arial" w:hAnsi="Arial"/>
          <w:sz w:val="16"/>
          <w:szCs w:val="16"/>
          <w:color w:val="auto"/>
        </w:rPr>
      </w:pPr>
    </w:p>
    <w:p>
      <w:pPr>
        <w:ind w:left="580" w:right="120" w:hanging="572"/>
        <w:spacing w:after="0" w:line="281"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Aruze USA, Inc. is a wholly owned subsidiary of Universal Entertainment Corporation of which Mr. Kazuo Okada owns a controlling interest and is the Chairman. The subject securities were acquired and are owned by Aruze USA, Inc. but Universal and Mr. Okada may also be considered beneficial owners of the shares because Aruze USA, Universal and Mr. Okada may be deemed to have shared voting and dispositive power over the shares. The information provided is based upon a Schedule 13D/A filed on January 6, 2010.</w:t>
      </w:r>
    </w:p>
    <w:p>
      <w:pPr>
        <w:spacing w:after="0" w:line="2"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Waddell &amp; Reed Financial Inc. (“Waddell”) has beneficial ownership of these shares as of December 31, 2009. The information provided is based upon a Schedule 13G/A dated February 12, 2010, filed by Waddell.</w:t>
      </w:r>
    </w:p>
    <w:p>
      <w:pPr>
        <w:ind w:left="580" w:right="120" w:hanging="572"/>
        <w:spacing w:after="0" w:line="300" w:lineRule="auto"/>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Reflects, as of December 31, 2009,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Morgan Stanley has sole dispositive power over these shares and sole voting power over 8,736,508 shares. The information provided is based upon a Schedule 13G/A, dated February 12, 2010, filed by Morgan Stanley.</w:t>
      </w:r>
    </w:p>
    <w:p>
      <w:pPr>
        <w:spacing w:after="0" w:line="1" w:lineRule="exact"/>
        <w:rPr>
          <w:rFonts w:ascii="Arial" w:cs="Arial" w:eastAsia="Arial" w:hAnsi="Arial"/>
          <w:sz w:val="15"/>
          <w:szCs w:val="15"/>
          <w:color w:val="auto"/>
        </w:rPr>
      </w:pPr>
    </w:p>
    <w:p>
      <w:pPr>
        <w:ind w:left="580" w:hanging="572"/>
        <w:spacing w:after="0" w:line="250"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as of December 31, 2009. Marsico has sole dispositive power over these shares and sole voting power over 5,584,510 shares. The information provided is based upon a Schedule 13G/A, dated February 12, 2010, filed by Marsico.</w:t>
      </w:r>
    </w:p>
    <w:p>
      <w:pPr>
        <w:spacing w:after="0" w:line="1" w:lineRule="exact"/>
        <w:rPr>
          <w:rFonts w:ascii="Arial" w:cs="Arial" w:eastAsia="Arial" w:hAnsi="Arial"/>
          <w:sz w:val="18"/>
          <w:szCs w:val="18"/>
          <w:color w:val="auto"/>
        </w:rPr>
      </w:pPr>
    </w:p>
    <w:p>
      <w:pPr>
        <w:ind w:left="580" w:right="20" w:hanging="572"/>
        <w:spacing w:after="0" w:line="281"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Wynn Resorts’ 2002 Stock Plan and subject to a Restricted Stock Agreement which provides such grant will vest on July 31, 2012; (ii) 100,000 shares of restricted stock granted pursuant to Wynn Resorts’ 2002 Stock Plan and subject to a Restricted Stock Agreement which provides such grant will vest on December 5, 2016; (iii) 96,665 shares subject to an immediately exercisable option to purchase Wynn Resorts common stock granted pursuant to Wynn Resorts’ 2002 Stock Incentive Plan; (iv) 26,250 shares owned by Linda Chen, as trustee; and (v) 33,335 shares that vest on August 1, 2010.</w:t>
      </w:r>
    </w:p>
    <w:p>
      <w:pPr>
        <w:spacing w:after="0" w:line="3" w:lineRule="exact"/>
        <w:rPr>
          <w:rFonts w:ascii="Arial" w:cs="Arial" w:eastAsia="Arial" w:hAnsi="Arial"/>
          <w:sz w:val="16"/>
          <w:szCs w:val="16"/>
          <w:color w:val="auto"/>
        </w:rPr>
      </w:pPr>
    </w:p>
    <w:p>
      <w:pPr>
        <w:ind w:left="580" w:right="100" w:hanging="572"/>
        <w:spacing w:after="0" w:line="250"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(ii) 2,500 unvested shares of restricted stock of Wynn Resorts’ common stock granted pursuant to Wynn Resorts’ 2002 Stock Plan; and (iii) 3,800 shares owned by family members through trusts and companies for which Mr. Goldsmith disclaims beneficial ownership of 2,300 shares.</w:t>
      </w:r>
    </w:p>
    <w:p>
      <w:pPr>
        <w:spacing w:after="0" w:line="1" w:lineRule="exact"/>
        <w:rPr>
          <w:rFonts w:ascii="Arial" w:cs="Arial" w:eastAsia="Arial" w:hAnsi="Arial"/>
          <w:sz w:val="18"/>
          <w:szCs w:val="18"/>
          <w:color w:val="auto"/>
        </w:rPr>
      </w:pPr>
    </w:p>
    <w:p>
      <w:pPr>
        <w:jc w:val="both"/>
        <w:ind w:left="580" w:right="240" w:hanging="572"/>
        <w:spacing w:after="0" w:line="250"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and (ii) 5,000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(i) 31,000 shares subject to immediately exercisable options to purchase Wynn Resorts’ common stock granted pursuant to Wynn Resorts’ 2002 Stock Incentive Plan; and (ii) 7,500 unvested shares of restricted stock of Wynn Resorts’ common stock granted pursuant to Wynn Resorts’s 2002 Stock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150,000 shares of the Wynn Resorts’ common stock held by John A. Moran, as Trustee.</w:t>
      </w:r>
    </w:p>
    <w:p>
      <w:pPr>
        <w:spacing w:after="0" w:line="9" w:lineRule="exact"/>
        <w:rPr>
          <w:rFonts w:ascii="Arial" w:cs="Arial" w:eastAsia="Arial" w:hAnsi="Arial"/>
          <w:sz w:val="18"/>
          <w:szCs w:val="18"/>
          <w:color w:val="auto"/>
        </w:rPr>
      </w:pPr>
    </w:p>
    <w:p>
      <w:pPr>
        <w:ind w:left="580" w:right="100" w:hanging="572"/>
        <w:spacing w:after="0" w:line="295"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(i) 30,333 shares subject to immediately exercisable options to purchase Wynn Resorts common stock pursuant to Wynn Resorts’ 2002 Stock Incentive Plan; (ii) 50,000 shares of restricted stock granted pursuant to Wynn Resorts’ 2002 Stock Purchase Plan and subject to a Restricted Stock Agreement which provides such grant will vest on December 5, 2016; and (iii) 10,000 shares of restricted stock granted pursuant to Wynn Resorts’ 2002 Stock Purchase Plan and subject to a Restricted Stock Agreement which provides such grant will vest on May 7,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40" w:hanging="572"/>
        <w:spacing w:after="0" w:line="253"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(i) 250,000 shares of restricted stock granted pursuant to Wynn Resorts’ 2002 Stock Plan and subject to a Restricted Stock Agreement which provides such grant will vest on December 5, 2016; and (ii) 100,000 shares subject to an immediately exercisable option to purchase Wynn Resorts’ common stock granted pursuant to Wynn Resorts’ 2002 Stock Incentive Plan.</w:t>
      </w:r>
    </w:p>
    <w:p>
      <w:pPr>
        <w:ind w:left="580" w:hanging="572"/>
        <w:spacing w:after="0"/>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(i) 500 shares of Wynn Resorts’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580" w:right="60"/>
        <w:spacing w:after="0" w:line="250" w:lineRule="auto"/>
        <w:rPr>
          <w:rFonts w:ascii="Arial" w:cs="Arial" w:eastAsia="Arial" w:hAnsi="Arial"/>
          <w:sz w:val="16"/>
          <w:szCs w:val="16"/>
          <w:color w:val="auto"/>
        </w:rPr>
      </w:pPr>
      <w:r>
        <w:rPr>
          <w:rFonts w:ascii="Arial" w:cs="Arial" w:eastAsia="Arial" w:hAnsi="Arial"/>
          <w:sz w:val="18"/>
          <w:szCs w:val="18"/>
          <w:color w:val="auto"/>
        </w:rPr>
        <w:t>(ii) 65,000 shares subject to immediately exercisable options to purchase Wynn Resorts common stock pursuant to Wynn Resorts’ 2002 Stock Incentive Plan.</w:t>
      </w:r>
    </w:p>
    <w:p>
      <w:pPr>
        <w:ind w:left="580" w:hanging="572"/>
        <w:spacing w:after="0" w:line="281"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(i) 25,000 shares of restricted stock granted pursuant to Wynn Resorts’ 2002 Stock Plan and subject to a Restricted Stock Agreement which provides such grant will vest on December 5, 2016; (ii) 25,000 shares of restricted stock granted pursuant to Wynn Resorts’ 2002 Stock Plan and subject to a Restricted Stock Agreement which provides such grant will vest on July 31, 2011; and (iii) 25,000 shares subject to an immediately exercisable option to purchase Wynn Resorts’ common stock granted pursuant to Wynn Resorts’ 2002 Stock Incentive Plan.</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493,998 shares subject to immediately exercisable stock options and 33,335 shares that will vest in the next 60 days.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00"/>
          </w:cols>
          <w:pgMar w:left="24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Wynn Resorts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classifies as pre-approved (a) employment of executive officers and director compensation if the compensation is required to be reported under Item 402 of the SEC’s compensation disclosure requirements;</w:t>
      </w:r>
    </w:p>
    <w:p>
      <w:pPr>
        <w:spacing w:after="0" w:line="2" w:lineRule="exact"/>
        <w:rPr>
          <w:sz w:val="20"/>
          <w:szCs w:val="20"/>
          <w:color w:val="auto"/>
        </w:rPr>
      </w:pPr>
    </w:p>
    <w:p>
      <w:pPr>
        <w:ind w:right="20" w:firstLine="8"/>
        <w:spacing w:after="0" w:line="287" w:lineRule="auto"/>
        <w:tabs>
          <w:tab w:leader="none" w:pos="2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On January 6, 2010, Mr. Wynn, the Chairman of the Board and Chief Executive Officer of Wynn Resorts, Elaine P. Wynn,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Wynn Resorts, and Aruze USA, a greater than 5% stockholder of Wynn Resorts, entered into an Amended and Restated Stockholders Agreement (the “Amended and Restated Stockholders Agreement”) whereby that certain Stockholders Agreement, entered into as of April 11, 2002, between Mr. Wynn and Aruze USA, as amended by that certain Amendment to Stockholders Agreement, entered into as of November 8, 2006, between Mr. Wynn and Aruze USA, the Waiver and Consent, dated July 31, 2009, and the Waiver and Consent, dated August 13, 2009, was amended and restated in its entirety. Pursuant to the Amended and Restated Stockholders Agreement, Elaine P. Wynn (a) became a party to the Amended and Restated Stockholders Agreement in connection with her ownership of 11,076,709 shares of Wynn Resorts’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agree to vote all shares of Wynn Resorts held by them and subject to the terms of the Amended and Restated Stockholders Agreement in a manner so as to elect to the Wynn Resorts’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w:t>
      </w:r>
    </w:p>
    <w:p>
      <w:pPr>
        <w:spacing w:after="0" w:line="118"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Since June 2006, Wynn Resorts has leased a portion of The Wynn Collection from Mr. Wynn and Elaine P. Wynn for an annual fee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dollar ($1). Wynn Resorts is responsible for all expenses incurred in exhibiting and safeguarding those works from The Wynn Collection that it exhibits in its properties, including the cost of insurance (including terrorism insurance) and taxes.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Holdings entered into agreements with Mr. Wynn that confirm and clarify</w:t>
      </w:r>
      <w:r>
        <w:rPr>
          <w:rFonts w:ascii="Arial" w:cs="Arial" w:eastAsia="Arial" w:hAnsi="Arial"/>
          <w:sz w:val="16"/>
          <w:szCs w:val="16"/>
          <w:b w:val="1"/>
          <w:bCs w:val="1"/>
          <w:color w:val="auto"/>
        </w:rPr>
        <w:t xml:space="preserve"> </w:t>
      </w:r>
      <w:r>
        <w:rPr>
          <w:rFonts w:ascii="Arial" w:cs="Arial" w:eastAsia="Arial" w:hAnsi="Arial"/>
          <w:sz w:val="16"/>
          <w:szCs w:val="16"/>
          <w:color w:val="auto"/>
        </w:rPr>
        <w:t>Wynn Holdings’ rights to use the “Wynn” name and Mr. Wynn’s persona in connection with its casino resorts. Under the parties’ Surname Rights Agreement, Mr. Wynn granted Wynn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Holdings the exclusive, royalty-free, worldwide right to use his full name, persona and related rights of publicity for casino resorts and related businesses, together with the ability to sublicense the persona and publicity rights to its affiliates, until October 24, 2017. Wynn Holdings has sub-licensed rights to the “Wynn” name, persona and marks to Wynn Resorts.</w:t>
      </w:r>
    </w:p>
    <w:p>
      <w:pPr>
        <w:spacing w:after="0" w:line="113"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Villa Lease. </w:t>
      </w:r>
      <w:r>
        <w:rPr>
          <w:rFonts w:ascii="Arial" w:cs="Arial" w:eastAsia="Arial" w:hAnsi="Arial"/>
          <w:sz w:val="18"/>
          <w:szCs w:val="18"/>
          <w:color w:val="auto"/>
        </w:rPr>
        <w:t>Mr. Wynn and Elaine P. Wynn each lease from year to year a villa suite in the Wynn Las Vegas resort. Pursuant to a lease agreement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commencing July 1, 2008, the rent was $520,000 per year for a villa suite. In March 2009, the lease was amended to add an additional unit with no change in rent due to the significant deterioration in the rental market in Las Vegas.</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17, 2010, Elaine P. Wynn and Wynn Las Vegas entered into an Agreement of Lease (the “New EW Lease”) for the lease of a villa suite as Elaine P. Wynn’s personal residence. The New EW Lease was approved by the Audit Committee of the Board of Directors of Wynn Resorts. The term of the lease commenced as of March 1, 2010 and terminates December 31, 2010. Pursuant to the terms of the New EW Lease, Elaine P. Wynn will pay annual rent equal to $350,000, which amount was determined based on a third-party appraisal. Certain services for, and maintenance of, the villa suite are included in the rental. The New EW Lease superceded the terms of the prior agreement.</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“New SW Lease”) for two fairway villas to serve as Mr. Wynn’s personal residence. The New SW Lease amends and restates the prior lease. The New SW Lease was approved by the Audit Committee of the Board of Directors of Wynn Resorts. The term of the lease commenced as of March 1, 2010 and runs concurrent with Mr. Wynn’s employment agreement with Wynn Resorts; provided that either party may terminate on 90 days notice. Pursuant to the New SW Lease, the rental value of the fairway villas will be treated as imputed income to Mr. Wynn, and will be equal to the fair market value of the accommodations provided. Effective March 1, 2010, and for the first two years of the term of the New SW Lease, the rental value will be $503,831 per year, which amount was determined based on a third-party appraisal. The rental value for the fairway villas will be re-determined every two years during the term of the lease based upon an independent third-party appraisal. Certain services for, and maintenance of, the fairway villas are included in the rental.</w:t>
      </w:r>
    </w:p>
    <w:p>
      <w:pPr>
        <w:spacing w:after="0" w:line="11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Wynn Resorts’ Chief Operating Officer, have time-sharing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Wynn Resorts, covering their personal use of Wynn Resorts-owned aircraft. These time-share agreements require Wynn Resorts to include as taxable compensation of such executive, his and his family’s share of the direct costs that Wynn Resorts incurs in operating the aircraft, up to an amount determined by using the Internal Revenue Service Standard Industry Fare Level (SIFL) tables. During 2009, the following amounts were included in the executives’ taxable compensation pursuant to these timesharing arrangements: Mr. Wynn $461,730 and Mr. Schorr $103,748. In the event that direct costs in operating the aircraft exceed the amounts determined by using the SIFL method, such additional costs are paid for by Wynn Resorts.</w:t>
      </w:r>
    </w:p>
    <w:p>
      <w:pPr>
        <w:spacing w:after="0" w:line="11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Wynn Resorts periodically incurs costs on Mr. Wynn’s, Elaine P. Wynn’s and Mr. Schorr’s behalf, including costs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use of the corporate aircraft, household employees, construction work and other personal purchases and services. Mr. Wynn and other officers have deposits with Wynn Resorts to prepay any such items. These deposits are replenished on an ongoing basis as needed. At December 31, 2009, Mr. Wynn, Elaine P. Wynn and Mr. Schorr had credit balances with Wynn Resorts of $478,401, $162,449 and $26,531 respectively.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Aruze Slot Purchase. </w:t>
      </w:r>
      <w:r>
        <w:rPr>
          <w:rFonts w:ascii="Arial" w:cs="Arial" w:eastAsia="Arial" w:hAnsi="Arial"/>
          <w:sz w:val="18"/>
          <w:szCs w:val="18"/>
          <w:color w:val="auto"/>
        </w:rPr>
        <w:t>In 2009, Wynn Macau purchased 10 slot machines, along with related parts and services, from Aruze USA, a corporation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one of Wynn Resorts’ directors, Mr. Okada, currently serves as Chairman and Treasurer, for use at Wynn Macau. The Aruze machines were purchased in an arm’s length transaction at market prices for a total purchase price of approximately $165,000.</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has entered into agreements with TransOrbit, a travel agency affiliated with Universal for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Universal.</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In 2002, Stephen A. Wynn, Aruze USA, Baron Asset Fund, and the Kenneth R. Wynn Family Trust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Wynn Resorts (or its subsidiaries) employs (a) Andrew Pascal, the nephew of Elaine P. Wynn, as President of Wynn Las Vegas;</w:t>
      </w:r>
    </w:p>
    <w:p>
      <w:pPr>
        <w:spacing w:after="0" w:line="38" w:lineRule="exact"/>
        <w:rPr>
          <w:sz w:val="20"/>
          <w:szCs w:val="20"/>
          <w:color w:val="auto"/>
        </w:rPr>
      </w:pPr>
    </w:p>
    <w:p>
      <w:pPr>
        <w:ind w:right="60" w:firstLine="8"/>
        <w:spacing w:after="0" w:line="287" w:lineRule="auto"/>
        <w:tabs>
          <w:tab w:leader="none" w:pos="2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Eddie Tseng, the spouse of Ms. Chen, President of Wynn International Marketing and a director of Wynn Resorts, as Senior Vice President of Customer Development of Worldwide Wynn, LLC; (c) Michael Pascal, the father of Andrew Pascal, President of Wynn Las Vegas, LLC., and brother of Elaine P. Wynn, as a Senior Executive Host of Wynn Las Vegas, and (d) Mr. Michael Pascal’s wife, Mary Ann Pascal, as a Host at Wynn Las Vegas. The Audit Committee of Wynn Resorts approved each such employment arrangement in advance and determined that compensation was at (or below) levels paid to non-family members. 2009 total compensation paid to the above named individuals included the following amounts calculated in the same manner as the Summary Compensation Table values presented for named executive officers: (a) to Andrew Pascal, base salary and bonus of $908,654, grant-date fair value of equity based compensation of $8,348,244, and other compensation of $4,547, (b) to Eddie Tseng, base salary and bonus of $548,722, and other compensation of $7,678, (c) to Michael Pascal, base salary and bonus of $126,130, and other compensation of $2,486, and (d) to Mary Ann Pascal, base salary and bonus of $181,731, and other compensation of $342. Wynn Resorts anticipates that these individuals will continue to serve in their respective positions during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terms and conditions detailed in this prospectus, we will accept for exchange old notes that are properly tendered prior to the expiration date and not withdrawn as permitted below. When we refer to the term expiration date, we mean 5:00 p.m., New York City time, August 30, 2010. We may, however, extend the period of time that the exchange offer is open. In such event, the term expiration date means the latest time and date to which the exchange offer is extended.</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As of the date of this prospectus, $500,000,000 aggregate principal amount of old 2017 notes and $382,010,000 aggregate principal amount of old 2020 notes are outstanding. We are sending this prospectus, together with the letter of transmittal, to all holders of old notes that we are aware of on the date of this prospectus.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Old notes tendered in the exchange offer must be in denominations of principal amount of $2,000 and integral multiples of $1,000 in excess of $2,000.</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to the exchange offer specified under “—Conditions to the Exchange Offer.” In the event of a material change in the exchange offer, including the waiver of a material condition, we will extend the offer period if necessary so that at least five business days remain in the offer following notice of the material change.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446"/>
        <w:spacing w:after="0" w:line="335" w:lineRule="auto"/>
        <w:tabs>
          <w:tab w:leader="none" w:pos="9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101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2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5620" w:right="4900" w:hanging="5166"/>
        <w:spacing w:after="0" w:line="525" w:lineRule="auto"/>
        <w:tabs>
          <w:tab w:leader="none" w:pos="893"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holder is not our “affiliate,” as defined in Rule 405 under the Securities Act; 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such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 notes issued in the exchange offer, including information with respect to any selling holder required by the Securities Act in connection with any resale of the new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446"/>
        <w:spacing w:after="0" w:line="290"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the address set forth under “—Exchange Agent.” This notice must specify:</w:t>
      </w:r>
    </w:p>
    <w:p>
      <w:pPr>
        <w:spacing w:after="0" w:line="5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the expiration of the exchange offer:</w:t>
      </w:r>
    </w:p>
    <w:p>
      <w:pPr>
        <w:spacing w:after="0" w:line="4"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applicable indenture is no longer qualified under the Trust Indenture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indentures relating to the 2017 notes and the 2020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applicable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6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2017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2017 notes under an indenture (the “Indenture”), dated as of October 19, 2009, among the Issuers, as joint and several obligors, the Guarantors and U.S. Bank National Association, as trustee (the “trustee”). This is the same indenture under which the old 2017 notes were issued. The terms of the new 2017 notes will include those stated in the Indenture and those made part of the Indenture by reference to the Trust Indenture Act of 1939, as amended. The Collateral Documents referred to under the caption “—Security” define the terms of the collateral that will secure the 2017 notes and the Note Guarantees. The term “2017 Notes” shall also include the new 2017 notes and the old 2017 notes and the term “Note Guarantees” shall include the guarantees of the new 2017 notes and the guarantees of the old 2017 notes.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2017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2017 Notes Versus the Old 2017 Notes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new 2017 notes are substantially identical to the old 2017 notes except that the transfer restrictions, registration rights and liquidated damages provisions relating to the old 2017 notes do not apply to the new 2017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2017 Notes and the Note Guarantees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The Issuers</w:t>
      </w:r>
      <w:r>
        <w:rPr>
          <w:rFonts w:ascii="Arial" w:cs="Arial" w:eastAsia="Arial" w:hAnsi="Arial"/>
          <w:sz w:val="16"/>
          <w:szCs w:val="16"/>
          <w:color w:val="auto"/>
        </w:rPr>
        <w:t>. 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2017 Notes in order to facilitate the exchange offer. We believe that certain prospective investors in the new 2017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2017 notes should not expect Wynn Capital to participate in servicing principal, interest or other amounts required to be paid on the new 2017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2017 notes:</w:t>
      </w:r>
    </w:p>
    <w:p>
      <w:pPr>
        <w:spacing w:after="0" w:line="90"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$500,000,000;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will mature on November 1, 2017;</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notes offered hereby, payable in arrears each May 1 and November 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November 1, 2013, at a premium declining ratably to par;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2017 notes will be guaranteed by certain of Wynn Las Vegas’ direct subsidiaries. These subsidiaries are:</w:t>
      </w:r>
    </w:p>
    <w:p>
      <w:pPr>
        <w:spacing w:after="0" w:line="9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Las Vegas Jet, LLC, which leases a corporate aircraft from World Travel, LLC, and operates the aircraft under federal aviation regulations, Part 91;</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Wynn Sunrise, LLC, which owns the Koval Land, which consists of approximately 18 acres of land located across from the Projects on Koval Lane and Sands Avenue which we currently use for employee parking and other ancillary uses;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Wynn Show Performers, LLC, which has contracts with show performers who will perform at the Entertainment Facility;</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Wynn Golf, LLC, which owns the Golf Course Land, the Water Rights related to the Golf Course Land and sixty-five residential lots adjacent to the Golf Course Land; and</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Kevyn, LLC, which owns a 50% interest in PW Automotive, LLC, which operates the Ferrari and Maserati automotive dealership inside the Wynn Las Vegas hotel and casino resort.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the date of this prospectus, Wynn Las Vegas’ only subsidiary (other than Wynn Capital) that is not a Guarantor is the Completion Guarantor, which is an Unrestricted Subsidiary of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2017 notes and the Guarantees offered hereby:</w:t>
      </w:r>
    </w:p>
    <w:p>
      <w:pPr>
        <w:spacing w:after="0" w:line="9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will be secured, in the case of the 2017 Notes, by a perfected first priority lien on (1) substantially all of the existing and future assets of Wynn Las Vegas including the Projects, the pledged Equity Interests in our Restricted Subsidiaries, all other real property held by Wynn Las Vegas and certain personal property, including items of furniture, fixture and equipment located within the Projects, but excluding gaming and liquor licenses and other assets in which the grant of a security interest is restricted by their terms or by law and any proceeds held in a secured account at Wynn Las Vegas drawn or incurred under the Credit Agreement from time to time, and (2) subject to the prior approval of the Nevada Gaming Authorities, the pledged Equity Interests held by Wynn Holdings in Wynn Las Vegas;</w:t>
      </w:r>
    </w:p>
    <w:p>
      <w:pPr>
        <w:spacing w:after="0" w:line="39"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be secured, in the case of the Guarantees, by a perfected first priority lien on substantially all of the Guarantors’ existing and future assets, all items of furniture, fixture and equipment owned by the Guarantors, and at least initially, the Golf Course Land, Water Rights for the Golf Course Land, sixty-five residential lots adjacent to the Golf Course Land owned by Wynn Golf, and Wynn Las Vegas’ water entertainment features, but excluding the Aircraft Assets and gaming and liquor licenses and other assets in which the grant of a security interest is prohibited by their terms or by law;</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Wynn Las Vegas’ borrowings under the Credit Agreement, the old 2017 notes, the 2014 Notes and the 2020 Notes, which borrowings, the old 2017 notes, the 2014 Notes and 2020 Notes are secured by a perfected first priority lien on the same assets as are subject to the lien securing the 2017 Notes and the Guarantees (subject to certain exceptions);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trustee has entered into the Intercreditor Agreement to govern the relations between the 2017 noteholders, the lenders under the Credit Agreement, the holders of the 2014 notes, the holders of the 2020 notes, and the holders of future permitted senior and junior indebtedness with respect to the Collateral. The Intercreditor Agreement imposes restrictions on the enforcement of remedies with respect to the Collateral securing the notes and the Guarantees under specified circumstances. See “Intercreditor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provides that if (i) the lenders under the Credit Agreement release their first priority security interest in all of the Collateral and (ii)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2017 noteholders’ first priority security interest in all of the Collateral will also be released. See “—Security—Release of Collateral.”</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Indenture provides that the 2017 noteholders’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2017 Notes then outstanding.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Principal, Maturity and Interest</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Issuers will issue up to $500,000,000 in aggregate principal amount of new 2017 notes in this exchange offer. The Issuers may issue additional 2017 Notes under the Indenture from time to time after this exchange offer. Any issuance of additional 2017 Notes is subject to all of the covenants in the Indenture, including the covenant described below under the caption “—Certain Covenants—Incurrence of Indebtedness and Issuance of Disqualified Stock.” The 2017 Notes and any additional 2017 Notes subsequently issued under the Indenture will (subject to the qualifications expressed in the third paragraph of this “Description of the New 2017 Notes”) be treated as a single class for all purposes under the Indenture, including, without limitation, waivers, amendments, redemptions and offers to purchase. It is possible, however, that any such additional 2017 Notes will not be treated as part of the same issue for United States federal income tax purposes. The Issuers will issue new 2017 notes in denominations of $2,000 and integral multiples of $1,000 in excess of $2,000. The new 2017 notes will mature on November 1, 2017.</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Interest on the new 2017 notes will accrue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May 1 and November 1, with the first interest payment date being November 1, 2010. Interest on overdue principal and interest and Liquidated Damages, if any, will accrue at a rate that is 1% higher than the then applicable interest rate on the new 2017 notes. The Issuers will make each interest payment to the holders of record on the immediately preceding April 15 and October 15.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new 2017 notes accrues from the date of original issuance or, if interest has already been paid, from the date it was most recently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Methods of Receiving Payments on the 2017 Notes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All payments on the 2017 Notes will be made at the office or agency of the paying agent and registrar within the City and State of New York unless the Issuers elect to make interest payments by check mailed to the 2017 noteholders at their addresses set forth in the register of holders.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Paying Agent and Registrar for the 2017 Notes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2017 Notes, and either or both of the Issuers or any of their respective Subsidiaries may act as paying agent or registrar.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Transfer and Exchange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holder may transfer or exchange 2017 Notes in accordance with the provisions of the Indenture. The registrar and the trustee may require a holder, among other things, to furnish appropriate endorsements and transfer documents in connection with a transfer of 2017 Notes. Holders will be required to pay all taxes due on transfer. The Issuers will not be required to transfer or exchange any 2017 Note selected for redemption. Also, the Issuers will not be required to transfer or exchange any 2017 Note for a period of 15 days before a selection of 2017 Notes to be redeemed.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Guarantees are joint and several obligations of the Guarantors. The obligations of each Guarantor under its Note Guarantee are limited as necessary to prevent such Guarantee from constituting a fraudulent conveyance under applicable law. See “Risk Factors—Risks Related to the 2020 Notes and the 2017 Notes.” Federal and state statutes allow courts, under specific circumstances, to void the guarantees, and require 2017 noteholders to return payments received from us or the Guarantors.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Guarantees are secured by substantially all of the assets of the Guarantors (other than the Aircraft Assets) as more fully described below under the caption “—Security—Security for the Note Guarantees.”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220" w:firstLine="421"/>
        <w:spacing w:after="0" w:line="306" w:lineRule="auto"/>
        <w:tabs>
          <w:tab w:leader="none" w:pos="1579"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20"/>
          </w:cols>
          <w:pgMar w:left="24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Guarantees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91" w:lineRule="auto"/>
        <w:tabs>
          <w:tab w:leader="none" w:pos="11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2017 noteholders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3"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Wynn Las Vegas designates any Restricted Subsidiary that is a Guarantor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to the release of the Guarantee by Wynn Golf pursuant to the provisions described above, the security interests of the 2017 noteholders in the Golf Course Land and certain portions of the Golf Course Land owned by Wynn Golf may be released under the circumstances described below under the captions “—Security—Release of Golf Course Land,” “—Release of Portions of the Golf Course Land,” and “—Release of Homesite Acreage.”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2017 Notes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2017</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secured by, among other things:</w:t>
      </w:r>
    </w:p>
    <w:p>
      <w:pPr>
        <w:spacing w:after="0" w:line="51" w:lineRule="exact"/>
        <w:rPr>
          <w:sz w:val="20"/>
          <w:szCs w:val="20"/>
          <w:color w:val="auto"/>
        </w:rPr>
      </w:pPr>
    </w:p>
    <w:p>
      <w:pPr>
        <w:ind w:left="460" w:right="96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Phase I Land, all improvements constructed as part of the Wynn Las Vegas Resort,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Phase II Land, all improvements constructed as part of the Phase II Project, all other real property held by Wynn Las Vegas, certain personal property, including items of furniture, fixture and equipment located within the Projects, other than gaming and liquor licenses and other assets in which the grant of a security interest is prohibited by their terms or by law and any proceeds held in a secured account at Wynn Las Vegas drawn or incurred under the Credit Agreement from time to time;</w:t>
      </w:r>
    </w:p>
    <w:p>
      <w:pPr>
        <w:spacing w:after="0" w:line="76" w:lineRule="exact"/>
        <w:rPr>
          <w:sz w:val="20"/>
          <w:szCs w:val="20"/>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Holdings in Wynn Las Vegas; and</w:t>
      </w:r>
    </w:p>
    <w:p>
      <w:pPr>
        <w:spacing w:after="0" w:line="90" w:lineRule="exact"/>
        <w:rPr>
          <w:rFonts w:ascii="Arial" w:cs="Arial" w:eastAsia="Arial" w:hAnsi="Arial"/>
          <w:sz w:val="18"/>
          <w:szCs w:val="18"/>
          <w:color w:val="auto"/>
        </w:rPr>
      </w:pPr>
    </w:p>
    <w:p>
      <w:pPr>
        <w:ind w:left="460" w:right="380" w:firstLine="443"/>
        <w:spacing w:after="0" w:line="259"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the Issuers in any of their respective existing or future Restricted Subsidiaries, including the Equity Interests held by Wynn Las Vegas in Wynn Capital, Las Vegas Jet, LLC, World Travel, LLC, Wynn Sunrise, LLC, Wynn Show Performers, LLC, Wynn Golf and Kevyn, LLC.</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2017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Subject to liens permitted by the Collateral Documents, and to the extent permitted by Gaming Laws and other applicable laws, the Note Guarantees are secured by, among other things:</w:t>
      </w:r>
    </w:p>
    <w:p>
      <w:pPr>
        <w:spacing w:after="0" w:line="51" w:lineRule="exact"/>
        <w:rPr>
          <w:sz w:val="20"/>
          <w:szCs w:val="20"/>
          <w:color w:val="auto"/>
        </w:rPr>
      </w:pPr>
    </w:p>
    <w:p>
      <w:pPr>
        <w:jc w:val="both"/>
        <w:ind w:left="460" w:right="140" w:firstLine="443"/>
        <w:spacing w:after="0" w:line="259"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Golf Course Land, the Water Rights related to the Golf Course Land, one parcel of land adjacent to the Golf Course Land owned by Wynn Golf and Wynn Las Vegas’ water entertainment features, subject, in the case of the Golf Course Land, to release as described below under the caption “—Release of Golf Course Land”; and</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other existing and future assets (other than gaming and liquor licenses) of the Guarantors, provided that the Note Guarantee of World Travel, LLC is not secured by the Aircraft Assets.</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306" w:lineRule="auto"/>
        <w:tabs>
          <w:tab w:leader="none" w:pos="1147"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2017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2017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first priority security interest in the Golf Course Land (provided that it will not be deemed to be a release of the first priority security interest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4" w:lineRule="exact"/>
        <w:rPr>
          <w:rFonts w:ascii="Arial" w:cs="Arial" w:eastAsia="Arial" w:hAnsi="Arial"/>
          <w:sz w:val="16"/>
          <w:szCs w:val="16"/>
          <w:color w:val="auto"/>
        </w:rPr>
      </w:pPr>
    </w:p>
    <w:p>
      <w:pPr>
        <w:ind w:left="460" w:right="380" w:firstLine="443"/>
        <w:spacing w:after="0" w:line="357" w:lineRule="auto"/>
        <w:tabs>
          <w:tab w:leader="none" w:pos="1147" w:val="left"/>
        </w:tabs>
        <w:numPr>
          <w:ilvl w:val="0"/>
          <w:numId w:val="87"/>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2017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9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 xml:space="preserve">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2017 noteholders’ security interest in the Home Site Land, Wynn Las Vegas or any of the Restricted Subsidiaries grants a security interest in any or all of the Home Site Land to secure such refinancing Indebtedness or any guarantee thereof, such Person will concurrently grant a first priority security interest on such portions of the Home Site Land in favor of the trustee for the benefit of the 2017 noteholders to secure the 2017 Notes (or, if such Person is a Guarantor, its Note Guarantee of the 2017 Notes). That security interest in favor of the trustee for the benefit of the 2017 noteholders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2017 noteholders and may determine to release their liens under different circumstances, which would nevertheless result in the automatic release of the first priority liens by the 2017 noteholders.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firstLine="443"/>
        <w:spacing w:after="0" w:line="302" w:lineRule="auto"/>
        <w:tabs>
          <w:tab w:leader="none" w:pos="1147" w:val="left"/>
        </w:tabs>
        <w:numPr>
          <w:ilvl w:val="1"/>
          <w:numId w:val="89"/>
        </w:numPr>
        <w:rPr>
          <w:rFonts w:ascii="Arial" w:cs="Arial" w:eastAsia="Arial" w:hAnsi="Arial"/>
          <w:sz w:val="15"/>
          <w:szCs w:val="15"/>
          <w:color w:val="auto"/>
        </w:rPr>
      </w:pPr>
      <w:r>
        <w:rPr>
          <w:rFonts w:ascii="Arial" w:cs="Arial" w:eastAsia="Arial" w:hAnsi="Arial"/>
          <w:sz w:val="15"/>
          <w:szCs w:val="15"/>
          <w:color w:val="auto"/>
        </w:rPr>
        <w:t>no Points of Diversion with respect to any water permits held by us or any of our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w:t>
      </w:r>
    </w:p>
    <w:p>
      <w:pPr>
        <w:spacing w:after="0" w:line="1" w:lineRule="exact"/>
        <w:rPr>
          <w:rFonts w:ascii="Arial" w:cs="Arial" w:eastAsia="Arial" w:hAnsi="Arial"/>
          <w:sz w:val="15"/>
          <w:szCs w:val="15"/>
          <w:color w:val="auto"/>
        </w:rPr>
      </w:pPr>
    </w:p>
    <w:p>
      <w:pPr>
        <w:ind w:left="460" w:right="520" w:firstLine="4"/>
        <w:spacing w:after="0" w:line="261" w:lineRule="auto"/>
        <w:tabs>
          <w:tab w:leader="none" w:pos="7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access such Points of Diversion, (B) own and operate such wells and (C) transport such water to the water features of the Project and/or the Golf Course;</w:t>
      </w:r>
    </w:p>
    <w:p>
      <w:pPr>
        <w:spacing w:after="0" w:line="56" w:lineRule="exact"/>
        <w:rPr>
          <w:rFonts w:ascii="Arial" w:cs="Arial" w:eastAsia="Arial" w:hAnsi="Arial"/>
          <w:sz w:val="18"/>
          <w:szCs w:val="18"/>
          <w:color w:val="auto"/>
        </w:rPr>
      </w:pPr>
    </w:p>
    <w:p>
      <w:pPr>
        <w:ind w:left="460" w:right="40" w:firstLine="443"/>
        <w:spacing w:after="0" w:line="286" w:lineRule="auto"/>
        <w:tabs>
          <w:tab w:leader="none" w:pos="1147" w:val="left"/>
        </w:tabs>
        <w:numPr>
          <w:ilvl w:val="1"/>
          <w:numId w:val="90"/>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460"/>
        <w:spacing w:after="0"/>
        <w:rPr>
          <w:rFonts w:ascii="Arial" w:cs="Arial" w:eastAsia="Arial" w:hAnsi="Arial"/>
          <w:sz w:val="16"/>
          <w:szCs w:val="16"/>
          <w:color w:val="auto"/>
        </w:rPr>
      </w:pPr>
      <w:r>
        <w:rPr>
          <w:rFonts w:ascii="Arial" w:cs="Arial" w:eastAsia="Arial" w:hAnsi="Arial"/>
          <w:sz w:val="18"/>
          <w:szCs w:val="18"/>
          <w:color w:val="auto"/>
        </w:rPr>
        <w:t>(6) above; and</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(6) 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At any time prior to November 1, 2012, the Issuers may, on any one or more occasions, redeem up to 35% of the aggregate principal amount of 2017 Notes issued under the Indenture at a redemption price of 107.875%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2017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2017 Notes will not be redeemable at the Issuers’ option prior to November 1, 2013.</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or after November 1, 2013, the Issuers may redeem all or a part of the 2017 Notes upon not less than 30 nor more than 60 days’ notice, at the redemption prices (expressed as percentages of principal amount) set forth below plus accrued and unpaid interest and Liquidated Damages, if any, on the 2017 Notes redeemed, to the applicable redemption date, if redeemed during the twelve-month period beginning on November 1 of the years indicated below, subject to the rights of holders of 2017 Notes on the relevant record date to receive interest on the relevant interest payment date: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103.938%</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101.969%</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2017 Notes or portions thereof called for redemption on the applicable redemption date.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2017 Notes to be licensed, qualified or found suitable under any applicable Gaming Law and the holder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59" w:lineRule="exact"/>
        <w:rPr>
          <w:sz w:val="20"/>
          <w:szCs w:val="20"/>
          <w:color w:val="auto"/>
        </w:rPr>
      </w:pPr>
    </w:p>
    <w:p>
      <w:pPr>
        <w:ind w:left="460" w:right="28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2017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920" w:right="120" w:firstLine="421"/>
        <w:spacing w:after="0" w:line="268" w:lineRule="auto"/>
        <w:tabs>
          <w:tab w:leader="none" w:pos="158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redeem the 2017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91"/>
        </w:numPr>
        <w:rPr>
          <w:rFonts w:ascii="Arial" w:cs="Arial" w:eastAsia="Arial" w:hAnsi="Arial"/>
          <w:sz w:val="18"/>
          <w:szCs w:val="18"/>
          <w:color w:val="auto"/>
        </w:rPr>
      </w:pPr>
      <w:r>
        <w:rPr>
          <w:rFonts w:ascii="Arial" w:cs="Arial" w:eastAsia="Arial" w:hAnsi="Arial"/>
          <w:sz w:val="18"/>
          <w:szCs w:val="18"/>
          <w:color w:val="auto"/>
        </w:rPr>
        <w:t>the principal amount of the 2017 Notes; and</w:t>
      </w:r>
    </w:p>
    <w:p>
      <w:pPr>
        <w:spacing w:after="0" w:line="90" w:lineRule="exact"/>
        <w:rPr>
          <w:rFonts w:ascii="Arial" w:cs="Arial" w:eastAsia="Arial" w:hAnsi="Arial"/>
          <w:sz w:val="18"/>
          <w:szCs w:val="18"/>
          <w:color w:val="auto"/>
        </w:rPr>
      </w:pPr>
    </w:p>
    <w:p>
      <w:pPr>
        <w:ind w:left="1500" w:right="140" w:firstLine="389"/>
        <w:spacing w:after="0" w:line="256" w:lineRule="auto"/>
        <w:tabs>
          <w:tab w:leader="none" w:pos="2155" w:val="left"/>
        </w:tabs>
        <w:numPr>
          <w:ilvl w:val="2"/>
          <w:numId w:val="91"/>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2017 Notes in either case, together with accrued and unpaid interest and Liquidated Damages, if any, on the 2017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2017 Notes will not be licensed, qualified or found suitable, the holder or beneficial owner will not have any further rights with respect to the 2017 Notes to:</w:t>
      </w:r>
    </w:p>
    <w:p>
      <w:pPr>
        <w:spacing w:after="0" w:line="51" w:lineRule="exact"/>
        <w:rPr>
          <w:sz w:val="20"/>
          <w:szCs w:val="20"/>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2017 Notes; or</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2017 Notes, or any remuneration in any form from the Issuers for services rendered or otherwise, except the redemption price of the 2017 Notes described in this section.</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2017 Notes who is required to apply for such license, qualification or finding of suitability for the costs relating thereto. Those expenses will be the obligation of the holder or beneficial owner.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2017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If a Change of Control occurs, each holder of 2017 Notes will have the right to require the Issuers to repurchase all or any part (equal to $2,000 or an integral multiple of $1,000 in excess of $2,000) of that holder’s 2017 Notes pursuant to a Change of Control Offer on the terms set forth in the Indenture. In the Change of Control Offer, the Issuers will offer a payment (the “Change of Control Payment”) in cash equal to 101% of the aggregate principal amount of 2017 Notes repurchased plus accrued and unpaid interest and Liquidated Damages, if any, on the 2017 Notes repurchased to the date of purchase. Within 10 days following any Change of Control, the Issuers will mail a notice to each holder describing the transaction or transactions that constitute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Change of Control and offering to repurchase 2017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accept for payment all 2017 Notes or portions of 2017 Notes properly tendered pursuant to the Change of Control Offer;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2017 Notes or portions of 2017 Notes properly tendered; and</w:t>
      </w:r>
    </w:p>
    <w:p>
      <w:pPr>
        <w:spacing w:after="0" w:line="5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2017 Notes properly accepted together with an officers’ certificate stating the aggregate principal amount of 2017 Notes or portions of 2017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2017 Notes properly tendered the Change of Control Payment for such 2017 Notes, and the trustee will promptly authenticate and mail (or cause to be transferred by book-entry) to each holder a 2017 Note equal in principal amount to any unpurchased portion of the 2017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Except as described above with respect to a Change of Control, the Indenture does not contain provisions that permit the holders of the 2017 Notes to require that the Issuers repurchase or redeem the 2017 Notes in the event of a takeover, recapitalization or similar transaction.</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2017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 Subsidiaries, taken as a whole. Although there is a limited body of case law interpreting the phrase “substantially all,” there is no precise established definition of the phrase under applicable law. Accordingly, the ability of a holder of 2017 Notes to require the Issuers to repurchase its 2017 Notes as a result of a sale, lease, transfer, conveyance or other disposition of less than all of the assets of Wynn Las Vegas and its Restricted Subsidiaries, taken as a whole, to another Person or group may be uncertain.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20" w:firstLine="443"/>
        <w:spacing w:after="0" w:line="259"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00" w:firstLine="443"/>
        <w:spacing w:after="0" w:line="332"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20" w:firstLine="421"/>
        <w:spacing w:after="0" w:line="256" w:lineRule="auto"/>
        <w:tabs>
          <w:tab w:leader="none" w:pos="1579"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2017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firstLine="421"/>
        <w:spacing w:after="0" w:line="370" w:lineRule="auto"/>
        <w:tabs>
          <w:tab w:leader="none" w:pos="1588" w:val="left"/>
        </w:tabs>
        <w:numPr>
          <w:ilvl w:val="1"/>
          <w:numId w:val="95"/>
        </w:numPr>
        <w:rPr>
          <w:rFonts w:ascii="Arial" w:cs="Arial" w:eastAsia="Arial" w:hAnsi="Arial"/>
          <w:sz w:val="15"/>
          <w:szCs w:val="15"/>
          <w:color w:val="auto"/>
        </w:rPr>
      </w:pPr>
      <w:r>
        <w:rPr>
          <w:rFonts w:ascii="Arial" w:cs="Arial" w:eastAsia="Arial" w:hAnsi="Arial"/>
          <w:sz w:val="15"/>
          <w:szCs w:val="15"/>
          <w:color w:val="auto"/>
        </w:rPr>
        <w:t>any securities, 2017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the 2020 Notes and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pari passu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and the 2020 Notes and subject to other Permitted Liens and the terms of the Intercreditor Agreement) in favor of the trustee, on behalf of the holders of 2017 Notes, as security for the 2017 Notes.</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“Excess Net Proceeds.”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2017 Notes then outstanding and all Pari Passu Debt then outstanding, and the denominator of which is the total aggregate principal amount of 2017 Notes then outstanding, all Pari Passu Debt then outstanding and all Indebtedness then outstanding under the Credit Agreement (such amount being the “Asset Sale Offer Amount”), to make an offer (an “Asset Sale Offer”) to all holders of 2017 Notes and, to the extent required, the holders of such Pari Passu Debt to repurchase such 2017 Notes and such Pari Passu Debt at an offer price equal to 100% of the principal amount of the 2017 Notes and such Pari Passu Debt to be purchased plus accrued and unpaid interest and Liquidated Damages, if any, on the 2017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2017 Notes and, to the extent required, the holders of such Pari Passu</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2020 Notes and the Collateral Documents, including, without limitation, to reduce revolving credit Indebtedness (and, if required, commitments) under the Credit Agreement. If the aggregate principal amount of 2017 Notes and such other Pari Passu Debt tendered into such Asset Sale Offer exceeds the Asset Sale Offer Amount that may be applied to the Asset Sale Offer, the trustee will select the 2017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the Phase II Project at any time prior to the completion of the Phase II Project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2017 Notes; so long as, in the case of any such Collateral with a Fair Market Value (or replacement cost, if higher) in excess of $30.0 million:</w:t>
      </w:r>
    </w:p>
    <w:p>
      <w:pPr>
        <w:spacing w:after="0" w:line="35" w:lineRule="exact"/>
        <w:rPr>
          <w:sz w:val="20"/>
          <w:szCs w:val="20"/>
          <w:color w:val="auto"/>
        </w:rPr>
      </w:pPr>
    </w:p>
    <w:p>
      <w:pPr>
        <w:ind w:left="460" w:right="420" w:firstLine="443"/>
        <w:spacing w:after="0" w:line="332" w:lineRule="auto"/>
        <w:tabs>
          <w:tab w:leader="none" w:pos="1147" w:val="left"/>
        </w:tabs>
        <w:numPr>
          <w:ilvl w:val="0"/>
          <w:numId w:val="96"/>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96"/>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2017 Notes then outstanding and all Pari Passu Debt then outstanding, and the denominator of which is the total aggregate principal amount of 2017 Notes then outstanding, all Pari Passu Debt then outstanding and all Indebtedness then outstanding under the Credit Agreement (such amount being the “Event of Loss Offer Amount”), to make an offer (an “Event of Loss Offer”) to all holders of 2017 Notes and, to the extent required,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the holders of such Pari Passu Debt to repurchase such 2017 Notes and such Pari Passu Debt at an offer price equal to 100% of the principal amount of the 2017 Notes and such Pari Passu Debt to be purchased plus accrued and unpaid interest and Liquidated Damages, if any, on the 2017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2017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2017 Notes and such other Pari Passu Debt tendered into such Event of Loss Offer exceeds the Event of Loss Offer Amount that may be applied to the Event of Loss Offer, the trustee will select the 2017 Notes and such other Pari Passu Debt to be purchased as described below under the caption “—Selection and Notice” and in accordance with the Indenture. Upon completion of each Event of Loss Offer, the amount of Excess Loss Proceeds will be reset at zero.</w:t>
      </w:r>
    </w:p>
    <w:p>
      <w:pPr>
        <w:spacing w:after="0" w:line="3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Pending their application, all Net Loss Proceeds will either be (1) applied to temporarily reduce amounts outstanding under any pari passu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will be required to receive consideration:</w:t>
      </w:r>
    </w:p>
    <w:p>
      <w:pPr>
        <w:spacing w:after="0" w:line="59" w:lineRule="exact"/>
        <w:rPr>
          <w:sz w:val="20"/>
          <w:szCs w:val="20"/>
          <w:color w:val="auto"/>
        </w:rPr>
      </w:pPr>
    </w:p>
    <w:p>
      <w:pPr>
        <w:ind w:left="460" w:right="620" w:firstLine="443"/>
        <w:spacing w:after="0" w:line="268"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2017 Notes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Subsidiaries from repairing or restoring the Collateral following an Event of Loss regardless of whether that repair or restoration is permitted under the Indenture. In addition, the exercise by the holders of 2017 Notes of their rights to require Wynn Las Vegas to repurchase the 2017 Notes upon a Change of Control Offer, an Asset Sale Offer or Event of Loss Offer, as the case may be, could cause a default under these other agreements. Finally, Wynn Las Vegas’ ability to pay cash to the holders of 2017 Notes upon a repurchase under a Change of Control Offer, Asset Sale Offer or Event of Loss Offer may be limited by Wynn Las Vegas’ then existing financial resources. See “Risk Factors—Risks Related to the 2020 Notes and the 2017 Notes—We may not be able to fulfill our repurchase obligations with respect to the 2017 Notes upon a change of control.”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Compliance with Securities Laws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2017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Selection and Notice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less than all of the 2017 Notes are to be redeemed at any time, the trustee will select 2017 Notes for redemption on a pro rata basis, by lot or by any other method the trustee deems fair and appropriate, unless otherwise required by law or applicable stock exchange requirements. No 2017 Notes of $1,000 or less can be redeemed or purchased in part. However, if all of the 2017 Notes of a Holder are to be redeemed or purchased, the entire outstanding amount of 2017 Notes held by such Holder, even if not a multiple of $1,000, will be redeemed or purchased. Notices of redemption or purchase will be mailed by first class mail at least 30 but not more than 60 days before the redemption or purchase date to each Holder of 2017 Notes to be redeemed or purchased at its registered address, except that redemption or purchase notices may be mailed more than 60 days prior to a redemption or purchase date if the notice is issued in connection with a defeasance of the 2017 Notes or a satisfaction and discharge of the Indenture. Notices of redemption may not be conditional.</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any 2017 Note is to be redeemed in part only, the notice of redemption that relates to that 2017 Note will state the portion of the principal amount of that 2017 Note that is to be redeemed. A 2017 Note in principal amount equal to the unredeemed portion of the original 2017 Note will be issued in the name of the Holder of 2017 Notes upon cancellation of the original 2017 Note. 2017 Notes called for redemption become due on the date fixed for redemption. On and after the redemption date, interest ceases to accrue on 2017 Notes or portions of 2017 Notes called for redemption.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40" w:firstLine="443"/>
        <w:spacing w:after="0" w:line="284" w:lineRule="auto"/>
        <w:tabs>
          <w:tab w:leader="none" w:pos="1147"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99"/>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98"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2017 Notes or the Guarantees or that is expressly subordinated in right of payment to the 2017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300" w:firstLine="421"/>
        <w:spacing w:after="0" w:line="335" w:lineRule="auto"/>
        <w:tabs>
          <w:tab w:leader="none" w:pos="1579" w:val="left"/>
        </w:tabs>
        <w:numPr>
          <w:ilvl w:val="2"/>
          <w:numId w:val="102"/>
        </w:numPr>
        <w:rPr>
          <w:rFonts w:ascii="Arial" w:cs="Arial" w:eastAsia="Arial" w:hAnsi="Arial"/>
          <w:sz w:val="15"/>
          <w:szCs w:val="15"/>
          <w:color w:val="auto"/>
        </w:rPr>
      </w:pPr>
      <w:r>
        <w:rPr>
          <w:rFonts w:ascii="Arial" w:cs="Arial" w:eastAsia="Arial" w:hAnsi="Arial"/>
          <w:sz w:val="15"/>
          <w:szCs w:val="15"/>
          <w:color w:val="auto"/>
        </w:rPr>
        <w:t>50% of the Consolidated Net Income of Wynn Las Vegas and its Restricted Subsidiaries for the period (taken as one accounting period) from the beginning of July 1, 2005 to the end of Wynn Las Vegas’ most recently ended fiscal quarter for which internal financial statements are available at the time of such Restricted Payment (or, if such Consolidated Net Income for such period is a deficit, less 100% of such deficit); plus</w:t>
      </w:r>
    </w:p>
    <w:p>
      <w:pPr>
        <w:spacing w:after="0" w:line="7" w:lineRule="exact"/>
        <w:rPr>
          <w:rFonts w:ascii="Arial" w:cs="Arial" w:eastAsia="Arial" w:hAnsi="Arial"/>
          <w:sz w:val="15"/>
          <w:szCs w:val="15"/>
          <w:color w:val="auto"/>
        </w:rPr>
      </w:pPr>
    </w:p>
    <w:p>
      <w:pPr>
        <w:jc w:val="both"/>
        <w:ind w:left="920" w:right="200" w:firstLine="421"/>
        <w:spacing w:after="0" w:line="303" w:lineRule="auto"/>
        <w:tabs>
          <w:tab w:leader="none" w:pos="1588" w:val="left"/>
        </w:tabs>
        <w:numPr>
          <w:ilvl w:val="2"/>
          <w:numId w:val="102"/>
        </w:numPr>
        <w:rPr>
          <w:rFonts w:ascii="Arial" w:cs="Arial" w:eastAsia="Arial" w:hAnsi="Arial"/>
          <w:sz w:val="15"/>
          <w:szCs w:val="15"/>
          <w:color w:val="auto"/>
        </w:rPr>
      </w:pPr>
      <w:r>
        <w:rPr>
          <w:rFonts w:ascii="Arial" w:cs="Arial" w:eastAsia="Arial" w:hAnsi="Arial"/>
          <w:sz w:val="15"/>
          <w:szCs w:val="15"/>
          <w:color w:val="auto"/>
        </w:rPr>
        <w:t>100% of the aggregate net cash proceeds received by Wynn Las Vegas subsequent to December 14, 2004 as a contribution to its common equity capital, excluding (i) any such net cash proceeds received by Wynn Las Vegas subsequent to December 14, 2004 to the extent consisting of capital contributions made to Wynn Las Vegas for the purpose of satisfying the “in-balance” requirements of the Disbursement Agreement and</w:t>
      </w:r>
    </w:p>
    <w:p>
      <w:pPr>
        <w:spacing w:after="0" w:line="1" w:lineRule="exact"/>
        <w:rPr>
          <w:rFonts w:ascii="Arial" w:cs="Arial" w:eastAsia="Arial" w:hAnsi="Arial"/>
          <w:sz w:val="15"/>
          <w:szCs w:val="15"/>
          <w:color w:val="auto"/>
        </w:rPr>
      </w:pPr>
    </w:p>
    <w:p>
      <w:pPr>
        <w:ind w:left="920" w:right="660" w:firstLine="1"/>
        <w:spacing w:after="0" w:line="323" w:lineRule="auto"/>
        <w:tabs>
          <w:tab w:leader="none" w:pos="117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such net cash proceeds received by Wynn Las Vegas to the extent used to incur Indebtedness pursuant to clause (14) of the covenant described below under the caption “—Incurrence of Indebtedness and Issuance of Disqualified Stock”; plus</w:t>
      </w:r>
    </w:p>
    <w:p>
      <w:pPr>
        <w:spacing w:after="0" w:line="12" w:lineRule="exact"/>
        <w:rPr>
          <w:sz w:val="20"/>
          <w:szCs w:val="20"/>
          <w:color w:val="auto"/>
        </w:rPr>
      </w:pPr>
    </w:p>
    <w:p>
      <w:pPr>
        <w:jc w:val="both"/>
        <w:ind w:left="920" w:right="100" w:firstLine="420"/>
        <w:spacing w:after="0" w:line="303" w:lineRule="auto"/>
        <w:rPr>
          <w:sz w:val="20"/>
          <w:szCs w:val="20"/>
          <w:color w:val="auto"/>
        </w:rPr>
      </w:pPr>
      <w:r>
        <w:rPr>
          <w:rFonts w:ascii="Arial" w:cs="Arial" w:eastAsia="Arial" w:hAnsi="Arial"/>
          <w:sz w:val="15"/>
          <w:szCs w:val="15"/>
          <w:color w:val="auto"/>
        </w:rPr>
        <w:t>(c)(i) to the extent that any Restricted Investment that was made after December 14, 2004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w:t>
      </w:r>
    </w:p>
    <w:p>
      <w:pPr>
        <w:spacing w:after="0" w:line="1" w:lineRule="exact"/>
        <w:rPr>
          <w:sz w:val="20"/>
          <w:szCs w:val="20"/>
          <w:color w:val="auto"/>
        </w:rPr>
      </w:pPr>
    </w:p>
    <w:p>
      <w:pPr>
        <w:ind w:left="920" w:right="420" w:firstLine="1"/>
        <w:spacing w:after="0" w:line="302" w:lineRule="auto"/>
        <w:tabs>
          <w:tab w:leader="none" w:pos="116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28" w:lineRule="exact"/>
        <w:rPr>
          <w:rFonts w:ascii="Arial" w:cs="Arial" w:eastAsia="Arial" w:hAnsi="Arial"/>
          <w:sz w:val="16"/>
          <w:szCs w:val="16"/>
          <w:color w:val="auto"/>
        </w:rPr>
      </w:pPr>
    </w:p>
    <w:p>
      <w:pPr>
        <w:ind w:left="920" w:right="80" w:firstLine="421"/>
        <w:spacing w:after="0" w:line="306" w:lineRule="auto"/>
        <w:tabs>
          <w:tab w:leader="none" w:pos="158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December 14, 2004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firstLine="421"/>
        <w:spacing w:after="0" w:line="256" w:lineRule="auto"/>
        <w:tabs>
          <w:tab w:leader="none" w:pos="15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December 14, 2004 (other than the Completion Guarantor) is redesignated as a Restricted Subsidiary after December 14, 2004, the lesser of (i) the Fair Market Value of Wynn Las Vegas’ Investment in such Subsidiary as of the date of such redesignation or (ii) such Fair Market Value as of the date on which such Subsidiary was originally designated as an Unrestricted Subsidiary; plus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80" w:firstLine="443"/>
        <w:spacing w:after="0" w:line="306" w:lineRule="auto"/>
        <w:tabs>
          <w:tab w:leader="none" w:pos="11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2017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332"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40" w:firstLine="443"/>
        <w:spacing w:after="0" w:line="332" w:lineRule="auto"/>
        <w:tabs>
          <w:tab w:leader="none" w:pos="122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100" w:firstLine="8"/>
        <w:spacing w:after="0" w:line="315" w:lineRule="auto"/>
        <w:tabs>
          <w:tab w:leader="none" w:pos="249"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60" w:firstLine="443"/>
        <w:spacing w:after="0" w:line="303" w:lineRule="auto"/>
        <w:tabs>
          <w:tab w:leader="none" w:pos="1147"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or (12) of this paragraph or under this clause (3);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firstLine="443"/>
        <w:spacing w:after="0" w:line="268"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20" w:firstLine="421"/>
        <w:spacing w:after="0" w:line="255" w:lineRule="auto"/>
        <w:tabs>
          <w:tab w:leader="none" w:pos="157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2017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right="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$40.0 million at any time outstanding;</w:t>
      </w:r>
    </w:p>
    <w:p>
      <w:pPr>
        <w:spacing w:after="0" w:line="25" w:lineRule="exact"/>
        <w:rPr>
          <w:rFonts w:ascii="Arial" w:cs="Arial" w:eastAsia="Arial" w:hAnsi="Arial"/>
          <w:sz w:val="16"/>
          <w:szCs w:val="16"/>
          <w:color w:val="auto"/>
        </w:rPr>
      </w:pPr>
    </w:p>
    <w:p>
      <w:pPr>
        <w:ind w:left="460" w:right="160" w:firstLine="443"/>
        <w:spacing w:after="0" w:line="291" w:lineRule="auto"/>
        <w:tabs>
          <w:tab w:leader="none" w:pos="114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255" w:lineRule="auto"/>
        <w:rPr>
          <w:rFonts w:ascii="Arial" w:cs="Arial" w:eastAsia="Arial" w:hAnsi="Arial"/>
          <w:sz w:val="16"/>
          <w:szCs w:val="16"/>
          <w:color w:val="auto"/>
        </w:rPr>
      </w:pPr>
      <w:r>
        <w:rPr>
          <w:rFonts w:ascii="Arial" w:cs="Arial" w:eastAsia="Arial" w:hAnsi="Arial"/>
          <w:sz w:val="18"/>
          <w:szCs w:val="18"/>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w:t>
      </w:r>
    </w:p>
    <w:p>
      <w:pPr>
        <w:spacing w:after="0" w:line="63" w:lineRule="exact"/>
        <w:rPr>
          <w:rFonts w:ascii="Arial" w:cs="Arial" w:eastAsia="Arial" w:hAnsi="Arial"/>
          <w:sz w:val="16"/>
          <w:szCs w:val="16"/>
          <w:color w:val="auto"/>
        </w:rPr>
      </w:pPr>
    </w:p>
    <w:p>
      <w:pPr>
        <w:ind w:left="1580" w:hanging="239"/>
        <w:spacing w:after="0"/>
        <w:tabs>
          <w:tab w:leader="none" w:pos="158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holders of the 2017 Notes continue to have a perfected first priority security interest in the Golf Course Land; and</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588" w:val="left"/>
        </w:tabs>
        <w:numPr>
          <w:ilvl w:val="2"/>
          <w:numId w:val="111"/>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Indebtedness does not exceed 6.5 times Consolidated EBITDA for the four full fiscal quarters immediately preceding the date of such incurrence;</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460" w:right="540" w:firstLine="443"/>
        <w:spacing w:after="0" w:line="268" w:lineRule="auto"/>
        <w:tabs>
          <w:tab w:leader="none" w:pos="123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on or prior to the Phase II Final Completion Date of Indebtedness represented by performance bonds, guaranties, trade letters of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spacing w:after="0" w:line="332" w:lineRule="auto"/>
        <w:rPr>
          <w:sz w:val="20"/>
          <w:szCs w:val="20"/>
          <w:color w:val="auto"/>
        </w:rPr>
      </w:pPr>
      <w:r>
        <w:rPr>
          <w:rFonts w:ascii="Arial" w:cs="Arial" w:eastAsia="Arial" w:hAnsi="Arial"/>
          <w:sz w:val="16"/>
          <w:szCs w:val="16"/>
          <w:color w:val="auto"/>
        </w:rPr>
        <w:t>bankers’ acceptances or similar instruments issued by a Person, other than Wynn Resorts or any of its Restricted Subsidiaries, for the benefit of a trade creditor of any such Person, in an aggregate amount not to exceed $20.0 million at any time outstanding so long as:</w:t>
      </w:r>
    </w:p>
    <w:p>
      <w:pPr>
        <w:spacing w:after="0" w:line="4" w:lineRule="exact"/>
        <w:rPr>
          <w:sz w:val="20"/>
          <w:szCs w:val="20"/>
          <w:color w:val="auto"/>
        </w:rPr>
      </w:pPr>
    </w:p>
    <w:p>
      <w:pPr>
        <w:ind w:left="1580" w:hanging="239"/>
        <w:spacing w:after="0"/>
        <w:tabs>
          <w:tab w:leader="none" w:pos="15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8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obligations of Wynn Las Vegas or the applicable Restricted Subsidiary, as the case may be, supported by such performance bonds, guaranties, trade letters of credit, bankers’ acceptances or similar instruments (1) consist solely of payment obligations with respect to costs incurred in accordance with the Phase II Project Budget which would otherwise be permitted to be paid by the applicable entity pursuant to the Disbursement Agreement and (2) if secured, are secured solely by Liens permitted by clause (22) of the definition of “Permitted Liens;”</w:t>
      </w:r>
    </w:p>
    <w:p>
      <w:pPr>
        <w:spacing w:after="0" w:line="31" w:lineRule="exact"/>
        <w:rPr>
          <w:rFonts w:ascii="Arial" w:cs="Arial" w:eastAsia="Arial" w:hAnsi="Arial"/>
          <w:sz w:val="16"/>
          <w:szCs w:val="16"/>
          <w:color w:val="auto"/>
        </w:rPr>
      </w:pPr>
    </w:p>
    <w:p>
      <w:pPr>
        <w:ind w:left="460" w:right="100" w:firstLine="443"/>
        <w:spacing w:after="0" w:line="268" w:lineRule="auto"/>
        <w:tabs>
          <w:tab w:leader="none" w:pos="122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460" w:right="440" w:firstLine="443"/>
        <w:spacing w:after="0" w:line="332" w:lineRule="auto"/>
        <w:tabs>
          <w:tab w:leader="none" w:pos="123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20" w:firstLine="443"/>
        <w:spacing w:after="0" w:line="289" w:lineRule="auto"/>
        <w:tabs>
          <w:tab w:leader="none" w:pos="123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2017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2017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2017 Notes under the Indenture.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60" w:firstLine="443"/>
        <w:spacing w:after="0" w:line="332" w:lineRule="auto"/>
        <w:tabs>
          <w:tab w:leader="none" w:pos="11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180" w:firstLine="443"/>
        <w:spacing w:after="0" w:line="268"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2017 Notes, the Indenture, the 2014 Notes, the 2014 Notes Indenture, the 2020 Notes, the 2020 Notes Indenture, the Note Guarantees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cover any Person or the property or assets of any Person other than the Person acquired or the property or assets of the Person acquired;</w:t>
      </w:r>
    </w:p>
    <w:p>
      <w:pPr>
        <w:spacing w:after="0" w:line="113" w:lineRule="exact"/>
        <w:rPr>
          <w:sz w:val="20"/>
          <w:szCs w:val="20"/>
          <w:color w:val="auto"/>
        </w:rPr>
      </w:pPr>
    </w:p>
    <w:p>
      <w:pPr>
        <w:ind w:left="460" w:right="28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2017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such transaction, at the time it is undertaken, would not require any holder or beneficial owner of 2017 Notes to obtain a Gaming License or be qualified or found suitable under the law of any applicable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20" w:firstLine="443"/>
        <w:spacing w:after="0" w:line="268"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80" w:firstLine="421"/>
        <w:spacing w:after="0" w:line="298" w:lineRule="auto"/>
        <w:tabs>
          <w:tab w:leader="none" w:pos="1579" w:val="left"/>
        </w:tabs>
        <w:numPr>
          <w:ilvl w:val="1"/>
          <w:numId w:val="120"/>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 of Directors; and</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58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2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59"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(10), (12), (13) or (14) of the definition thereof;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2017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2017 Notes would be required to be licensed as a result thereof, except that this sentence will not prohibit any entity from conducting a Permitted Business in any jurisdiction that does not require the licensing or qualification of all the holders of 2017 Notes, but reserves the discretionary right to require the licensing or qualification of any holders of 2017 Notes.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Development of Golf Course Land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will not, and will not permit any of its Restricted Subsidiaries to, at any time prior to the date on which the security interests in all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Golf Course Land are released in accordance with the covenant described above under the caption “—Security—Release of Golf Course Land”:</w:t>
      </w:r>
    </w:p>
    <w:p>
      <w:pPr>
        <w:spacing w:after="0" w:line="107" w:lineRule="exact"/>
        <w:rPr>
          <w:sz w:val="20"/>
          <w:szCs w:val="20"/>
          <w:color w:val="auto"/>
        </w:rPr>
      </w:pPr>
    </w:p>
    <w:p>
      <w:pPr>
        <w:ind w:left="460" w:right="24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50" w:lineRule="exact"/>
        <w:rPr>
          <w:rFonts w:ascii="Arial" w:cs="Arial" w:eastAsia="Arial" w:hAnsi="Arial"/>
          <w:sz w:val="18"/>
          <w:szCs w:val="18"/>
          <w:color w:val="auto"/>
        </w:rPr>
      </w:pPr>
    </w:p>
    <w:p>
      <w:pPr>
        <w:ind w:left="460" w:right="420" w:firstLine="443"/>
        <w:spacing w:after="0" w:line="259"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2017 noteholders’ security interests in the Golf Course Land),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incur any Indebtedness, the proceeds of which are expected to be used, or are used, for the construction, development or improvement of the Golf Course Land; provided, however, Wynn Las Vegas or any of its Restricted Subsidiaries may incur such Indebtedness pursuant to clause (8) of the second paragraph of the covenant described above under the caption “—Incurrence of Additional Indebtedness and Issuance of Disqualified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herein or above, Wynn Las Vegas, and its Restricted Subsidiaries may:</w:t>
      </w:r>
    </w:p>
    <w:p>
      <w:pPr>
        <w:spacing w:after="0" w:line="90" w:lineRule="exact"/>
        <w:rPr>
          <w:sz w:val="20"/>
          <w:szCs w:val="20"/>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maintain or repair the Golf Course on the Golf Course Land,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make improvements to the Golf Course that enhance its use as a golf course for the benefit of the Projects,</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the Home Site Land in accordance with the provisions set forth under the captions “—Security—Release of Collateral,” “—Security—Release of Golf Course Land,” “—Security Interests—Release of Homesite Acreage” and “—Security Interests—Release of Portions of the Golf Course Land,”</w:t>
      </w:r>
    </w:p>
    <w:p>
      <w:pPr>
        <w:spacing w:after="0" w:line="59" w:lineRule="exact"/>
        <w:rPr>
          <w:rFonts w:ascii="Arial" w:cs="Arial" w:eastAsia="Arial" w:hAnsi="Arial"/>
          <w:sz w:val="18"/>
          <w:szCs w:val="18"/>
          <w:color w:val="auto"/>
        </w:rPr>
      </w:pPr>
    </w:p>
    <w:p>
      <w:pPr>
        <w:ind w:left="460" w:right="480" w:firstLine="443"/>
        <w:spacing w:after="0" w:line="357" w:lineRule="auto"/>
        <w:tabs>
          <w:tab w:leader="none" w:pos="114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in the event of loss or damage to the Phase II Land or the improvements thereon, rebuild or repair the Phase II Land and the improvements thereon to the extent permitted by the provisions described above under the caption “—Repurchase at the Option of Holders—Events of Loss,”</w:t>
      </w: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90" w:lineRule="exact"/>
        <w:rPr>
          <w:rFonts w:ascii="Arial" w:cs="Arial" w:eastAsia="Arial" w:hAnsi="Arial"/>
          <w:sz w:val="18"/>
          <w:szCs w:val="18"/>
          <w:color w:val="auto"/>
        </w:rPr>
      </w:pPr>
    </w:p>
    <w:p>
      <w:pPr>
        <w:jc w:val="both"/>
        <w:ind w:left="460" w:right="100" w:firstLine="443"/>
        <w:spacing w:after="0" w:line="256"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develop the Phase III Project on the Golf Course Land in the event that (a) the Golf Course Land has not been released as described under the caption “—Security—Release of Golf Course Land” and (b) Wynn Las Vegas or any of its Restricted Subsidiaries incurs the Permitted Debt of the type described in clause (8) of the second paragraph of the covenant described above under the caption “—Incurrence of Additional Indebtedness and Issuance of Disqualified Stock,”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79"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280" w:firstLine="421"/>
        <w:spacing w:after="0" w:line="268" w:lineRule="auto"/>
        <w:tabs>
          <w:tab w:leader="none" w:pos="158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Management Fees Subordination Agreement, the right to receive payment of the Management Fees will be subordinated in right of payment to the right of the holders of 2017 Notes to receive payments pursuant to the 2017 Notes and the Guarantees. Under this agreement, Management Fees will be payable semi-</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annually in arrears on the tenth business day following the date on which interest payments are payable on the 2017 Notes. Management Fees may be paid only if, among other things, the interest payable on the 2017 Notes through the applicable interest payment date and the interest payable on the loans under the Credit Agreement through such interest payment date has been paid in full.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8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2017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(7) of the second paragraph of the covenant described above under the caption “—Limitation on Development of Golf Course Land,” or any release of all or any portion of the Golf Course Land as provided above under the captions “—Security—Release of Collateral,” “—Security—Release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of Golf Course Land,” “—Security—Release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460" w:right="380" w:firstLine="443"/>
        <w:spacing w:after="0" w:line="259"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2017 Notes by executing and delivering to the trustee a supplemental indenture in the form of an exhibit to the Indenture; or</w:t>
      </w:r>
    </w:p>
    <w:p>
      <w:pPr>
        <w:spacing w:after="0" w:line="59" w:lineRule="exact"/>
        <w:rPr>
          <w:rFonts w:ascii="Arial" w:cs="Arial" w:eastAsia="Arial" w:hAnsi="Arial"/>
          <w:sz w:val="18"/>
          <w:szCs w:val="18"/>
          <w:color w:val="auto"/>
        </w:rPr>
      </w:pPr>
    </w:p>
    <w:p>
      <w:pPr>
        <w:ind w:left="920" w:firstLine="421"/>
        <w:spacing w:after="0" w:line="254" w:lineRule="auto"/>
        <w:tabs>
          <w:tab w:leader="none" w:pos="158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2017 Notes, and (iii) replacement 2017 Notes for the 2017 Notes previously issued by the Issuer that was so reorganized as a subchapter “C” corporation to be issued to the holders upon request and the concurrent return by such holders of the 2017 Notes previously issued to them by such Issuer that was so reorganized as a “C” corporation;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20" w:right="220" w:firstLine="421"/>
        <w:spacing w:after="0" w:line="332" w:lineRule="auto"/>
        <w:tabs>
          <w:tab w:leader="none" w:pos="157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59"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2017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2017 Notes for or as an inducement to any consent, waiver or amendment of any of the terms or provisions of the Indenture, the 2017 Notes or the Collateral Documents unless such consideration is offered to be paid and is paid to all Holders of 2017 Notes that consent, waive or agree to amend in the time frame set forth in the solicitation documents relating to such consent, waiver or agreement.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Wynn Las Vegas or one or more of Wynn Las Vegas’ Wholly Owned Restricted Subsidiaries other than Wynn Capital. At all times while 2017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Whether or not required by the rules and regulations of the SEC, so long as any 2017 Notes are outstanding, the Issuers will furnish to the Holders of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 or cause the trustee to furnish to the Holders of 2017 Notes, within the time periods specified in the SEC’s rules and regulations:</w:t>
      </w:r>
    </w:p>
    <w:p>
      <w:pPr>
        <w:spacing w:after="0" w:line="84" w:lineRule="exact"/>
        <w:rPr>
          <w:sz w:val="20"/>
          <w:szCs w:val="20"/>
          <w:color w:val="auto"/>
        </w:rPr>
      </w:pPr>
    </w:p>
    <w:p>
      <w:pPr>
        <w:ind w:left="460" w:right="40" w:firstLine="443"/>
        <w:spacing w:after="0" w:line="259"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2017 Notes remain outstanding, if at any time they are not required to file with the SEC the reports required by the preceding paragraphs, they will furnish to the holders of 2017 Notes and to securities analysts and prospective investors, upon their request, the information required to be delivered pursuant to Rule 144A(d)(4)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2017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2017</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7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560" w:firstLine="421"/>
        <w:spacing w:after="0" w:line="332" w:lineRule="auto"/>
        <w:tabs>
          <w:tab w:leader="none" w:pos="1588"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2017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2017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2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2017 Notes will become due and payable immediately without further action or notice. If any other Event of Default occurs and is continuing, the trustee or the holders of at least 25% in aggregate principal amount of the then outstanding 2017 Notes may declare all the 2017 Notes to be due and payable immediately.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Holders of the 2017 Notes may not enforce the Indenture or the 2017 Notes except as provided in the Indenture, the Intercreditor Agreement and the other Collateral Documents. Subject to certain limitations, holders of a majority in aggregate principal amount of the then outstanding 2017 Notes may direct the trustee in its exercise of any trust or power. The trustee may withhold from holders of the 2017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2017 Notes unless such holders have offered to the trustee reasonable indemnity or security against any loss, liability or expense. Except to enforce the right to receive payment of principal, interest or premium, if any, or Liquidated Damages, if any, when due, no holder of a 2017 Note may pursue any remedy with respect to the Indenture or the 2017 Notes unless:</w:t>
      </w:r>
    </w:p>
    <w:p>
      <w:pPr>
        <w:spacing w:after="0" w:line="62" w:lineRule="exact"/>
        <w:rPr>
          <w:sz w:val="20"/>
          <w:szCs w:val="20"/>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2017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2017 Notes have not given the trustee a direction inconsistent with such request within such 60-day period.</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2017 Notes by notice to the trustee may, on behalf of the holders of all of the 2017 Notes, rescind an acceleration or waive any existing Default or Event of Default and its consequences under the Indenture, except a continuing Default or Event of Default in the payment of interest or premium, if any, or Liquidated Damages, if any, on, or the principal of, the 2017 Notes.</w:t>
      </w:r>
    </w:p>
    <w:p>
      <w:pPr>
        <w:spacing w:after="0" w:line="107"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2017 Notes</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Generally, if an Event of Default occurs, subject to the provisions of the Intercreditor Agreement,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“—Real Property Collateral.”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142"/>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Intercreditor Agreement imposes restrictions on the exercise of rights and remedies by the 2017 noteholders with respect to the Collateral. See “Intercreditor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2017 Notes would not share in the profits or losses of gaming operations. In addition, if the trustee acquires and operates the Collateral, the trustee and the holders of the 2017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2020 Notes and the 2017 Notes—Bankruptcy laws may significantly impair your rights to repossess and dispose of collateral securing the 2017 Notes, and otherwise collect on any amounts due thereunder” and “Risk Factors —Risks Related to the 2020 Notes and the 2017 Notes—In the event that a bankruptcy court orders the substantive consolidation of us with certain affiliated parties, payments on the 2017 Notes could be delayed or reduced.”</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2017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2017 Notes, the Indenture, the Note Guarantees, the Collateral Documents or for any claim based on, in respect of, or by reason of, such obligations or their creation. Each holder of 2017 Notes by accepting a 2017 Note waives and releases all such liability. The waiver and release are part of the consideration for issuance of the 2017 Notes. The waiver may not be effective to waive liabilities under the federal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the outstanding 2017 Notes, all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obligations of the Guarantors discharged with respect to their Note Guarantees, and all obligations of the Issuers and the Guarantors discharged with respect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(“Legal Defeasance”) except for:</w:t>
      </w:r>
    </w:p>
    <w:p>
      <w:pPr>
        <w:spacing w:after="0" w:line="84" w:lineRule="exact"/>
        <w:rPr>
          <w:sz w:val="20"/>
          <w:szCs w:val="20"/>
          <w:color w:val="auto"/>
        </w:rPr>
      </w:pPr>
    </w:p>
    <w:p>
      <w:pPr>
        <w:ind w:left="460" w:right="700" w:firstLine="443"/>
        <w:spacing w:after="0" w:line="268"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rights of holders of outstanding 2017 Notes to receive payments in respect of the principal of, or interest or premium and Liquidated Damages, if any, on, such 2017 Notes when such payments are due from the trust referred to below;</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Issuers’ obligations with respect to the 2017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2017 Notes. In the event Covenant Defeasance occurs, certain events (not including non-payment, bankruptcy, receivership, rehabilitation and insolvency events) described under the caption “—Events of Default and Remedies” will no longer constitute an Event of Default with respect to the 2017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2017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2017 Notes on the stated date for payment thereof or on the applicable redemption date, as the case may be, and the Issuers must specify whether the 2017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144"/>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00" w:firstLine="4"/>
        <w:spacing w:after="0" w:line="292" w:lineRule="auto"/>
        <w:tabs>
          <w:tab w:leader="none" w:pos="69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on such opinion of counsel shall confirm that, the holders of the outstanding 2017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2017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51" w:lineRule="exact"/>
        <w:rPr>
          <w:sz w:val="20"/>
          <w:szCs w:val="20"/>
          <w:color w:val="auto"/>
        </w:rPr>
      </w:pPr>
    </w:p>
    <w:p>
      <w:pPr>
        <w:jc w:val="both"/>
        <w:ind w:left="460" w:firstLine="443"/>
        <w:spacing w:after="0" w:line="259"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2017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jc w:val="both"/>
        <w:ind w:left="460" w:right="140" w:firstLine="443"/>
        <w:spacing w:after="0" w:line="259"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2017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the Intercreditor Agreement,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84" w:lineRule="exact"/>
        <w:rPr>
          <w:sz w:val="20"/>
          <w:szCs w:val="20"/>
          <w:color w:val="auto"/>
        </w:rPr>
      </w:pPr>
    </w:p>
    <w:p>
      <w:pPr>
        <w:ind w:left="1160" w:hanging="257"/>
        <w:spacing w:after="0"/>
        <w:tabs>
          <w:tab w:leader="none" w:pos="11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2017 Notes, the Note Guarantees and the Collateral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as provided in the next three succeeding paragraphs, the Indenture, the 2017 Notes, the Note Guarantees or, subject to the terms of the Intercreditor Agreement, the Collateral Documents may be amended or supplemented with the consent of the holders of at least a majority in aggregate principal amount of the 2017 Notes then outstanding (including, without limitation, consents obtained in connection with a purchase of, or tender offer or exchange offer for, 2017 Notes), and any existing Default or Event of Default or compliance with any provision of the Indenture, the 2017 Notes, the Note Guarantees or, subject to the terms of the Intercreditor Agreement, the Collateral Documents may be waived with the consent of the holders of a majority in aggregate principal amount of the then outstanding 2017 Notes (including, without limitation, consents obtained in connection with a purchase of, or tender offer or exchange offer for, 2017 Notes).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2017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Intercreditor Agreement,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2017 Notes. In addition, the Indenture authorizes the trustee to enter into amendments, restatements and modifications of the Collateral Documents from time to time in connection with the grant of any Permitted Liens; provided, however, that any such amended, restated or modified Collateral Documents contain terms no less favorable to the trustee or the 2017 noteholders than the terms contained in the Collateral Documents being amended, restated or modified (except as expressly provided for in the Indenture); provided, further, that any such amendment, restatement or modification does not otherwise adversely affect the rights or remedies of the trustee or the 2017 noteholders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2017 Notes, so long as such amendment only affects the subordination provisions in respect of any junior Indebtedness but does not affect the provisions governing the relationship between the lenders under the Credit Agreement and the holders of the 2017 Notes. See “Intercreditor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Without the consent of each holder of 2017 Notes affected or, in the case of clauses (8), (9) and (10) below only, without the consent of the holders of at least 95% in the aggregate principal amount of the 2017 Notes then outstanding, an amendment, supplement or waiver may not (with respect to any 2017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reduce the principal amount of 2017 Notes whose holders must consent to an amendment, supplement or waiver;</w:t>
      </w:r>
    </w:p>
    <w:p>
      <w:pPr>
        <w:spacing w:after="0" w:line="90" w:lineRule="exact"/>
        <w:rPr>
          <w:rFonts w:ascii="Arial" w:cs="Arial" w:eastAsia="Arial" w:hAnsi="Arial"/>
          <w:sz w:val="18"/>
          <w:szCs w:val="18"/>
          <w:color w:val="auto"/>
        </w:rPr>
      </w:pPr>
    </w:p>
    <w:p>
      <w:pPr>
        <w:ind w:left="460" w:right="300" w:firstLine="443"/>
        <w:spacing w:after="0" w:line="332" w:lineRule="auto"/>
        <w:tabs>
          <w:tab w:leader="none" w:pos="1147" w:val="left"/>
        </w:tabs>
        <w:numPr>
          <w:ilvl w:val="1"/>
          <w:numId w:val="149"/>
        </w:numPr>
        <w:rPr>
          <w:rFonts w:ascii="Arial" w:cs="Arial" w:eastAsia="Arial" w:hAnsi="Arial"/>
          <w:sz w:val="16"/>
          <w:szCs w:val="16"/>
          <w:color w:val="auto"/>
        </w:rPr>
      </w:pPr>
      <w:r>
        <w:rPr>
          <w:rFonts w:ascii="Arial" w:cs="Arial" w:eastAsia="Arial" w:hAnsi="Arial"/>
          <w:sz w:val="16"/>
          <w:szCs w:val="16"/>
          <w:color w:val="auto"/>
        </w:rPr>
        <w:t>reduce the principal of or change the fixed maturity of any 2017 Note or alter the provisions with respect to the redemption of the 2017 Notes (other than provisions relating to the covenants described above under the caption “—Repurchase at the Option of Holders”);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2017 Note;</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2017 Notes (except a rescission of acceleration of the 2017 Notes by the holders of at least a majority in aggregate principal amount of the then outstanding 2017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2017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2017 Notes to receive payments of principal of, or interest, premium or Liquidated Damages, if any, on, the 2017 Notes;</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waive a redemption payment with respect to any 2017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Notwithstanding the preceding, without the consent of any holder of 2017 Notes, the Issuers, the Restricted Subsidiaries, the Guarantors and the trustee may amend or supplement the Indenture, the 2017 Notes or the Note Guarantees or, subject to the terms of the Intercreditor Agreement, the Collateral Documents:</w:t>
      </w:r>
    </w:p>
    <w:p>
      <w:pPr>
        <w:spacing w:after="0" w:line="59" w:lineRule="exact"/>
        <w:rPr>
          <w:sz w:val="20"/>
          <w:szCs w:val="20"/>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2017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2017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provide for the issuance of additional 2017 Notes in accordance with the limitations set forth in the Indenture as of the date of the Indenture;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2017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2017 Notes issued thereunder, when:</w:t>
      </w:r>
    </w:p>
    <w:p>
      <w:pPr>
        <w:spacing w:after="0" w:line="113" w:lineRule="exact"/>
        <w:rPr>
          <w:sz w:val="20"/>
          <w:szCs w:val="20"/>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60" w:firstLine="421"/>
        <w:spacing w:after="0" w:line="332" w:lineRule="auto"/>
        <w:tabs>
          <w:tab w:leader="none" w:pos="1579"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2017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firstLine="421"/>
        <w:spacing w:after="0" w:line="291" w:lineRule="auto"/>
        <w:tabs>
          <w:tab w:leader="none" w:pos="1588"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2017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2017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20" w:firstLine="443"/>
        <w:spacing w:after="0" w:line="306" w:lineRule="auto"/>
        <w:tabs>
          <w:tab w:leader="none" w:pos="114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2017 Notes at maturity or on the redemption date, as the case may be.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2017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conduct of his/her own affairs. Subject to such provisions, the trustee will be under no obligation to exercise any of its rights or powers under the Indenture at the request of any holder of 2017 Notes, unless such holder has offered to the trustee security and indemnity satisfactory to it against any loss, liability or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2017 Notes, any Guarantees of the 2017 Notes and the Collateral Documents provide, with certain exceptions, for the application of the internal laws of the State of New York. There is no certainty regarding whether New York or Nevada law would be applied by any court with respect to the enforcement of remedies under the 2017 Notes, the Indenture, any Guarantees of the 2017 Notes or the Collateral Documents.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without charge by writing to Wynn Las Vegas, LLC, 3131 Las Vegas Boulevard South, Las Vegas, NV 89109, Attention: Legal Department.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new 2017 notes will be issued in the form of one or more notes in global form (the “Global Notes”). The new 2017 notes will be issued in minimum denominations of $2,000 and integral multiples of $1,000 in excess thereof. 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new 2017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2017 Notes in certificated form.</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 investors to contact the system or their participants directly to discuss these matters.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DTC has advised the Issuers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6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new 2017 notes registered in their names, will not receive physical delivery of new 2017 notes in certificated form and will not be considered the registered owners or “holders” thereof under the indenture for any purpose.</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2017 Notes, including the Global Notes, are registered as the owners of the 2017 Notes for the purpose of receiving payments and for all other purposes. Consequently, neither the Issuers, the trustee nor any agent of the Issuers or the trustee has or will have any responsibility or liability for:</w:t>
      </w:r>
    </w:p>
    <w:p>
      <w:pPr>
        <w:spacing w:after="0" w:line="62" w:lineRule="exact"/>
        <w:rPr>
          <w:sz w:val="20"/>
          <w:szCs w:val="20"/>
          <w:color w:val="auto"/>
        </w:rPr>
      </w:pPr>
    </w:p>
    <w:p>
      <w:pPr>
        <w:ind w:left="460" w:right="420" w:firstLine="443"/>
        <w:spacing w:after="0" w:line="259"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2017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2017 Notes will be governed by standing instructions and customary practices and will be the responsibility of the Participants or the Indirect Participants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will not be the responsibility of DTC, the trustee or the Issuers. Neither the Issuers nor the trustee will be liable for any delay by DTC or any of the Participants or the Indirect Participants in identifying the beneficial owners of the 2017 Notes, and the Issuers and the trustee may conclusively rely on and will be protected in relying on instructions from DTC or its nominee for all purposes.</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2017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2017 Notes only at the direction of one or more Participants to whose account DTC has credited the interests in the Global Notes and only in respect of such portion of the aggregate principal amount of the 2017 Notes as to which such Participant or Participants has or have given such direction. However, if there is an Event of Default under the 2017 Notes, DTC reserves the right to exchange the Global Notes for legended 2017 Notes in certificated form, and to distribute such 2017 Notes to its Participants.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2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2017 Notes.</w:t>
      </w:r>
    </w:p>
    <w:p>
      <w:pPr>
        <w:spacing w:after="0" w:line="171"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20"/>
          </w:cols>
          <w:pgMar w:left="24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Issuers will make payments in respect of the 2017 Notes represented by the Global Notes (including principal, premium, if any, and interest and Liquidated Damages, if any), by wire transfer of immediately available funds to the accounts specified by DTC or its nominee. The Issuers will make all payments of principal, premium, if any, and interest and Liquidated Damages, if any, with respect to Certificated Notes by wire transfer of immediately available funds to the accounts specified by the holders of the Certificated Notes or, if no such account is specified, by mailing a check to each such holder’s registered address. The 2017 Notes represented by the Global Notes are expected to be eligible to trade in The PORTAL Alliance and to trade in DTC’s Same-Day Funds Settlement System, and any permitted secondary market trading activity in such 2017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40" w:firstLine="443"/>
        <w:spacing w:after="0" w:line="259"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Wynn Design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Covenants—Amendments to Certain Agreements.”</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5580" w:right="5580" w:hanging="4677"/>
        <w:spacing w:after="0" w:line="576" w:lineRule="auto"/>
        <w:tabs>
          <w:tab w:leader="none" w:pos="1149"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sale, lease, conveyance or other disposition of any assets; and 150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40" w:firstLine="443"/>
        <w:spacing w:after="0" w:line="332" w:lineRule="auto"/>
        <w:tabs>
          <w:tab w:leader="none" w:pos="114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23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305" w:lineRule="auto"/>
        <w:tabs>
          <w:tab w:leader="none" w:pos="1228" w:val="left"/>
        </w:tabs>
        <w:numPr>
          <w:ilvl w:val="1"/>
          <w:numId w:val="161"/>
        </w:numPr>
        <w:rPr>
          <w:rFonts w:ascii="Arial" w:cs="Arial" w:eastAsia="Arial" w:hAnsi="Arial"/>
          <w:sz w:val="15"/>
          <w:szCs w:val="15"/>
          <w:color w:val="auto"/>
        </w:rPr>
      </w:pPr>
      <w:r>
        <w:rPr>
          <w:rFonts w:ascii="Arial" w:cs="Arial" w:eastAsia="Arial" w:hAnsi="Arial"/>
          <w:sz w:val="15"/>
          <w:szCs w:val="15"/>
          <w:color w:val="auto"/>
        </w:rPr>
        <w:t>the transfer or sale or disposition of any Released Assets or Aircraft Assets; provided that any revenues in excess of $10.0 million (in the aggregate) generated by sales, leases or other dispositions of any assets in connection with (i) any timeshare, interval ownership or similar development or</w:t>
      </w:r>
    </w:p>
    <w:p>
      <w:pPr>
        <w:ind w:left="460" w:right="80" w:firstLine="4"/>
        <w:spacing w:after="0" w:line="261" w:lineRule="auto"/>
        <w:tabs>
          <w:tab w:leader="none" w:pos="71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56" w:lineRule="exact"/>
        <w:rPr>
          <w:rFonts w:ascii="Arial" w:cs="Arial" w:eastAsia="Arial" w:hAnsi="Arial"/>
          <w:sz w:val="18"/>
          <w:szCs w:val="18"/>
          <w:color w:val="auto"/>
        </w:rPr>
      </w:pPr>
    </w:p>
    <w:p>
      <w:pPr>
        <w:ind w:left="1240" w:hanging="337"/>
        <w:spacing w:after="0"/>
        <w:tabs>
          <w:tab w:leader="none" w:pos="124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23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spacing w:after="0" w:line="306" w:lineRule="auto"/>
        <w:rPr>
          <w:sz w:val="20"/>
          <w:szCs w:val="20"/>
          <w:color w:val="auto"/>
        </w:rPr>
      </w:pPr>
      <w:r>
        <w:rPr>
          <w:rFonts w:ascii="Arial" w:cs="Arial" w:eastAsia="Arial" w:hAnsi="Arial"/>
          <w:sz w:val="16"/>
          <w:szCs w:val="16"/>
          <w:color w:val="auto"/>
        </w:rPr>
        <w:t>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Holders—Asset Sales;”</w:t>
      </w:r>
    </w:p>
    <w:p>
      <w:pPr>
        <w:spacing w:after="0" w:line="26" w:lineRule="exact"/>
        <w:rPr>
          <w:sz w:val="20"/>
          <w:szCs w:val="20"/>
          <w:color w:val="auto"/>
        </w:rPr>
      </w:pPr>
    </w:p>
    <w:p>
      <w:pPr>
        <w:ind w:left="460" w:right="20" w:firstLine="443"/>
        <w:spacing w:after="0" w:line="256" w:lineRule="auto"/>
        <w:tabs>
          <w:tab w:leader="none" w:pos="12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9" w:lineRule="exact"/>
        <w:rPr>
          <w:rFonts w:ascii="Arial" w:cs="Arial" w:eastAsia="Arial" w:hAnsi="Arial"/>
          <w:sz w:val="18"/>
          <w:szCs w:val="18"/>
          <w:color w:val="auto"/>
        </w:rPr>
      </w:pPr>
    </w:p>
    <w:p>
      <w:pPr>
        <w:ind w:left="920" w:right="160" w:firstLine="421"/>
        <w:spacing w:after="0" w:line="306" w:lineRule="auto"/>
        <w:tabs>
          <w:tab w:leader="none" w:pos="1588"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62" w:lineRule="exact"/>
        <w:rPr>
          <w:sz w:val="20"/>
          <w:szCs w:val="20"/>
          <w:color w:val="auto"/>
        </w:rPr>
      </w:pPr>
    </w:p>
    <w:p>
      <w:pPr>
        <w:ind w:left="1160" w:hanging="257"/>
        <w:spacing w:after="0"/>
        <w:tabs>
          <w:tab w:leader="none" w:pos="11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2020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2017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2017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“Completion Guarantor” </w:t>
      </w:r>
      <w:r>
        <w:rPr>
          <w:rFonts w:ascii="Arial" w:cs="Arial" w:eastAsia="Arial" w:hAnsi="Arial"/>
          <w:sz w:val="18"/>
          <w:szCs w:val="18"/>
          <w:color w:val="auto"/>
        </w:rPr>
        <w:t>means Wynn Completion Guarantor, LLC, a Nevada limited liability company.</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1" w:lineRule="exact"/>
        <w:rPr>
          <w:sz w:val="20"/>
          <w:szCs w:val="20"/>
          <w:color w:val="auto"/>
        </w:rPr>
      </w:pPr>
    </w:p>
    <w:p>
      <w:pPr>
        <w:ind w:left="460" w:right="26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right="160" w:firstLine="443"/>
        <w:spacing w:after="0" w:line="254"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307" w:lineRule="auto"/>
        <w:tabs>
          <w:tab w:leader="none" w:pos="239" w:val="left"/>
        </w:tabs>
        <w:numPr>
          <w:ilvl w:val="0"/>
          <w:numId w:val="172"/>
        </w:numPr>
        <w:rPr>
          <w:rFonts w:ascii="Arial" w:cs="Arial" w:eastAsia="Arial" w:hAnsi="Arial"/>
          <w:sz w:val="15"/>
          <w:szCs w:val="15"/>
          <w:color w:val="auto"/>
        </w:rPr>
      </w:pPr>
      <w:r>
        <w:rPr>
          <w:rFonts w:ascii="Arial" w:cs="Arial" w:eastAsia="Arial" w:hAnsi="Arial"/>
          <w:sz w:val="15"/>
          <w:szCs w:val="15"/>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II Project (such pre-opening expenses to be no greater than that set forth in the Phase II Project Budget) and (ii)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1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w:t>
      </w:r>
    </w:p>
    <w:p>
      <w:pPr>
        <w:spacing w:after="0" w:line="90"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respective amounts reported on such Person’s balance sheet as of such date with respect to any series of preferred stock (other than Disqualified Stock) that by its terms is not entitled to the payment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dividends unless such dividends may be declared and paid only out of net earnings in respect of the year of such declaration and payment, but only to the extent of any cash received by such Person upon issuance of such preferred equity.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and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2017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as agent for (1) the administrative agent for the lenders under the Credit Agreement, (2) the trustee on behalf of the noteholders of the 2014 Notes and (3) the trustee on behalf of the noteholders of the 2017 Notes in accordance with the provisions of the Indenture and the Collateral Documents.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2017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 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necessity of either party, determined in good faith by (1) an appropriate officer of Wynn Las Vegas, in the case of any value equal to or less than $10.0 million or</w:t>
      </w:r>
    </w:p>
    <w:p>
      <w:pPr>
        <w:spacing w:after="0" w:line="44" w:lineRule="exact"/>
        <w:rPr>
          <w:sz w:val="20"/>
          <w:szCs w:val="20"/>
          <w:color w:val="auto"/>
        </w:rPr>
      </w:pPr>
    </w:p>
    <w:p>
      <w:pPr>
        <w:ind w:right="180" w:firstLine="8"/>
        <w:spacing w:after="0" w:line="255" w:lineRule="auto"/>
        <w:tabs>
          <w:tab w:leader="none" w:pos="24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180"/>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 or “holder</w:t>
      </w:r>
      <w:r>
        <w:rPr>
          <w:rFonts w:ascii="Arial" w:cs="Arial" w:eastAsia="Arial" w:hAnsi="Arial"/>
          <w:sz w:val="16"/>
          <w:szCs w:val="16"/>
          <w:color w:val="auto"/>
        </w:rPr>
        <w:t>” means any registered holder, from time to time, of the 2017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$500,000 and whose total revenues for the most recent 12-month period do not exceed $500,000; provided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Intercreditor Agreement, dated as of December 14, 2004, among the trustee for the 2014 Notes, the trustee for the 2017 Notes, the administrative agent under the Credit Agreement, the collateral agent and the other parties thereto from time to time, as such agreement may be amended, modified, restated or supplemented in accordance with the terms of the Indenture.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100" w:firstLine="443"/>
        <w:spacing w:after="0" w:line="268"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2017 Notes or the Note Guarantees) permitted under the Indenture that is secured by a Permitted Lien on the asset or assets that were the subject of such Event of Loss that ranks prior to the security interest of the trustee in those assets, after giving effect to 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in the Collateral Documents and the Intercreditor Agreement as to the relative ranking of security interests, and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2017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2017 Notes, executed pursuant to the provisions of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2017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 favor of Wynn Las Vegas (or any contractor), the agent for the lenders under the Credit Agreement and the trustee supporting the contractor’s or subcontractor’s obligations under any such contract or subcontract.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320" w:firstLine="4"/>
        <w:spacing w:after="0" w:line="255" w:lineRule="auto"/>
        <w:tabs>
          <w:tab w:leader="none" w:pos="69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Indenture, the 2017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59"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2017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firstLine="443"/>
        <w:spacing w:after="0" w:line="332" w:lineRule="auto"/>
        <w:tabs>
          <w:tab w:leader="none" w:pos="122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23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assignment of gaming debts evidenced by a credit instrument, including what are commonly referred to as “markers,” to an Affiliate of Wynn Las Vegas for the purpose of collecting amounts outstanding under such gaming debts or “markers” due to Wynn Las Vegas thereunder; provided, however, that any Affiliate receiving any such assignment enters into a binding agreement to pay all amounts so collected back to Wynn Las Vegas within 30 days of receipt of payment of such collected amounts; provided, further,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2017 Notes or is secured by Liens with a lower priority than the Liens securing the 2017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180" w:firstLine="443"/>
        <w:spacing w:after="0" w:line="306" w:lineRule="auto"/>
        <w:tabs>
          <w:tab w:leader="none" w:pos="114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2017 Notes, or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88" w:val="left"/>
        </w:tabs>
        <w:numPr>
          <w:ilvl w:val="1"/>
          <w:numId w:val="198"/>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collateral agent for the benefit of the trustee for the benefit of the holders of the 2017 Notes securing the obligations under the 2017 Notes, the Note Guarantees and the Credit Agreement;</w:t>
      </w:r>
    </w:p>
    <w:p>
      <w:pPr>
        <w:spacing w:after="0" w:line="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Projects or in the applicable schedule(s) to the Credit Agreement, including the 2014 Notes, as in effect on the date of the Indenture;</w:t>
      </w:r>
    </w:p>
    <w:p>
      <w:pPr>
        <w:spacing w:after="0" w:line="50"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60" w:firstLine="443"/>
        <w:spacing w:after="0" w:line="255"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 provided, however, that this clause (8) shall not be deemed to permit the extension of the liens on the Collateral created by the Indenture and the Collateral Documents with respect to any Indebtedness incurred after the date of the Indenture as the result of the issuance of additional 2017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right="20" w:firstLine="443"/>
        <w:spacing w:after="0" w:line="289" w:lineRule="auto"/>
        <w:tabs>
          <w:tab w:leader="none" w:pos="123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Liens on property or assets to secure Indebtedness permitted by clause (7) of the second paragraph of the covenant described above under the caption “—Certain Covenants—Incurrence of Indebtedness and Issuance of Disqualified Stock,” provided, however, that so long as such Indebtedness is not incurred under the Credit Agreement or through the issuance of additional 2017 Notes under the Indenture, such Liens do not at any time encumber any assets or property other than the assets or property financed by such Indebtedness, and the proceeds (including insurance proceeds), products, rents, profits, accessions and replacements thereof or thereto; provided, further,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2017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22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23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firstLine="443"/>
        <w:spacing w:after="0" w:line="268" w:lineRule="auto"/>
        <w:tabs>
          <w:tab w:leader="none" w:pos="12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60" w:firstLine="443"/>
        <w:spacing w:after="0" w:line="256" w:lineRule="auto"/>
        <w:tabs>
          <w:tab w:leader="none" w:pos="12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2017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(14)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23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259" w:lineRule="auto"/>
        <w:tabs>
          <w:tab w:leader="none" w:pos="12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59" w:lineRule="exact"/>
        <w:rPr>
          <w:sz w:val="20"/>
          <w:szCs w:val="20"/>
          <w:color w:val="auto"/>
        </w:rPr>
      </w:pPr>
    </w:p>
    <w:p>
      <w:pPr>
        <w:ind w:left="1580" w:hanging="239"/>
        <w:spacing w:after="0"/>
        <w:tabs>
          <w:tab w:leader="none" w:pos="15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280" w:firstLine="421"/>
        <w:spacing w:after="0" w:line="259" w:lineRule="auto"/>
        <w:tabs>
          <w:tab w:leader="none" w:pos="158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40" w:firstLine="443"/>
        <w:spacing w:after="0" w:line="268" w:lineRule="auto"/>
        <w:tabs>
          <w:tab w:leader="none" w:pos="12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460" w:right="60" w:firstLine="443"/>
        <w:spacing w:after="0" w:line="335" w:lineRule="auto"/>
        <w:tabs>
          <w:tab w:leader="none" w:pos="1235" w:val="left"/>
        </w:tabs>
        <w:numPr>
          <w:ilvl w:val="0"/>
          <w:numId w:val="202"/>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 which liens may be of equal or lesser priority as the liens securing the 2017 Notes;</w:t>
      </w:r>
    </w:p>
    <w:p>
      <w:pPr>
        <w:spacing w:after="0" w:line="7" w:lineRule="exact"/>
        <w:rPr>
          <w:rFonts w:ascii="Arial" w:cs="Arial" w:eastAsia="Arial" w:hAnsi="Arial"/>
          <w:sz w:val="15"/>
          <w:szCs w:val="15"/>
          <w:color w:val="auto"/>
        </w:rPr>
      </w:pPr>
    </w:p>
    <w:p>
      <w:pPr>
        <w:jc w:val="both"/>
        <w:ind w:left="460" w:firstLine="443"/>
        <w:spacing w:after="0" w:line="298" w:lineRule="auto"/>
        <w:tabs>
          <w:tab w:leader="none" w:pos="123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380" w:firstLine="443"/>
        <w:spacing w:after="0" w:line="259" w:lineRule="auto"/>
        <w:tabs>
          <w:tab w:leader="none" w:pos="12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(13)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2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00" w:firstLine="443"/>
        <w:spacing w:after="0" w:line="259" w:lineRule="auto"/>
        <w:tabs>
          <w:tab w:leader="none" w:pos="12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right="400" w:firstLine="443"/>
        <w:spacing w:after="0" w:line="306" w:lineRule="auto"/>
        <w:tabs>
          <w:tab w:leader="none" w:pos="114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secured by a Lien described in clause (10) of the definition of “Permitted Liens,” the principal amount, or accreted value will not exceed the then current Fair Market Value of the asset so encumbered;</w:t>
      </w:r>
    </w:p>
    <w:p>
      <w:pPr>
        <w:spacing w:after="0" w:line="51" w:lineRule="exact"/>
        <w:rPr>
          <w:sz w:val="20"/>
          <w:szCs w:val="20"/>
          <w:color w:val="auto"/>
        </w:rPr>
      </w:pPr>
    </w:p>
    <w:p>
      <w:pPr>
        <w:ind w:left="460" w:right="200" w:firstLine="443"/>
        <w:spacing w:after="0" w:line="259"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jc w:val="both"/>
        <w:ind w:left="460" w:right="60" w:firstLine="443"/>
        <w:spacing w:after="0" w:line="298" w:lineRule="auto"/>
        <w:tabs>
          <w:tab w:leader="none" w:pos="114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2017 Notes or the Note Guarantees, such Permitted Refinancing Indebtedness has a final maturity date later than the final maturity date of, and is subordinated in right of payment to, the 2017 Notes or the Note Guarantees, as applicable, on terms at least as favorable, taken as a whole, to the Holders of 2017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such Indebtedness is incurred by the Person that is the obligor on the Indebtedness being extended, refinanced, renewed, replaced, defeased or</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40" w:firstLine="443"/>
        <w:spacing w:after="0" w:line="332" w:lineRule="auto"/>
        <w:tabs>
          <w:tab w:leader="none" w:pos="114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will be designed, developed, constructed and operated.</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hotel tower, casino facility and retail and convention space to be constructed on the Phase II Land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the Phase II Project.</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common equity contribution to Wynn Las Vegas.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the Phase II Project and the Macau Project shall count as separate projects.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2017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Pledge and Security Agreement, dated as of December 14, 2004, among the Issuers, the Restricted Subsidiaries, Wynn Holdings and the collateral agent,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80" w:firstLine="443"/>
        <w:spacing w:after="0" w:line="298" w:lineRule="auto"/>
        <w:tabs>
          <w:tab w:leader="none" w:pos="114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right="20" w:firstLine="443"/>
        <w:spacing w:after="0" w:line="332" w:lineRule="auto"/>
        <w:tabs>
          <w:tab w:leader="none" w:pos="114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UEC</w:t>
      </w:r>
      <w:r>
        <w:rPr>
          <w:rFonts w:ascii="Arial" w:cs="Arial" w:eastAsia="Arial" w:hAnsi="Arial"/>
          <w:sz w:val="18"/>
          <w:szCs w:val="18"/>
          <w:color w:val="auto"/>
        </w:rPr>
        <w:t>” means Universal Entertainment Corporation, a Japanese public corporation.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210"/>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 Agreement</w:t>
      </w:r>
      <w:r>
        <w:rPr>
          <w:rFonts w:ascii="Arial" w:cs="Arial" w:eastAsia="Arial" w:hAnsi="Arial"/>
          <w:sz w:val="18"/>
          <w:szCs w:val="18"/>
          <w:color w:val="auto"/>
        </w:rPr>
        <w:t>” means the Amended and Restated Project Administrative Services Agreement, dated as of December 14, 2004, between Wynn Las Vegas and Wynn Design,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2020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2020 notes under an indenture (the “Indenture”), dated as of April 28, 2010, among the Issuers, as joint and several obligors, the Guarantors and U.S. Bank National Association, as trustee (the “trustee”). This is the same indenture under which the old 2020 notes were issued. The terms of the new 2020 notes will include those stated in the Indenture and those made part of the Indenture by reference to the Trust Indenture Act of 1939, as amended. The Collateral Documents referred to under the caption “—Security” define the terms of the collateral that will secure the new 2020 Notes and the Note Guarantees. The term “2020 Notes” shall also include the new 2020 notes and the old 2020 notes and the term “Note Guarantees” shall also include the guarantees of the new 2020 notes and the guarantees of the old 2020 notes.</w:t>
      </w:r>
    </w:p>
    <w:p>
      <w:pPr>
        <w:spacing w:after="0" w:line="120"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2020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2020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2020 Notes Versus the Old 2020 Notes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new 2020 notes are substantially identical to the old 2020 notes except that the transfer restrictions, registration rights and liquidated damages provisions relating to the old 2020 notes do not apply to the new 2020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2020 Notes and the Note Guarantees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The Issuers. </w:t>
      </w:r>
      <w:r>
        <w:rPr>
          <w:rFonts w:ascii="Arial" w:cs="Arial" w:eastAsia="Arial" w:hAnsi="Arial"/>
          <w:sz w:val="16"/>
          <w:szCs w:val="16"/>
          <w:color w:val="auto"/>
        </w:rPr>
        <w:t>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2020 Notes in order to facilitate the exchange offer. We believe that certain prospective investors in the new 2020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2020 notes should not expect Wynn Capital to participate in servicing principal, interest or other amounts required to be paid on the new 2020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2020 notes:</w:t>
      </w:r>
    </w:p>
    <w:p>
      <w:pPr>
        <w:spacing w:after="0" w:line="90" w:lineRule="exact"/>
        <w:rPr>
          <w:sz w:val="20"/>
          <w:szCs w:val="20"/>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$382,010,000;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will mature on May 1, 2020;</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2020 Notes offered hereby, payable in arrears each November 1 and May 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May 1, 2015, at a premium declining ratably to par;</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2020 notes will be guaranteed by all of the Domestic Subsidiaries other than the Completion Guarantor.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2020 notes and the Note Guarantees offered hereby:</w:t>
      </w:r>
    </w:p>
    <w:p>
      <w:pPr>
        <w:spacing w:after="0" w:line="90" w:lineRule="exact"/>
        <w:rPr>
          <w:sz w:val="20"/>
          <w:szCs w:val="20"/>
          <w:color w:val="auto"/>
        </w:rPr>
      </w:pPr>
    </w:p>
    <w:p>
      <w:pPr>
        <w:ind w:left="900" w:hanging="446"/>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will be secured, in the case of the 2020 Notes, by a perfected first priority lien on (1) substantially all of the existing and future assets of Wynn Las Vegas other than gaming and liquor licenses and other assets in which the grant of a security interest is restricted by their terms or by law, and</w:t>
      </w:r>
    </w:p>
    <w:p>
      <w:pPr>
        <w:ind w:left="900"/>
        <w:spacing w:after="0"/>
        <w:rPr>
          <w:rFonts w:ascii="Arial" w:cs="Arial" w:eastAsia="Arial" w:hAnsi="Arial"/>
          <w:sz w:val="16"/>
          <w:szCs w:val="16"/>
          <w:color w:val="auto"/>
        </w:rPr>
      </w:pPr>
      <w:r>
        <w:rPr>
          <w:rFonts w:ascii="Arial" w:cs="Arial" w:eastAsia="Arial" w:hAnsi="Arial"/>
          <w:sz w:val="16"/>
          <w:szCs w:val="16"/>
          <w:color w:val="auto"/>
        </w:rPr>
        <w:t>(2) subject to the prior approval of the Nevada Gaming Authorities, the pledged Equity Interests held by Wynn Resorts Holdings in Wynn Las Vegas;</w:t>
      </w:r>
    </w:p>
    <w:p>
      <w:pPr>
        <w:spacing w:after="0" w:line="106"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will be secured, in the case of the Note Guarantees, by a perfected first priority lien on substantially all of the Guarantors’ existing and future assets other than the Aircraft Assets and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will be pari passu with Wynn Las Vegas’ borrowings under the Credit Agreement, the 2014 Notes and the 2017 Notes, which borrowings, 2014 Notes and 2017 Notes are secured by a perfected first priority lien on the same assets as are subject to the lien securing the 2020 Notes and the Note Guarantees (subject to certain exceptions); and</w:t>
      </w:r>
    </w:p>
    <w:p>
      <w:pPr>
        <w:spacing w:after="0" w:line="59"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trustee has entered into the Intercreditor Agreement to govern the relations between the holders of the 2014 Notes, the holders of the 2017 Notes, the holders of the 2020 Notes, the lenders under the Credit Agreement, the collateral agent and the holders of future permitted senior and junior indebtedness with respect to the Collateral. The Intercreditor Agreement imposes restrictions on the enforcement of remedies with respect to the Collateral securing the 2020 Notes and the Note Guarantees under specified circumstances. Pursuant to the Intercreditor Agreement, as long as any Indebtedness is outstanding under our credit facilities or any of the 2014 Notes remain outstanding, the holders of the 2020 Notes will not have any right to direct the collateral agent to enforce remedies against the Collateral. All proceeds of the Collateral must be shared on a pari passu basis with the lenders under our Credit Agreement, the holders of the 2014 Notes, the holders of the 2017 Notes and any other Pari Passu Debt in accordance with the sharing provisions of the Intercreditor Agreement. See “Intercreditor Agreement.”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Collateral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provides that under certain circumstances if (i) the lenders under the Credit Agreement release their first priority security interest in all of the Collateral and (ii) the lenders under all other outstanding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holders of the 2020 Notes’ first priority security interest in all of the Collateral will also be released. See “—Security—Release of Collateral.”</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the holders of the 2020 Notes’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2020 Notes then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Issuers will issue up to $382,010,000 in aggregate principal amount of new 2020 notes in this exchange offer. The Issuers may issue additional 2020 Notes under the Indenture from time to time after this exchange offer. Any issuance of additional 2020 Notes is subject to all of the covenants in the Indenture, including the covenant described below under the caption “—Certain Covenants—Incurrence of Indebtedness and Issuance of Disqualified Stock.” The 2020 Notes and any additional 2020 Notes subsequently issued under the Indenture will (subject to the qualifications expressed in the third paragraph of this “Description of the 2020 Notes”) be treated as a single class for all purposes under the Indenture, including, without limitation, waivers, amendments, redemptions and offers to purchase. It is possible, however, that any such additional 2020 Notes will not be treated as part of the same issue for United States federal income tax purposes. The Issuers will issue new 2020 notes in denominations of $2,000 and integral multiples of $1,000 in excess of $2,000. The new 2020 notes will mature on May 1, 2020.</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 xml:space="preserve">Interest on the new 2020 notes will accrue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November 1 and May 1, with the first interest payment date being November 1, 2010. Interest on overdue principal and interest and Liquidated Damages, if any, will accrue at a rate that is 1% higher than the then applicable interest rate on the new 2020 notes. The Issuers will make each interest payment to the holders of record on the immediately preceding October 15 and April 15.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new 2020 notes accrues from the date of original issuance or, if interest has already been paid, from the date it was most recently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Methods of Receiving Payments on the 2020 Notes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All payments on the 2020 Notes will be made at the office or agency of the paying agent and registrar within the City and State of New York unless the Issuers elect to make interest payments by check mailed to the holders of the 2020 Notes at their addresses set forth in the register of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Paying Agent and Registrar for the 2020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2020 Notes, and either or both of the Issuers or any of their respective Subsidiaries may act as paying agent or registrar.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and Exchange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holder may transfer or exchange 2020 Notes in accordance with the provisions of the Indenture. The registrar and the trustee may require a holder, among other things, to furnish appropriate endorsements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 documents in connection with a transfer of 2020 Notes. Holders will be required to pay all taxes due on transfer. The Issuers will not be required to transfer or exchange any 2020 Note selected for redemption. Also, the Issuers will not be required to transfer or exchange any 2020 Note for a period of 15 days before a selection of 2020 Notes to be redeemed.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Note Guarantees are joint and several obligations of the Guarantors. The obligations of each Guarantor under its Note Guarantee are limited as necessary to prevent such Note Guarantee from constituting a fraudulent conveyance under applicable law. See “Risk Factors—Risks Related to the 2020 Notes and the 2017 Notes.” Federal and state statutes allow courts, under specific circumstances, to void the guarantees, and require holders of the 2020 Notes to return payments received from us or the Guarantors.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Note Guarantees are secured by substantially all of the assets of the Guarantors (other than the Aircraft Assets and gaming and liquor licenses and other assets in which the grant of a security interest is prohibited by their terms or by law) as more fully described below under the caption “—Security—Security for the Note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00" w:firstLine="421"/>
        <w:spacing w:after="0" w:line="306" w:lineRule="auto"/>
        <w:tabs>
          <w:tab w:leader="none" w:pos="157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Note Guarantees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91" w:lineRule="auto"/>
        <w:tabs>
          <w:tab w:leader="none" w:pos="114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holders of the 2020 Notes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460" w:right="780" w:firstLine="443"/>
        <w:spacing w:after="0" w:line="268" w:lineRule="auto"/>
        <w:tabs>
          <w:tab w:leader="none" w:pos="114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4" w:lineRule="exact"/>
        <w:rPr>
          <w:sz w:val="20"/>
          <w:szCs w:val="20"/>
          <w:color w:val="auto"/>
        </w:rPr>
      </w:pPr>
    </w:p>
    <w:p>
      <w:pPr>
        <w:ind w:left="460" w:right="200" w:firstLine="443"/>
        <w:spacing w:after="0" w:line="259" w:lineRule="auto"/>
        <w:tabs>
          <w:tab w:leader="none" w:pos="114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Wynn Las Vegas designates such Guarantor, if a Restricted Subsidiary,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for the New 2020 Notes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2020</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secured by, among other things:</w:t>
      </w:r>
    </w:p>
    <w:p>
      <w:pPr>
        <w:spacing w:after="0" w:line="51" w:lineRule="exact"/>
        <w:rPr>
          <w:sz w:val="20"/>
          <w:szCs w:val="20"/>
          <w:color w:val="auto"/>
        </w:rPr>
      </w:pPr>
    </w:p>
    <w:p>
      <w:pPr>
        <w:ind w:left="460" w:right="20" w:firstLine="443"/>
        <w:spacing w:after="0" w:line="259" w:lineRule="auto"/>
        <w:tabs>
          <w:tab w:leader="none" w:pos="114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Wynn Las Vegas Resort and Encore at Wynn Las Vegas, other than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 perfected first priority pledge of the Equity Interests held by the Issuers in any of their respective existing or future Restricted Subsidiaries.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2020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for the Note Guarantees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Subject to liens permitted by the Collateral Documents, and to the extent permitted by Gaming Laws and other applicable laws, the Note Guarantees are secured by, among other things, a perfected first priority security interest in substantially all of the existing and future assets (other than gaming and liquor licenses) of the Guarantors, provided that the Note Guarantee of World Travel, LLC is not secured by the Aircraft Assets.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2020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2020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Golf Course Land</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4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first priority security interest in the Golf Course Land (provided that it will not be deemed to be a release of the first priority security interest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57" w:lineRule="auto"/>
        <w:tabs>
          <w:tab w:leader="none" w:pos="1147" w:val="left"/>
        </w:tabs>
        <w:numPr>
          <w:ilvl w:val="0"/>
          <w:numId w:val="221"/>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interests,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2020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Portions of the Golf Course Land</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holders of the 2020 Notes’ security interest in the Home Site Land, Wynn Las Vegas or any of the Restricted Subsidiaries grants a security interest in any or all of the Home Site Land to secure other Indebtedness or any guarantee thereof, such Person will concurrently grant a first priority security interest on such portions of the Home Site Land in favor of the trustee for the benefit of the holders of the 2020 Notes to secure the 2020 Notes (or, if such Person is a Guarantor, its Note Guarantee of the 2020 Notes). That security interest in favor of the trustee for the benefit of the holders of the 2020 Notes will be a first priority security interest pari passu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holders of the 2020 Notes and may determine to release their liens under different circumstances, which would nevertheless result in the automatic release of the first priority liens by the holders of the 2020 Notes.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13" w:lineRule="exact"/>
        <w:rPr>
          <w:rFonts w:ascii="Arial" w:cs="Arial" w:eastAsia="Arial" w:hAnsi="Arial"/>
          <w:sz w:val="16"/>
          <w:szCs w:val="16"/>
          <w:color w:val="auto"/>
        </w:rPr>
      </w:pPr>
    </w:p>
    <w:p>
      <w:pPr>
        <w:ind w:left="460" w:firstLine="443"/>
        <w:spacing w:after="0" w:line="253" w:lineRule="auto"/>
        <w:tabs>
          <w:tab w:leader="none" w:pos="114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no Points of Diversion with respect to any water permits held by the Issuers or any of the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 (B) own and operate such wells and (C) transport such water to the water features of the Project and/or the Golf Course;</w:t>
      </w:r>
    </w:p>
    <w:p>
      <w:pPr>
        <w:spacing w:after="0" w:line="66" w:lineRule="exact"/>
        <w:rPr>
          <w:rFonts w:ascii="Arial" w:cs="Arial" w:eastAsia="Arial" w:hAnsi="Arial"/>
          <w:sz w:val="18"/>
          <w:szCs w:val="18"/>
          <w:color w:val="auto"/>
        </w:rPr>
      </w:pPr>
    </w:p>
    <w:p>
      <w:pPr>
        <w:ind w:left="460" w:right="40" w:firstLine="443"/>
        <w:spacing w:after="0" w:line="286" w:lineRule="auto"/>
        <w:tabs>
          <w:tab w:leader="none" w:pos="1147" w:val="left"/>
        </w:tabs>
        <w:numPr>
          <w:ilvl w:val="1"/>
          <w:numId w:val="222"/>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720" w:hanging="256"/>
        <w:spacing w:after="0"/>
        <w:tabs>
          <w:tab w:leader="none" w:pos="7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above; and</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At any time prior to May 1, 2013, the Issuers may, on any one or more occasions, redeem up to 35% of the aggregate principal amount of 2020 Notes issued under the Indenture at a redemption price of 107.875%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2020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2020 Notes will not be redeemable at the Issuers’ option prior to May 1, 2015.</w:t>
      </w:r>
    </w:p>
    <w:p>
      <w:pPr>
        <w:spacing w:after="0" w:line="17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or after May 1, 2015, the Issuers may redeem all or a part of the 2020 Notes upon not less than 30 nor more than 60 days’ notice, at the redemption prices (expressed as percentages of principal amount) set forth below plus accrued and unpaid interest and Liquidated Damages, if any, on the 2020 Notes redeemed,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applicable redemption date, if redeemed during the twelve-month period beginning on May 1 of the years indicated below, subject to the rights of holders of 2020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 on the relevant record date to receive interest on the relevant interest payment date: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103.938%</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102.625%</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101.313%</w:t>
            </w: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2020 Notes or portions thereof called for redemption on the applicable redemption date.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2020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right="280" w:firstLine="443"/>
        <w:spacing w:after="0" w:line="268" w:lineRule="auto"/>
        <w:tabs>
          <w:tab w:leader="none" w:pos="114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2020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920" w:right="60" w:firstLine="421"/>
        <w:spacing w:after="0" w:line="268" w:lineRule="auto"/>
        <w:tabs>
          <w:tab w:leader="none" w:pos="1579"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58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redeem the 2020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the principal amount of the 2020 Notes; and</w:t>
      </w:r>
    </w:p>
    <w:p>
      <w:pPr>
        <w:spacing w:after="0" w:line="90" w:lineRule="exact"/>
        <w:rPr>
          <w:rFonts w:ascii="Arial" w:cs="Arial" w:eastAsia="Arial" w:hAnsi="Arial"/>
          <w:sz w:val="18"/>
          <w:szCs w:val="18"/>
          <w:color w:val="auto"/>
        </w:rPr>
      </w:pPr>
    </w:p>
    <w:p>
      <w:pPr>
        <w:ind w:left="1500" w:right="140" w:firstLine="389"/>
        <w:spacing w:after="0" w:line="256" w:lineRule="auto"/>
        <w:tabs>
          <w:tab w:leader="none" w:pos="2155" w:val="left"/>
        </w:tabs>
        <w:numPr>
          <w:ilvl w:val="2"/>
          <w:numId w:val="225"/>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2020 Notes in either case, together with accrued and unpaid interest and Liquidated Damages, if any, on the 2020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2020 Notes will not be licensed, qualified or found suitable, the holder or beneficial owner will not have any further rights with respect to the 2020 Notes to:</w:t>
      </w:r>
    </w:p>
    <w:p>
      <w:pPr>
        <w:spacing w:after="0" w:line="51" w:lineRule="exact"/>
        <w:rPr>
          <w:sz w:val="20"/>
          <w:szCs w:val="20"/>
          <w:color w:val="auto"/>
        </w:rPr>
      </w:pPr>
    </w:p>
    <w:p>
      <w:pPr>
        <w:ind w:left="1160" w:hanging="257"/>
        <w:spacing w:after="0"/>
        <w:tabs>
          <w:tab w:leader="none" w:pos="11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2020 Notes; or</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2020 Notes, or any remuneration in any form from the Issuers for services rendered or otherwise, except the redemption price of the 2020 Notes described in this section.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2020 Notes who is required to apply for such license, qualification or finding of suitability for the costs relating thereto. Those expenses will be the obligation of the holder or beneficial owner.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2020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a Change of Control occurs, each holder of 2020 Notes will have the right to require the Issuers to repurchase all or any part (equal to $2,000 or an integral multiple of $1,000 in excess of $2,000) of that holder’s 2020 Notes pursuant to a Change of Control Offer on the terms set forth in the Indenture. In the Change of Control Offer, the Issuers will offer a payment (the “Change of Control Payment”) in cash equal to 101% of the aggregate principal amount of 2020 Notes repurchased plus accrued and unpaid interest and Liquidated Damages, if any, on the 2020 Notes repurchased to the date of purchase. Within 10 days following any Change of Control, the Issuers will mail a notice to each holder describing the transaction or transactions that constitute the Change of Control and offering to repurchase 2020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accept for payment all 2020 Notes or portions of 2020 Notes properly tendered pursuant to the Change of Control Offer;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2020 Notes or portions of 2020 Notes properly tendered; and</w:t>
      </w:r>
    </w:p>
    <w:p>
      <w:pPr>
        <w:spacing w:after="0" w:line="5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2020 Notes properly accepted together with an officers’ certificate stating the aggregate principal amount of 2020 Notes or portions of 2020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2020 Notes properly tendered the Change of Control Payment for such 2020 Notes, and the trustee will promptly authenticate and mail (or cause to be transferred by book-entry) to each holder a 2020 Note equal in principal amount to any unpurchased portion of the 2020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Except as described above with respect to a Change of Control, the Indenture does not contain provisions that permit the holders of the 2020 Notes to require that the Issuers repurchase or redeem the 2020 Notes in the event of a takeover, recapitalization or similar transaction.</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2020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Subsidiaries, taken as a whole. Although there is a limited body of case law interpreting the phrase “substantially all,” there is no precise established definition of the phrase under applicable law. Accordingly, the ability of a holder of 2020 Notes to require the Issuers to repurchase its 2020 Notes as a result of a sale, lease, transfer, conveyance or other disposition of less than all of the assets of Wynn Las Vegas and its Restricted Subsidiaries, taken as a whole, to another Person or group may be uncertain.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20" w:firstLine="443"/>
        <w:spacing w:after="0" w:line="259"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00" w:firstLine="443"/>
        <w:spacing w:after="0" w:line="332" w:lineRule="auto"/>
        <w:tabs>
          <w:tab w:leader="none" w:pos="114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4"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40" w:firstLine="421"/>
        <w:spacing w:after="0" w:line="256" w:lineRule="auto"/>
        <w:tabs>
          <w:tab w:leader="none" w:pos="1579"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2020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right="120" w:firstLine="421"/>
        <w:spacing w:after="0" w:line="370" w:lineRule="auto"/>
        <w:tabs>
          <w:tab w:leader="none" w:pos="1588" w:val="left"/>
        </w:tabs>
        <w:numPr>
          <w:ilvl w:val="1"/>
          <w:numId w:val="228"/>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and the 2017 Notes,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and the 2017 Notes, and subject to other Permitted Liens and the terms of the Intercreditor Agreement) in favor of the trustee, on behalf of the holders of 2020 Notes, as security for the 2020 Notes.</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Net Proceeds from Asset Sales that are not applied or invested as provided in the preceding paragraph will constitute “Excess Net Proceeds.” Within 10 days following the earlier of (i) the date on which the aggregate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2020 Notes then outstanding and all Pari Passu Debt then outstanding, and the denominator of which is the total aggregate principal amount of 2020 Notes then outstanding, all Pari Passu Debt then outstanding and all Indebtedness then outstanding under the Credit Agreement (such amount being the “Asset Sale Offer Amount”), to make an offer (an “Asset Sale Offer”) to all holders of 2020 Notes and, to the extent required, the holders of such Pari Passu Debt to repurchase such 2020 Notes and such Pari Passu Debt at an offer price equal to 100% of the principal amount of the 2020 Notes and such Pari Passu Debt to be purchased plus accrued and unpaid interest and Liquidated Damages, if any, on the 2020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2020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2017 Notes and the Collateral Documents, including, without limitation, to reduce revolving credit Indebtedness (and, if required, commitments) under the Credit Agreement. If the aggregate principal amount of 2020 Notes and such other Pari Passu Debt tendered into such Asset Sale Offer exceeds the Asset Sale Offer Amount that may be applied to the Asset Sale Offer, the trustee will select the 2020 Notes and such other Pari Passu Debt to be purchased as described below under the caption “— Selection and Notice” and in accordance with the Indenture. Upon completion of each Asset Sale Offer, the amount of Excess Proceeds will be reset at zero.</w:t>
      </w: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Loss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Encore at Wynn Las Vegas at any time prior to the completion of Encore at Wynn Las Vegas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2020 Notes; so long as, in the case of any such Collateral with a Fair Market Value (or replacement cost, if higher) in excess of $500.0 million:</w:t>
      </w:r>
    </w:p>
    <w:p>
      <w:pPr>
        <w:spacing w:after="0" w:line="35" w:lineRule="exact"/>
        <w:rPr>
          <w:sz w:val="20"/>
          <w:szCs w:val="20"/>
          <w:color w:val="auto"/>
        </w:rPr>
      </w:pPr>
    </w:p>
    <w:p>
      <w:pPr>
        <w:ind w:left="460" w:right="400" w:firstLine="443"/>
        <w:spacing w:after="0" w:line="332" w:lineRule="auto"/>
        <w:tabs>
          <w:tab w:leader="none" w:pos="114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40" w:firstLine="443"/>
        <w:spacing w:after="0" w:line="294" w:lineRule="auto"/>
        <w:tabs>
          <w:tab w:leader="none" w:pos="114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firstLine="443"/>
        <w:spacing w:after="0" w:line="268" w:lineRule="auto"/>
        <w:tabs>
          <w:tab w:leader="none" w:pos="11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 Certain Covenants—Line of Business.”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2020 Notes then outstanding and all Pari Passu Debt then outstanding, and the denominator of which is the total aggregate principal amount of 2020 Notes then outstanding, all Pari Passu Debt then outstanding and all Indebtedness then outstanding under the Credit Agreement (such amount being the “Event of Loss Offer Amount”), to make an offer (an “Event of Loss Offer”) to all holders of 2020 Notes and, to the extent required, the holders of such Pari Passu Debt to repurchase such 2020 Notes and such Pari Passu Debt at an offer price equal to 100% of the principal amount of the 2020 Notes and such Pari Passu Debt to be purchased plus accrued and unpaid interest and Liquidated Damages, if any, on the 2020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2020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the 2014 Notes, the 2017 Notes and the Collateral Documents, including, without limitation, to reduce revolving credit Indebtedness (and, if required, commitments) under the Credit Agreement. If the aggregate principal amount of 2020 Notes and such other Pari Passu Debt tendered into such Event of Loss Offer exceeds the Event of Loss Offer Amount that may be applied to the Event of Loss Offer, the trustee will select the 2020 Notes and such other Pari Passu Debt to be purchased as described below under the caption “—Selection and Notice” and in accordance with the Indenture. Upon completion of each Event of Loss Offer, the amount of Excess Loss Proceeds will be reset at zero. Any Event of Loss Offer made pursuant to the terms of the indenture governing the 2014 Notes or the 2017 Notes shall be required to be made to the holders of the 2020 Notes, as holders of Pari Passu Debt (as defined in those indentures).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 of Loss Offer Amount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Pending their application, all Net Loss Proceeds will either be (1) applied to temporarily reduce amounts outstanding under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 revolving credit Indebtedness under the Credit Agreement,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89" w:lineRule="auto"/>
        <w:tabs>
          <w:tab w:leader="none" w:pos="24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invested in Cash Equivalents held in an account in which the trustee has a perfected first priority security interest for the benefit of the Holders (equal and ratable with the perfected security interest securing the Credit Agreement, the 2014 Notes, the 2017 Notes,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the 2014 Notes, the 2017 Notes,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will be required to receive consideration:</w:t>
      </w:r>
    </w:p>
    <w:p>
      <w:pPr>
        <w:spacing w:after="0" w:line="59" w:lineRule="exact"/>
        <w:rPr>
          <w:sz w:val="20"/>
          <w:szCs w:val="20"/>
          <w:color w:val="auto"/>
        </w:rPr>
      </w:pPr>
    </w:p>
    <w:p>
      <w:pPr>
        <w:ind w:left="460" w:right="600" w:firstLine="443"/>
        <w:spacing w:after="0" w:line="268" w:lineRule="auto"/>
        <w:tabs>
          <w:tab w:leader="none" w:pos="114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Repurchase of 2020 Notes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2020 Notes of their rights to require Wynn Las Vegas to repurchase the 2020 Notes upon a Change of Control Offer, an Asset Sale Offer or Event of Loss Offer, as the case may be, could cause a default under these other agreements. Finally, Wynn Las Vegas’ ability to pay cash to the holders of 2020 Notes upon a repurchase under a Change of Control Offer, Asset Sale Offer or Event of Loss Offer may be limited by Wynn Las Vegas’ then existing financial resources. See “Risk Factors—Risks Related to the 2020 Notes and the 2017 Notes—We may not be able to fulfill our repurchase obligations with respect to the 2020 Notes upon a change of control.”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Compliance with Securities Laws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2020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Selection and Notice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less than all of the 2020 Notes are to be redeemed at any time, the trustee will select 2020 Notes for redemption on a pro rata basis, by lot or by any other method the trustee deems fair and appropriate, unless otherwise required by law or applicable stock exchange requirements. No 2020 Notes of $1,000 or less can be redeemed or purchased in part. However, if all of the 2020 Notes of a Holder are to be redeemed or purchased,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entire outstanding amount of 2020 Notes held by such Holder, even if not a multiple of $1,000, will be redeemed or purchased. Notices of redemption or purchase will be mailed by first class mail at least 30 but not more than 60 days before the redemption or purchase date to each Holder of 2020 Notes to be redeemed or purchased at its registered address, except that redemption or purchase notices may be mailed more than 60 days prior to a redemption or purchase date if the notice is issued in connection with a defeasance of the 2020 Notes or a satisfaction and discharge of the Indenture. Notices of redemption may not be conditional.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any 2020 Note is to be redeemed in part only, the notice of redemption that relates to that note will state the portion of the principal amount of that note that is to be redeemed. A note in principal amount equal to the unredeemed portion of the original note will be issued in the name of the Holder of 2020 Notes upon cancellation of the original note. 2020 Notes called for redemption become due on the date fixed for redemption. On and after the redemption date, interest ceases to accrue on 2020 Notes or portions of 2020 Notes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60" w:firstLine="443"/>
        <w:spacing w:after="0" w:line="284" w:lineRule="auto"/>
        <w:tabs>
          <w:tab w:leader="none" w:pos="1147" w:val="left"/>
        </w:tabs>
        <w:numPr>
          <w:ilvl w:val="1"/>
          <w:numId w:val="233"/>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2020 Notes or the Guarantees or that is expressly subordinated in right of payment to the 2020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320" w:firstLine="421"/>
        <w:spacing w:after="0" w:line="268" w:lineRule="auto"/>
        <w:tabs>
          <w:tab w:leader="none" w:pos="1579" w:val="left"/>
        </w:tabs>
        <w:numPr>
          <w:ilvl w:val="1"/>
          <w:numId w:val="236"/>
        </w:numPr>
        <w:rPr>
          <w:rFonts w:ascii="Arial" w:cs="Arial" w:eastAsia="Arial" w:hAnsi="Arial"/>
          <w:sz w:val="18"/>
          <w:szCs w:val="18"/>
          <w:color w:val="auto"/>
        </w:rPr>
      </w:pPr>
      <w:r>
        <w:rPr>
          <w:rFonts w:ascii="Arial" w:cs="Arial" w:eastAsia="Arial" w:hAnsi="Arial"/>
          <w:sz w:val="18"/>
          <w:szCs w:val="18"/>
          <w:color w:val="auto"/>
        </w:rPr>
        <w:t>50% of the Consolidated Net Income of Wynn Las Vegas and its Restricted Subsidiaries for the period (taken as one accounting period) from the beginning of January 1, 2010 to the end of Wynn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Las Vegas’ most recently ended fiscal quarter for which internal financial statements are available at the time of such Restricted Payment (or, if such Consolidated Net Income for such period is a deficit, less 100% of such deficit); plus</w:t>
      </w:r>
    </w:p>
    <w:p>
      <w:pPr>
        <w:spacing w:after="0" w:line="51" w:lineRule="exact"/>
        <w:rPr>
          <w:sz w:val="20"/>
          <w:szCs w:val="20"/>
          <w:color w:val="auto"/>
        </w:rPr>
      </w:pPr>
    </w:p>
    <w:p>
      <w:pPr>
        <w:jc w:val="both"/>
        <w:ind w:left="920" w:right="460" w:firstLine="421"/>
        <w:spacing w:after="0" w:line="303" w:lineRule="auto"/>
        <w:tabs>
          <w:tab w:leader="none" w:pos="1588" w:val="left"/>
        </w:tabs>
        <w:numPr>
          <w:ilvl w:val="1"/>
          <w:numId w:val="237"/>
        </w:numPr>
        <w:rPr>
          <w:rFonts w:ascii="Arial" w:cs="Arial" w:eastAsia="Arial" w:hAnsi="Arial"/>
          <w:sz w:val="15"/>
          <w:szCs w:val="15"/>
          <w:color w:val="auto"/>
        </w:rPr>
      </w:pPr>
      <w:r>
        <w:rPr>
          <w:rFonts w:ascii="Arial" w:cs="Arial" w:eastAsia="Arial" w:hAnsi="Arial"/>
          <w:sz w:val="15"/>
          <w:szCs w:val="15"/>
          <w:color w:val="auto"/>
        </w:rPr>
        <w:t>100% of the aggregate net cash proceeds received by Wynn Las Vegas subsequent to January 1, 2010 as a contribution to its common equity capital, excluding (i) any such net cash proceeds received by Wynn Las Vegas subsequent to January 1, 2010 to the extent consisting of capital contributions made to Wynn Las Vegas for the purpose of satisfying the “in-balance” requirements of the Disbursement Agreement and</w:t>
      </w:r>
    </w:p>
    <w:p>
      <w:pPr>
        <w:spacing w:after="0" w:line="1" w:lineRule="exact"/>
        <w:rPr>
          <w:rFonts w:ascii="Arial" w:cs="Arial" w:eastAsia="Arial" w:hAnsi="Arial"/>
          <w:sz w:val="15"/>
          <w:szCs w:val="15"/>
          <w:color w:val="auto"/>
        </w:rPr>
      </w:pPr>
    </w:p>
    <w:p>
      <w:pPr>
        <w:ind w:left="920" w:right="660" w:firstLine="1"/>
        <w:spacing w:after="0" w:line="323" w:lineRule="auto"/>
        <w:tabs>
          <w:tab w:leader="none" w:pos="117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any such net cash proceeds received by Wynn Las Vegas to the extent used to incur Indebtedness pursuant to clause (16) of the covenant described below under the caption “—Incurrence of Indebtedness and Issuance of Disqualified Stock”; plus</w:t>
      </w:r>
    </w:p>
    <w:p>
      <w:pPr>
        <w:spacing w:after="0" w:line="12"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(c)(i) to the extent that any Restricted Investment that was made after January 1, 2010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39" w:lineRule="exact"/>
        <w:rPr>
          <w:sz w:val="20"/>
          <w:szCs w:val="20"/>
          <w:color w:val="auto"/>
        </w:rPr>
      </w:pPr>
    </w:p>
    <w:p>
      <w:pPr>
        <w:jc w:val="both"/>
        <w:ind w:left="920" w:right="240" w:firstLine="421"/>
        <w:spacing w:after="0" w:line="306" w:lineRule="auto"/>
        <w:tabs>
          <w:tab w:leader="none" w:pos="158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January 1, 2010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25" w:lineRule="exact"/>
        <w:rPr>
          <w:rFonts w:ascii="Arial" w:cs="Arial" w:eastAsia="Arial" w:hAnsi="Arial"/>
          <w:sz w:val="16"/>
          <w:szCs w:val="16"/>
          <w:color w:val="auto"/>
        </w:rPr>
      </w:pPr>
    </w:p>
    <w:p>
      <w:pPr>
        <w:ind w:left="920" w:right="40" w:firstLine="421"/>
        <w:spacing w:after="0" w:line="256" w:lineRule="auto"/>
        <w:tabs>
          <w:tab w:leader="none" w:pos="157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January 1, 2010 (other than the Completion Guarantor) is redesignated as a Restricted Subsidiary after January 1, 2010,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100" w:firstLine="443"/>
        <w:spacing w:after="0" w:line="306" w:lineRule="auto"/>
        <w:tabs>
          <w:tab w:leader="none" w:pos="114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jc w:val="both"/>
        <w:ind w:left="460" w:right="160" w:firstLine="443"/>
        <w:spacing w:after="0" w:line="259" w:lineRule="auto"/>
        <w:tabs>
          <w:tab w:leader="none" w:pos="11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2020 Notes or to any Note Guarantee with the net cash proceeds from a substantially concurrent incurrence of Permitted Refinancing Indebtedness;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90" w:lineRule="auto"/>
        <w:tabs>
          <w:tab w:leader="none" w:pos="114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66" w:lineRule="exact"/>
        <w:rPr>
          <w:sz w:val="20"/>
          <w:szCs w:val="20"/>
          <w:color w:val="auto"/>
        </w:rPr>
      </w:pPr>
    </w:p>
    <w:p>
      <w:pPr>
        <w:ind w:left="460" w:right="200" w:firstLine="443"/>
        <w:spacing w:after="0" w:line="332" w:lineRule="auto"/>
        <w:tabs>
          <w:tab w:leader="none" w:pos="114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$75.0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20" w:firstLine="443"/>
        <w:spacing w:after="0" w:line="332" w:lineRule="auto"/>
        <w:tabs>
          <w:tab w:leader="none" w:pos="122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Incurrence of Indebtedness and Issuance of Disqualified Stock</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120" w:firstLine="8"/>
        <w:spacing w:after="0" w:line="295" w:lineRule="auto"/>
        <w:tabs>
          <w:tab w:leader="none" w:pos="24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forma basis, including a pro forma application of the net proceeds therefrom, as if the additional Indebtedness had been incurred or the Disqualified Stock had been issued, as the case may be, at the beginning of such four-quarter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60" w:firstLine="443"/>
        <w:spacing w:after="0" w:line="303" w:lineRule="auto"/>
        <w:tabs>
          <w:tab w:leader="none" w:pos="1147" w:val="left"/>
        </w:tabs>
        <w:numPr>
          <w:ilvl w:val="1"/>
          <w:numId w:val="244"/>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245"/>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(12), (13) or (14) of this paragraph or under this clause (3);</w:t>
      </w:r>
    </w:p>
    <w:p>
      <w:pPr>
        <w:spacing w:after="0" w:line="25"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20" w:firstLine="421"/>
        <w:spacing w:after="0" w:line="255" w:lineRule="auto"/>
        <w:tabs>
          <w:tab w:leader="none" w:pos="1579" w:val="left"/>
        </w:tabs>
        <w:numPr>
          <w:ilvl w:val="2"/>
          <w:numId w:val="245"/>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2020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right="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25" w:lineRule="exact"/>
        <w:rPr>
          <w:rFonts w:ascii="Arial" w:cs="Arial" w:eastAsia="Arial" w:hAnsi="Arial"/>
          <w:sz w:val="16"/>
          <w:szCs w:val="16"/>
          <w:color w:val="auto"/>
        </w:rPr>
      </w:pPr>
    </w:p>
    <w:p>
      <w:pPr>
        <w:ind w:left="460" w:right="440" w:firstLine="443"/>
        <w:spacing w:after="0" w:line="259" w:lineRule="auto"/>
        <w:tabs>
          <w:tab w:leader="none" w:pos="114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2" w:lineRule="exact"/>
        <w:rPr>
          <w:sz w:val="20"/>
          <w:szCs w:val="20"/>
          <w:color w:val="auto"/>
        </w:rPr>
      </w:pPr>
    </w:p>
    <w:p>
      <w:pPr>
        <w:ind w:left="1160" w:hanging="257"/>
        <w:spacing w:after="0"/>
        <w:tabs>
          <w:tab w:leader="none" w:pos="116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302" w:lineRule="auto"/>
        <w:rPr>
          <w:rFonts w:ascii="Arial" w:cs="Arial" w:eastAsia="Arial" w:hAnsi="Arial"/>
          <w:sz w:val="16"/>
          <w:szCs w:val="16"/>
          <w:color w:val="auto"/>
        </w:rPr>
      </w:pPr>
      <w:r>
        <w:rPr>
          <w:rFonts w:ascii="Arial" w:cs="Arial" w:eastAsia="Arial" w:hAnsi="Arial"/>
          <w:sz w:val="16"/>
          <w:szCs w:val="16"/>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 the holders of the 2020 Notes continue to have a perfected first priority security interest in the Golf Course Land;</w:t>
      </w:r>
    </w:p>
    <w:p>
      <w:pPr>
        <w:spacing w:after="0" w:line="28" w:lineRule="exact"/>
        <w:rPr>
          <w:rFonts w:ascii="Arial" w:cs="Arial" w:eastAsia="Arial" w:hAnsi="Arial"/>
          <w:sz w:val="16"/>
          <w:szCs w:val="16"/>
          <w:color w:val="auto"/>
        </w:rPr>
      </w:pPr>
    </w:p>
    <w:p>
      <w:pPr>
        <w:ind w:left="460" w:firstLine="443"/>
        <w:spacing w:after="0" w:line="259" w:lineRule="auto"/>
        <w:tabs>
          <w:tab w:leader="none" w:pos="114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22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$100.0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2017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2020 Notes;</w:t>
      </w:r>
    </w:p>
    <w:p>
      <w:pPr>
        <w:spacing w:after="0" w:line="90" w:lineRule="exact"/>
        <w:rPr>
          <w:rFonts w:ascii="Arial" w:cs="Arial" w:eastAsia="Arial" w:hAnsi="Arial"/>
          <w:sz w:val="18"/>
          <w:szCs w:val="18"/>
          <w:color w:val="auto"/>
        </w:rPr>
      </w:pPr>
    </w:p>
    <w:p>
      <w:pPr>
        <w:ind w:left="460" w:right="460" w:firstLine="443"/>
        <w:spacing w:after="0" w:line="332" w:lineRule="auto"/>
        <w:tabs>
          <w:tab w:leader="none" w:pos="1235"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00" w:firstLine="443"/>
        <w:spacing w:after="0" w:line="289" w:lineRule="auto"/>
        <w:tabs>
          <w:tab w:leader="none" w:pos="1235" w:val="left"/>
        </w:tabs>
        <w:numPr>
          <w:ilvl w:val="1"/>
          <w:numId w:val="247"/>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2020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 xml:space="preserve">/3%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/3%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(16)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2020 Notes are first issued and authenticated under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2020 Notes under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Liens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 of Wynn Las Vegas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40" w:firstLine="443"/>
        <w:spacing w:after="0" w:line="332" w:lineRule="auto"/>
        <w:tabs>
          <w:tab w:leader="none" w:pos="114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100" w:firstLine="443"/>
        <w:spacing w:after="0" w:line="268" w:lineRule="auto"/>
        <w:tabs>
          <w:tab w:leader="none" w:pos="114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2020 Notes, the 2020 Notes Indenture, the 2014 Notes, the 2014 Notes Indenture, the 2017 Notes, the 2017 Notes Indenture, any Guarantees of such notes,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68"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335" w:lineRule="auto"/>
        <w:tabs>
          <w:tab w:leader="none" w:pos="1147" w:val="left"/>
        </w:tabs>
        <w:numPr>
          <w:ilvl w:val="0"/>
          <w:numId w:val="251"/>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7" w:lineRule="exact"/>
        <w:rPr>
          <w:rFonts w:ascii="Arial" w:cs="Arial" w:eastAsia="Arial" w:hAnsi="Arial"/>
          <w:sz w:val="15"/>
          <w:szCs w:val="15"/>
          <w:color w:val="auto"/>
        </w:rPr>
      </w:pPr>
    </w:p>
    <w:p>
      <w:pPr>
        <w:ind w:left="460" w:right="280" w:firstLine="443"/>
        <w:spacing w:after="0" w:line="259"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2020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68" w:lineRule="auto"/>
        <w:tabs>
          <w:tab w:leader="none" w:pos="11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253"/>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2020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00" w:firstLine="443"/>
        <w:spacing w:after="0" w:line="268"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80" w:firstLine="421"/>
        <w:spacing w:after="0" w:line="298" w:lineRule="auto"/>
        <w:tabs>
          <w:tab w:leader="none" w:pos="1579" w:val="left"/>
        </w:tabs>
        <w:numPr>
          <w:ilvl w:val="1"/>
          <w:numId w:val="254"/>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 and</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588" w:val="left"/>
        </w:tabs>
        <w:numPr>
          <w:ilvl w:val="1"/>
          <w:numId w:val="254"/>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20" w:firstLine="443"/>
        <w:spacing w:after="0" w:line="268"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(12), (13) or (14) of the definition thereof;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Line of Business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2020 Notes would be required to be licensed as a result thereof,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except that this sentence will not prohibit any entity from conducting a Permitted Business in any jurisdiction that does not require the licensing or qualification of all the holders of 2020 Notes, but reserves the discretionary right to require the licensing or qualification of any holders of 2020 Notes.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60" w:firstLine="421"/>
        <w:spacing w:after="0" w:line="298" w:lineRule="auto"/>
        <w:tabs>
          <w:tab w:leader="none" w:pos="1579" w:val="left"/>
        </w:tabs>
        <w:numPr>
          <w:ilvl w:val="1"/>
          <w:numId w:val="258"/>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6.5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2020 Notes to receive payments pursuant to the 2020 Notes and the Guarantees. Under this agreement, Management Fees will be payable semi-annually in arrears on the tenth business day following the date on which interest payments are payable on the 2020 Notes. Management Fees may be paid only if, among other things, the interest payable on the 2020 Notes through the applicable interest payment date and the interest payable on the loans under the Credit Agreement through such interest payment date has been paid in full.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Certain Agreements</w:t>
      </w:r>
    </w:p>
    <w:p>
      <w:pPr>
        <w:spacing w:after="0" w:line="9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40" w:firstLine="443"/>
        <w:spacing w:after="0" w:line="268"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2020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(6) of the second paragraph of the covenant described above under the caption “—Limitation on Development of Golf Course Land,” or any release of all or any portion of the Golf Course Land as provided above under the captions “—Security—Release of Collateral,” “—Security—Release of Golf Course Land,” “—Security— 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180" w:firstLine="443"/>
        <w:spacing w:after="0" w:line="298" w:lineRule="auto"/>
        <w:tabs>
          <w:tab w:leader="none" w:pos="1147" w:val="left"/>
        </w:tabs>
        <w:numPr>
          <w:ilvl w:val="0"/>
          <w:numId w:val="261"/>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80"/>
          </w:cols>
          <w:pgMar w:left="240" w:top="460"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43"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b w:val="1"/>
          <w:bCs w:val="1"/>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1500" w:firstLine="397"/>
        <w:spacing w:after="0" w:line="259" w:lineRule="auto"/>
        <w:rPr>
          <w:sz w:val="20"/>
          <w:szCs w:val="20"/>
          <w:color w:val="auto"/>
        </w:rPr>
      </w:pPr>
      <w:r>
        <w:rPr>
          <w:rFonts w:ascii="Arial" w:cs="Arial" w:eastAsia="Arial" w:hAnsi="Arial"/>
          <w:sz w:val="18"/>
          <w:szCs w:val="18"/>
          <w:color w:val="auto"/>
        </w:rPr>
        <w:t>(1)(a) cause such Restricted Subsidiary or subchapter “C” corporation (if such subchapter “C” corporation is not an Issuer) to guarantee all obligations of the Issuers under the Indenture and the 2020 Notes by executing and delivering to the trustee a supplemental indenture in the form of an exhibit to the Indenture; or</w:t>
      </w:r>
    </w:p>
    <w:p>
      <w:pPr>
        <w:spacing w:after="0" w:line="59" w:lineRule="exact"/>
        <w:rPr>
          <w:sz w:val="20"/>
          <w:szCs w:val="20"/>
          <w:color w:val="auto"/>
        </w:rPr>
      </w:pPr>
    </w:p>
    <w:p>
      <w:pPr>
        <w:ind w:left="1500" w:right="20" w:firstLine="389"/>
        <w:spacing w:after="0" w:line="291" w:lineRule="auto"/>
        <w:tabs>
          <w:tab w:leader="none" w:pos="2146" w:val="left"/>
        </w:tabs>
        <w:numPr>
          <w:ilvl w:val="2"/>
          <w:numId w:val="262"/>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2020 Notes, and (iii) replacement notes for the 2020 Notes previously issued by the Issuer that was so reorganized as a subchapter “C” corporation to be issued to the holders upon request and the concurrent return by such holders of the 2020 Notes previously issued to them by such Issuer that was so reorganized as a “C” corporation;</w:t>
      </w:r>
    </w:p>
    <w:p>
      <w:pPr>
        <w:spacing w:after="0" w:line="39" w:lineRule="exact"/>
        <w:rPr>
          <w:rFonts w:ascii="Arial" w:cs="Arial" w:eastAsia="Arial" w:hAnsi="Arial"/>
          <w:sz w:val="16"/>
          <w:szCs w:val="16"/>
          <w:color w:val="auto"/>
        </w:rPr>
      </w:pPr>
    </w:p>
    <w:p>
      <w:pPr>
        <w:ind w:left="1580" w:hanging="239"/>
        <w:spacing w:after="0"/>
        <w:tabs>
          <w:tab w:leader="none" w:pos="15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1500" w:right="580" w:firstLine="389"/>
        <w:spacing w:after="0" w:line="357" w:lineRule="auto"/>
        <w:tabs>
          <w:tab w:leader="none" w:pos="2136" w:val="left"/>
        </w:tabs>
        <w:numPr>
          <w:ilvl w:val="2"/>
          <w:numId w:val="263"/>
        </w:numPr>
        <w:rPr>
          <w:rFonts w:ascii="Arial" w:cs="Arial" w:eastAsia="Arial" w:hAnsi="Arial"/>
          <w:sz w:val="15"/>
          <w:szCs w:val="15"/>
          <w:color w:val="auto"/>
        </w:rPr>
      </w:pPr>
      <w:r>
        <w:rPr>
          <w:rFonts w:ascii="Arial" w:cs="Arial" w:eastAsia="Arial" w:hAnsi="Arial"/>
          <w:sz w:val="15"/>
          <w:szCs w:val="15"/>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ind w:left="2140" w:hanging="251"/>
        <w:spacing w:after="0"/>
        <w:tabs>
          <w:tab w:leader="none" w:pos="2140" w:val="left"/>
        </w:tabs>
        <w:numPr>
          <w:ilvl w:val="2"/>
          <w:numId w:val="263"/>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in the event such Restricted Subsidiary or subchapter “C” corporation owns real property that (i) is contiguous to any real property included in the Collateral, (ii) has a Fair Market Value in excess of $50.0 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26" w:lineRule="exact"/>
        <w:rPr>
          <w:sz w:val="20"/>
          <w:szCs w:val="20"/>
          <w:color w:val="auto"/>
        </w:rPr>
      </w:pPr>
    </w:p>
    <w:p>
      <w:pPr>
        <w:ind w:left="920" w:right="320" w:firstLine="421"/>
        <w:spacing w:after="0" w:line="259" w:lineRule="auto"/>
        <w:tabs>
          <w:tab w:leader="none" w:pos="157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57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owned by such subchapter “C” corporation naming such subchapter “C” corporation as an additional insured under such insurance;</w:t>
      </w:r>
    </w:p>
    <w:p>
      <w:pPr>
        <w:spacing w:after="0" w:line="90" w:lineRule="exact"/>
        <w:rPr>
          <w:sz w:val="20"/>
          <w:szCs w:val="20"/>
          <w:color w:val="auto"/>
        </w:rPr>
      </w:pPr>
    </w:p>
    <w:p>
      <w:pPr>
        <w:ind w:left="460" w:right="40" w:firstLine="443"/>
        <w:spacing w:after="0" w:line="256" w:lineRule="auto"/>
        <w:tabs>
          <w:tab w:leader="none" w:pos="114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2020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5580" w:right="5440" w:hanging="4677"/>
        <w:spacing w:after="0" w:line="525" w:lineRule="auto"/>
        <w:tabs>
          <w:tab w:leader="none" w:pos="114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carry out more effectively the purposes of the Collateral Documents; 205</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2020 Notes for or as an inducement to any consent, waiver or amendment of any of the terms or provisions of the Indenture, the 2020 Notes or the Collateral Documents unless such consideration is offered to be paid and is paid to all Holders of 2020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the Indenture or the Notes in connection with an exchange offer, Wynn Las Vegas may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Activities of Wynn Capital</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2020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Whether or not required by the rules and regulations of the SEC, so long as any 2020 Notes are outstanding, the Issuers will furnish to the Holders of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Notes or cause the trustee to furnish to the Holders of 2020 Notes, within the time periods specified in the SEC’s rules and regulations:</w:t>
      </w:r>
    </w:p>
    <w:p>
      <w:pPr>
        <w:spacing w:after="0" w:line="84" w:lineRule="exact"/>
        <w:rPr>
          <w:sz w:val="20"/>
          <w:szCs w:val="20"/>
          <w:color w:val="auto"/>
        </w:rPr>
      </w:pPr>
    </w:p>
    <w:p>
      <w:pPr>
        <w:ind w:left="460" w:firstLine="443"/>
        <w:spacing w:after="0" w:line="268" w:lineRule="auto"/>
        <w:tabs>
          <w:tab w:leader="none" w:pos="114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Operations” and, with respect to the annual report only, a report on the annual financial statements by Wynn Las Vegas’ and the Restricted Subsidiaries’ certified independent accountants; and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2020 Notes remain outstanding, if at any time they are not required to file with the SEC the reports required by the preceding paragraphs, they will furnish to the holders of 2020 Notes and to securities analysts and prospective investors, upon their request, the information required to be delivered pursuant to Rule 144A(d)(4)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2020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2020</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7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59" w:lineRule="exact"/>
        <w:rPr>
          <w:rFonts w:ascii="Arial" w:cs="Arial" w:eastAsia="Arial" w:hAnsi="Arial"/>
          <w:sz w:val="18"/>
          <w:szCs w:val="18"/>
          <w:color w:val="auto"/>
        </w:rPr>
      </w:pPr>
    </w:p>
    <w:p>
      <w:pPr>
        <w:ind w:left="920" w:right="580" w:firstLine="421"/>
        <w:spacing w:after="0" w:line="332" w:lineRule="auto"/>
        <w:tabs>
          <w:tab w:leader="none" w:pos="1588"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2020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from the trustee or the holders of at least 25% in aggregate principal amount of the 2020 Notes then outstanding voting as a single class to comply with any of its agreements, as applicable, in any Collateral Document;</w:t>
      </w:r>
    </w:p>
    <w:p>
      <w:pPr>
        <w:spacing w:after="0" w:line="51" w:lineRule="exact"/>
        <w:rPr>
          <w:sz w:val="20"/>
          <w:szCs w:val="20"/>
          <w:color w:val="auto"/>
        </w:rPr>
      </w:pPr>
    </w:p>
    <w:p>
      <w:pPr>
        <w:ind w:left="460" w:right="40" w:firstLine="443"/>
        <w:spacing w:after="0" w:line="256"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62" w:lineRule="exact"/>
        <w:rPr>
          <w:rFonts w:ascii="Arial" w:cs="Arial" w:eastAsia="Arial" w:hAnsi="Arial"/>
          <w:sz w:val="18"/>
          <w:szCs w:val="18"/>
          <w:color w:val="auto"/>
        </w:rPr>
      </w:pPr>
    </w:p>
    <w:p>
      <w:pPr>
        <w:ind w:left="460" w:firstLine="443"/>
        <w:spacing w:after="0" w:line="259" w:lineRule="auto"/>
        <w:tabs>
          <w:tab w:leader="none" w:pos="122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2020 Notes will become due and payable immediately without further action or notice. If any other Event of Default occurs and is continuing, the trustee or the holders of at least 25% in aggregate principal amount of the then outstanding 2020 Notes may declare all the 2020 Notes to be due and payable immediately.</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Holders of the 2020 Notes may not enforce the Indenture or the 2020 Notes except as provided in the Indenture, the Intercreditor Agreement and the other Collateral Documents. Subject to certain limitations, holders of a majority in aggregate principal amount of the then outstanding 2020 Notes may direct the trustee in its exercise of any trust or power. The trustee may withhold from holders of the 2020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2020 Notes unless such holders have offered to the trustee reasonable indemnity or security against any loss, liability or expense. Except to enforce the right to receive payment of principal, interest or premium, if any, or Liquidated Damages, if any, when due, no holder of a 2020 Note may pursue any remedy with respect to the Indenture or the 2020 Notes unless:</w:t>
      </w:r>
    </w:p>
    <w:p>
      <w:pPr>
        <w:spacing w:after="0" w:line="62" w:lineRule="exact"/>
        <w:rPr>
          <w:sz w:val="20"/>
          <w:szCs w:val="20"/>
          <w:color w:val="auto"/>
        </w:rPr>
      </w:pPr>
    </w:p>
    <w:p>
      <w:pPr>
        <w:ind w:left="1160" w:hanging="257"/>
        <w:spacing w:after="0"/>
        <w:tabs>
          <w:tab w:leader="none" w:pos="11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2020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2020 Notes have not given the trustee a direction inconsistent with such request within such 60-day period.</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2020 Notes by notice to the trustee may, on behalf of the holders of all of the 2020 Notes, rescind an acceleration or waive any existing Default or Event of Default and its consequences under the Indenture, except a continuing Default or Event of Default in the payment of interest or premium, if any, or Liquidated Damages, if any, on, or the principal of, the 2020 Notes.</w:t>
      </w:r>
    </w:p>
    <w:p>
      <w:pPr>
        <w:spacing w:after="0" w:line="10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Remedies upon Default Under the 2020 Notes</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340"/>
          </w:cols>
          <w:pgMar w:left="240" w:top="459" w:right="3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Enforcement of Collateral Documents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Generally, if an Event of Default occurs, subject to the provisions of the Intercreditor Agreement and the Indenture,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as long as any Indebtedness is outstanding under our credit facilities or any of the 2014 Notes remain outstanding, the holders of the 2020 Notes will not have right to direct the collateral agent to enforce remedies against the Collateral. All proceeds of the Collateral must be shared on a pari passu basis with the lenders under our Credit Agreement, the holders of the 2017 Notes, the holders of the 2014 Notes and any other Pari Passu Debt in accordance with the sharing provisions of the Indenture and the Intercreditor Agreement. In addition, legal and procedural restrictions may impair the exercise by the trustee of its rights and remedies. See “—Gaming Law Limitations on Foreclosure,” “—Bankruptcy Limitations on Foreclosure” and “—Real Property Collateral.”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274"/>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274"/>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Intercreditor Agreement imposes restrictions on the exercise of rights and remedies by the holders of the 2020 Notes with respect to the Collateral, including the ability to amend or modify the Collateral Documents and the ability to release the Collateral. See “Intercreditor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Law Limitations on Foreclosure</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2020 Notes would not share in the profits or losses of gaming operations. In addition, if the trustee acquires and operates the Collateral, the trustee and the holders of the 2020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2020 Notes—Bankruptcy laws may significantly impair your rights to repossess and dispose of collateral securing the 2020 Notes, and otherwise collect on any amounts due thereunder” and “—In the event that a bankruptcy court orders the substantive consolidation of us with certain affiliated parties, payments on the 2020 Notes could be delayed or reduced.”</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2020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2020 Notes, the Indenture, the Note Guarantees, the Collateral Documents or for any claim based on, in respect of, or by reason of, such obligations or their creation. Each holder of 2020 Notes by accepting a 2020 Note waives and releases all such liability. The waiver and release are part of the consideration for issuance of the 2020 Notes. The waiver may not be effective to waive liabilities under the federal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the outstanding 2020 Notes, all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obligations of the Guarantors discharged with respect to their Note Guarantees, and all obligations of the Issuers and the Guarantors discharged with respect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(“Legal Defeasance”) except for:</w:t>
      </w:r>
    </w:p>
    <w:p>
      <w:pPr>
        <w:spacing w:after="0" w:line="84" w:lineRule="exact"/>
        <w:rPr>
          <w:sz w:val="20"/>
          <w:szCs w:val="20"/>
          <w:color w:val="auto"/>
        </w:rPr>
      </w:pPr>
    </w:p>
    <w:p>
      <w:pPr>
        <w:ind w:left="460" w:right="700" w:firstLine="443"/>
        <w:spacing w:after="0" w:line="268" w:lineRule="auto"/>
        <w:tabs>
          <w:tab w:leader="none" w:pos="114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rights of holders of outstanding 2020 Notes to receive payments in respect of the principal of, or interest or premium and Liquidated Damages, if any, on, such 2020 Notes when such payments are due from the trust referred to below;</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Issuers’ obligations with respect to the 2020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2020 Notes. In the event Covenant Defeasance occurs, certain events (not including non-payment, bankruptcy, receivership, rehabilitation and insolvency events) described under the caption “—Events of Default and Remedies” will no longer constitute an Event of Default with respect to the 2020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2020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2020 Notes on the stated date for payment thereof or on the applicable redemption date, as the case may be, and the Issuers must specify whether the 2020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276"/>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00" w:firstLine="4"/>
        <w:spacing w:after="0" w:line="292" w:lineRule="auto"/>
        <w:tabs>
          <w:tab w:leader="none" w:pos="69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such opinion of counsel shall confirm that, the holders of the outstanding 2020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1"/>
          <w:numId w:val="277"/>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2020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27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51" w:lineRule="exact"/>
        <w:rPr>
          <w:sz w:val="20"/>
          <w:szCs w:val="20"/>
          <w:color w:val="auto"/>
        </w:rPr>
      </w:pPr>
    </w:p>
    <w:p>
      <w:pPr>
        <w:jc w:val="both"/>
        <w:ind w:left="460" w:firstLine="443"/>
        <w:spacing w:after="0" w:line="259" w:lineRule="auto"/>
        <w:tabs>
          <w:tab w:leader="none" w:pos="114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2020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jc w:val="both"/>
        <w:ind w:left="460" w:right="140" w:firstLine="443"/>
        <w:spacing w:after="0" w:line="259" w:lineRule="auto"/>
        <w:tabs>
          <w:tab w:leader="none" w:pos="114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2020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and the Indenture,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Subject to the provisions of the Intercreditor Agreement and the Indenture, the trustee will release the Liens in favor of the trustee (at the sole cost and expense of the Issuers) on:</w:t>
      </w:r>
    </w:p>
    <w:p>
      <w:pPr>
        <w:spacing w:after="0" w:line="51" w:lineRule="exact"/>
        <w:rPr>
          <w:sz w:val="20"/>
          <w:szCs w:val="20"/>
          <w:color w:val="auto"/>
        </w:rPr>
      </w:pPr>
    </w:p>
    <w:p>
      <w:pPr>
        <w:ind w:left="1160" w:hanging="257"/>
        <w:spacing w:after="0"/>
        <w:tabs>
          <w:tab w:leader="none" w:pos="11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2020 Notes, the Note Guarantees and the Collateral Documents;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Except as provided in the next three succeeding paragraphs, the Indenture, the 2020 Notes, the Note Guarantees or, subject to the terms of the Intercreditor Agreement and the Indenture, the Collateral Documents may be amended or supplemented with the consent of the holders of at least a majority in aggregate principal amount of the 2020 Notes then outstanding (including, without limitation, consents obtained in connection with a purchase of, or tender offer or exchange offer for, 2020 Notes), and any existing Default or Event of Default or compliance with any provision of the Indenture, the 2020 Notes, the Note Guarantees or, subject to the terms of the Intercreditor Agreement, the Collateral Documents may be waived with the consent of the holders of a majority in aggregate principal amount of the then outstanding 2020 Notes (including, without limitation, consents obtained in connection with a purchase of, or tender offer or exchange offer for, 2020 Notes).</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2020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Intercreditor Agreement and the Indenture,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2020 Notes. In addition, the Indenture authorizes the trustee to enter into amendments, restatements and modifications of the Collateral Documents from time to time in connection with the grant of any Permitted Liens; provided, however, that any such amended, restated or modified Collateral Documents contain terms no less favorable to the trustee or the holders of the 2020 Notes than the terms contained in the Collateral Documents being amended, restated or modified (except as expressly provided for in the Indenture); provided, further, that any such amendment, restatement or modification does not otherwise adversely affect the rights or remedies of the trustee or the holders of the 2020 Notes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2020 Notes, so long as such amendment only affects the subordination provisions in respect of any junior Indebtedness but does not affect the provisions governing the relationship between the lenders under the Credit Agreement and the holders of the 2020 Notes. See “Intercreditor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Without the consent of each holder of 2020 Notes affected or, in the case of clauses (8), (9) and (10) below only, without the consent of the holders of at least 95% in the aggregate principal amount of the 2020 Notes then outstanding, an amendment, supplement or waiver may not (with respect to any 2020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reduce the principal amount of 2020 Notes whose holders must consent to an amendment, supplement or waiver;</w:t>
      </w:r>
    </w:p>
    <w:p>
      <w:pPr>
        <w:spacing w:after="0" w:line="90" w:lineRule="exact"/>
        <w:rPr>
          <w:rFonts w:ascii="Arial" w:cs="Arial" w:eastAsia="Arial" w:hAnsi="Arial"/>
          <w:sz w:val="18"/>
          <w:szCs w:val="18"/>
          <w:color w:val="auto"/>
        </w:rPr>
      </w:pPr>
    </w:p>
    <w:p>
      <w:pPr>
        <w:ind w:left="460" w:right="300" w:firstLine="443"/>
        <w:spacing w:after="0" w:line="332" w:lineRule="auto"/>
        <w:tabs>
          <w:tab w:leader="none" w:pos="1147" w:val="left"/>
        </w:tabs>
        <w:numPr>
          <w:ilvl w:val="1"/>
          <w:numId w:val="281"/>
        </w:numPr>
        <w:rPr>
          <w:rFonts w:ascii="Arial" w:cs="Arial" w:eastAsia="Arial" w:hAnsi="Arial"/>
          <w:sz w:val="16"/>
          <w:szCs w:val="16"/>
          <w:color w:val="auto"/>
        </w:rPr>
      </w:pPr>
      <w:r>
        <w:rPr>
          <w:rFonts w:ascii="Arial" w:cs="Arial" w:eastAsia="Arial" w:hAnsi="Arial"/>
          <w:sz w:val="16"/>
          <w:szCs w:val="16"/>
          <w:color w:val="auto"/>
        </w:rPr>
        <w:t>reduce the principal of or change the fixed maturity of any 2020 Note or alter the provisions with respect to the redemption of the 2020 Notes (other than provisions relating to the covenants described above under the caption “—Repurchase at the Option of Holders”);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2020 Note;</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2020 Notes (except a rescission of acceleration of the 2020 Notes by the holders of at least a majority in aggregate principal amount of the then outstanding 2020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make any 2020 Note payable in money other than that stated in the 2020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28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2020 Notes to receive payments of principal of, or interest, premium or Liquidated Damages, if any, on, the 2020 Notes;</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waive a redemption payment with respect to any 2020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281"/>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Notwithstanding the preceding, without the consent of any holder of 2020 Notes, the Issuers, the Restricted Subsidiaries, the Guarantors and the trustee may amend or supplement the Indenture, the 2020 Notes or the Note Guarantees or, subject to the terms of the Intercreditor Agreement, the Collateral Documents:</w:t>
      </w:r>
    </w:p>
    <w:p>
      <w:pPr>
        <w:spacing w:after="0" w:line="59" w:lineRule="exact"/>
        <w:rPr>
          <w:sz w:val="20"/>
          <w:szCs w:val="20"/>
          <w:color w:val="auto"/>
        </w:rPr>
      </w:pPr>
    </w:p>
    <w:p>
      <w:pPr>
        <w:ind w:left="1160" w:hanging="257"/>
        <w:spacing w:after="0"/>
        <w:tabs>
          <w:tab w:leader="none" w:pos="11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provide for uncertificated 2020 Notes in addition to or in place of certificated 2020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2020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240" w:firstLine="443"/>
        <w:spacing w:after="0" w:line="298" w:lineRule="auto"/>
        <w:tabs>
          <w:tab w:leader="none" w:pos="1147"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to make any change that would provide any additional rights or benefits to the holders of 2020 Notes or that does not adversely affect the legal rights under the Indenture of any such holder, including any amendment or modification to the Intercreditor Agreement that gives or provides for any additional rights to the holders of the 2020 Notes to direct the collateral agent to enforce remedies against the Collateral and/or participate in other decisions regarding collateral and/or the enforcement of security documents;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to provide for the issuance of additional 2020 Notes in accordance with the limitations set forth in the Indenture as of the date of the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2020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2020 Notes issued thereunder, when:</w:t>
      </w:r>
    </w:p>
    <w:p>
      <w:pPr>
        <w:spacing w:after="0" w:line="113" w:lineRule="exact"/>
        <w:rPr>
          <w:sz w:val="20"/>
          <w:szCs w:val="20"/>
          <w:color w:val="auto"/>
        </w:rPr>
      </w:pPr>
    </w:p>
    <w:p>
      <w:pPr>
        <w:ind w:left="1160" w:hanging="257"/>
        <w:spacing w:after="0"/>
        <w:tabs>
          <w:tab w:leader="none" w:pos="11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firstLine="421"/>
        <w:spacing w:after="0" w:line="332" w:lineRule="auto"/>
        <w:tabs>
          <w:tab w:leader="none" w:pos="1579"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all 2020 Notes that have been authenticated, except lost, stolen or destroyed 2020 Notes that have been replaced or paid and 2020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right="20" w:firstLine="421"/>
        <w:spacing w:after="0" w:line="291" w:lineRule="auto"/>
        <w:tabs>
          <w:tab w:leader="none" w:pos="1588"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all 2020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2020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40" w:firstLine="443"/>
        <w:spacing w:after="0" w:line="306" w:lineRule="auto"/>
        <w:tabs>
          <w:tab w:leader="none" w:pos="1147" w:val="left"/>
        </w:tabs>
        <w:numPr>
          <w:ilvl w:val="0"/>
          <w:numId w:val="285"/>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2020 Notes at maturity or on the redemption date, as the case may be.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2020 Notes will have the right to direct the time, method and place of conducting any proceeding for exercising any remedy available to the trustee, subject to certain exceptions. However, as long as any Indebtedness is outstanding under our credit facilities and as long as any of the 2014 Notes remain outstanding, the holders of the 2020 Notes will not have any right to direct the collateral agent to enforce remedies against the Collateral. The Indenture provides that in case an Event of Default occurs and is continuing, the trustee will be required, in the exercise of its power, to use the degree of care of a prudent person in the conduct of his/her own affairs.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Subject to such provisions, the trustee will be under no obligation to exercise any of its rights or powers under the Indenture at the request of any holder of 2020 Notes, unless such holder has offered to the trustee security and indemnity satisfactory to it against any loss, liability or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2020 Notes, the Note Guarantees and the Collateral Documents provide, with certain exceptions, for the application of the internal laws of the State of New York. There is no certainty regarding whether New York or Nevada law would be applied by any court with respect to the enforcement of remedies under the 2020 Notes, the Indenture, the Note Guarantees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Anyone who receives this offering memorandum may obtain a copy of the Indenture, the Collateral Documents and the registration rights agreement without charge by writing to Wynn Las Vegas, LLC, 3131 Las Vegas Boulevard South, Las Vegas, NV 89109, Attention: Legal Department.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new 2020 notes will be issued in the form of one or more notes in global form (the “Gobal Notes”). The new 2020 notes will be issued in minimum denominations of $2,000 and integral multiples of $1,000 in excess thereof.</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new 2020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20" w:firstLine="443"/>
        <w:spacing w:after="0" w:line="268" w:lineRule="auto"/>
        <w:tabs>
          <w:tab w:leader="none" w:pos="114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new 2020 notes registered in their names, will not receive physical delivery of new 2020 notes in certificated form and will not be considered the registered owners or “holders” thereof under the indenture for any purpose.</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2020 Notes, including the Global Notes, are registered as the owners of the 2020 Notes for the purpose of receiving payments and for all other purposes. Consequently, neither the Issuers, the trustee nor any agent of the Issuers or the trustee has or will have any responsibility or liability for:</w:t>
      </w:r>
    </w:p>
    <w:p>
      <w:pPr>
        <w:spacing w:after="0" w:line="62" w:lineRule="exact"/>
        <w:rPr>
          <w:sz w:val="20"/>
          <w:szCs w:val="20"/>
          <w:color w:val="auto"/>
        </w:rPr>
      </w:pPr>
    </w:p>
    <w:p>
      <w:pPr>
        <w:ind w:left="460" w:right="380" w:firstLine="443"/>
        <w:spacing w:after="0" w:line="259" w:lineRule="auto"/>
        <w:tabs>
          <w:tab w:leader="none" w:pos="114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any other matter relating to the actions and practices of DTC or any of its Participants or Indirect Participants.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2020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2020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2020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2020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2020 Notes only at the direction of one or more Participants to whose account DTC has credited the interests in the Global Notes and only in respect of such portion of the aggregate principal amount of the 2020 Notes as to which such Participant or Participants has or have given such direction. However, if there is an Event of Default under the 2020 Notes, DTC reserves the right to exchange the Global Notes for legended notes in certificated form, and to distribute such notes to its Participants.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120" w:firstLine="443"/>
        <w:spacing w:after="0" w:line="268" w:lineRule="auto"/>
        <w:tabs>
          <w:tab w:leader="none" w:pos="114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2020 Notes.</w:t>
      </w:r>
    </w:p>
    <w:p>
      <w:pPr>
        <w:spacing w:after="0" w:line="171"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Issuers will make payments in respect of the 2020 Notes represented by the Global Notes (including principal, premium, if any, and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2020 Notes represented by the Global Notes are expected to be eligible to trade in The PORTAL Alliance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40" w:firstLine="443"/>
        <w:spacing w:after="0" w:line="259" w:lineRule="auto"/>
        <w:tabs>
          <w:tab w:leader="none" w:pos="1147" w:val="left"/>
        </w:tabs>
        <w:numPr>
          <w:ilvl w:val="1"/>
          <w:numId w:val="290"/>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xml:space="preserve">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294"/>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294"/>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94"/>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40" w:firstLine="443"/>
        <w:spacing w:after="0" w:line="332" w:lineRule="auto"/>
        <w:tabs>
          <w:tab w:leader="none" w:pos="1147" w:val="left"/>
        </w:tabs>
        <w:numPr>
          <w:ilvl w:val="1"/>
          <w:numId w:val="294"/>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235" w:val="left"/>
        </w:tabs>
        <w:numPr>
          <w:ilvl w:val="1"/>
          <w:numId w:val="294"/>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305" w:lineRule="auto"/>
        <w:tabs>
          <w:tab w:leader="none" w:pos="1228" w:val="left"/>
        </w:tabs>
        <w:numPr>
          <w:ilvl w:val="1"/>
          <w:numId w:val="294"/>
        </w:numPr>
        <w:rPr>
          <w:rFonts w:ascii="Arial" w:cs="Arial" w:eastAsia="Arial" w:hAnsi="Arial"/>
          <w:sz w:val="15"/>
          <w:szCs w:val="15"/>
          <w:color w:val="auto"/>
        </w:rPr>
      </w:pPr>
      <w:r>
        <w:rPr>
          <w:rFonts w:ascii="Arial" w:cs="Arial" w:eastAsia="Arial" w:hAnsi="Arial"/>
          <w:sz w:val="15"/>
          <w:szCs w:val="15"/>
          <w:color w:val="auto"/>
        </w:rPr>
        <w:t>the transfer or sale or disposition of any Released Assets or Aircraft Assets; provided that any revenues in excess of $10.0 million (in the aggregate) generated by sales, leases or other dispositions of any assets in connection with (i) any timeshare, interval ownership or similar development or</w:t>
      </w:r>
    </w:p>
    <w:p>
      <w:pPr>
        <w:ind w:left="460" w:right="80" w:firstLine="4"/>
        <w:spacing w:after="0" w:line="261" w:lineRule="auto"/>
        <w:tabs>
          <w:tab w:leader="none" w:pos="71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80" w:firstLine="443"/>
        <w:spacing w:after="0" w:line="255" w:lineRule="auto"/>
        <w:tabs>
          <w:tab w:leader="none" w:pos="123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61" w:lineRule="exact"/>
        <w:rPr>
          <w:rFonts w:ascii="Arial" w:cs="Arial" w:eastAsia="Arial" w:hAnsi="Arial"/>
          <w:sz w:val="18"/>
          <w:szCs w:val="18"/>
          <w:color w:val="auto"/>
        </w:rPr>
      </w:pPr>
    </w:p>
    <w:p>
      <w:pPr>
        <w:ind w:left="460" w:right="20" w:firstLine="443"/>
        <w:spacing w:after="0" w:line="256" w:lineRule="auto"/>
        <w:tabs>
          <w:tab w:leader="none" w:pos="123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w:t>
      </w:r>
      <w:r>
        <w:rPr>
          <w:rFonts w:ascii="Arial" w:cs="Arial" w:eastAsia="Arial" w:hAnsi="Arial"/>
          <w:sz w:val="16"/>
          <w:szCs w:val="16"/>
          <w:i w:val="1"/>
          <w:iCs w:val="1"/>
          <w:color w:val="auto"/>
        </w:rPr>
        <w:t xml:space="preserve"> </w:t>
      </w:r>
      <w:r>
        <w:rPr>
          <w:rFonts w:ascii="Arial" w:cs="Arial" w:eastAsia="Arial" w:hAnsi="Arial"/>
          <w:sz w:val="16"/>
          <w:szCs w:val="16"/>
          <w:color w:val="auto"/>
        </w:rPr>
        <w:t>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299"/>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firstLine="421"/>
        <w:spacing w:after="0" w:line="289" w:lineRule="auto"/>
        <w:tabs>
          <w:tab w:leader="none" w:pos="1588" w:val="left"/>
        </w:tabs>
        <w:numPr>
          <w:ilvl w:val="1"/>
          <w:numId w:val="301"/>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(x) Elaine P. Wynn, so long as the Stockholders Agreement, as in effect on the date of the Indenture, remains in full force and effect, and (y)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 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302"/>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2017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2020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2020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xml:space="preserve"> means Wynn Completion Guarantor, LLC, a Nevada limited liability company.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0" w:lineRule="exact"/>
        <w:rPr>
          <w:sz w:val="20"/>
          <w:szCs w:val="20"/>
          <w:color w:val="auto"/>
        </w:rPr>
      </w:pPr>
    </w:p>
    <w:p>
      <w:pPr>
        <w:ind w:left="460" w:right="260" w:firstLine="443"/>
        <w:spacing w:after="0" w:line="268" w:lineRule="auto"/>
        <w:tabs>
          <w:tab w:leader="none" w:pos="1147"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305"/>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right="160" w:firstLine="443"/>
        <w:spacing w:after="0" w:line="254" w:lineRule="auto"/>
        <w:tabs>
          <w:tab w:leader="none" w:pos="1147" w:val="left"/>
        </w:tabs>
        <w:numPr>
          <w:ilvl w:val="1"/>
          <w:numId w:val="305"/>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right="80" w:firstLine="443"/>
        <w:spacing w:after="0" w:line="298" w:lineRule="auto"/>
        <w:tabs>
          <w:tab w:leader="none" w:pos="1147" w:val="left"/>
        </w:tabs>
        <w:numPr>
          <w:ilvl w:val="1"/>
          <w:numId w:val="305"/>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305"/>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287" w:lineRule="auto"/>
        <w:tabs>
          <w:tab w:leader="none" w:pos="239" w:val="left"/>
        </w:tabs>
        <w:numPr>
          <w:ilvl w:val="0"/>
          <w:numId w:val="306"/>
        </w:numPr>
        <w:rPr>
          <w:rFonts w:ascii="Arial" w:cs="Arial" w:eastAsia="Arial" w:hAnsi="Arial"/>
          <w:sz w:val="16"/>
          <w:szCs w:val="16"/>
          <w:color w:val="auto"/>
        </w:rPr>
      </w:pPr>
      <w:r>
        <w:rPr>
          <w:rFonts w:ascii="Arial" w:cs="Arial" w:eastAsia="Arial" w:hAnsi="Arial"/>
          <w:sz w:val="16"/>
          <w:szCs w:val="16"/>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5580" w:right="1720" w:hanging="4677"/>
        <w:spacing w:after="0" w:line="440" w:lineRule="auto"/>
        <w:tabs>
          <w:tab w:leader="none" w:pos="114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 228</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8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 and (4) the Collateral Account Control Agreement, dated as of September 18, 2008, among Wynn Las Vegas, the securities intermediary named therein and the collateral agent.</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to secure the obligations under the Indenture and the 2020 Notes in accordance with the provisions of the Indenture and the Collateral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2020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 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 after giving effect to the exchange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and Aruze, USA,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necessity of either party, determined in good faith by (1) an appropriate officer of Wynn Las Vegas, in the case of any value equal to or less than $10.0 million or</w:t>
      </w:r>
    </w:p>
    <w:p>
      <w:pPr>
        <w:spacing w:after="0" w:line="32" w:lineRule="exact"/>
        <w:rPr>
          <w:sz w:val="20"/>
          <w:szCs w:val="20"/>
          <w:color w:val="auto"/>
        </w:rPr>
      </w:pPr>
    </w:p>
    <w:p>
      <w:pPr>
        <w:ind w:right="180" w:firstLine="8"/>
        <w:spacing w:after="0" w:line="255" w:lineRule="auto"/>
        <w:tabs>
          <w:tab w:leader="none" w:pos="249"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315"/>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w:t>
      </w:r>
      <w:r>
        <w:rPr>
          <w:rFonts w:ascii="Arial" w:cs="Arial" w:eastAsia="Arial" w:hAnsi="Arial"/>
          <w:sz w:val="16"/>
          <w:szCs w:val="16"/>
          <w:i w:val="1"/>
          <w:iCs w:val="1"/>
          <w:color w:val="auto"/>
        </w:rPr>
        <w:t>holder</w:t>
      </w:r>
      <w:r>
        <w:rPr>
          <w:rFonts w:ascii="Arial" w:cs="Arial" w:eastAsia="Arial" w:hAnsi="Arial"/>
          <w:sz w:val="16"/>
          <w:szCs w:val="16"/>
          <w:color w:val="auto"/>
        </w:rPr>
        <w:t>” means any registered holder, from time to time, of the 2020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$500,000 and whose total revenues for the most recent 12-month period do not exceed $500,000; provided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380"/>
          </w:cols>
          <w:pgMar w:left="240" w:top="459" w:right="2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jc w:val="both"/>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Intercreditor Agreement</w:t>
      </w:r>
      <w:r>
        <w:rPr>
          <w:rFonts w:ascii="Arial" w:cs="Arial" w:eastAsia="Arial" w:hAnsi="Arial"/>
          <w:sz w:val="16"/>
          <w:szCs w:val="16"/>
          <w:color w:val="auto"/>
        </w:rPr>
        <w:t>” means the Intercreditor Agreement, dated as of December 14, 2004, among the trustee for the 2014 Notes, the trustee for the 2017 Notes, the trustee for the 2020 Notes, the administrative agent under the Credit Agreement, the collateral agent and the other parties thereto from time to time, as such agreement may be amended, modified, restated or supplemented in accordance with the terms of the Indenture.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w:t>
      </w:r>
      <w:r>
        <w:rPr>
          <w:rFonts w:ascii="Arial" w:cs="Arial" w:eastAsia="Arial" w:hAnsi="Arial"/>
          <w:sz w:val="18"/>
          <w:szCs w:val="18"/>
          <w:color w:val="auto"/>
        </w:rPr>
        <w:t>” means all liquidated damages then owing pursuant to the registration rights agreement entered into in connection with the exchange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xml:space="preserve"> “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100" w:firstLine="443"/>
        <w:spacing w:after="0" w:line="268" w:lineRule="auto"/>
        <w:tabs>
          <w:tab w:leader="none" w:pos="114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323"/>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2020 Notes or the Note Guarantees)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2020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2020 Notes, executed pursuant to the provisions of the Indenture.</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petition in bankruptcy, or the commencement of any insolvency, reorganization or like proceeding, relating to any debtor under such documentation, whether or not a claim for post-filing or post-petition interest is allowed in such proceeding).</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2020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320" w:firstLine="4"/>
        <w:spacing w:after="0" w:line="255" w:lineRule="auto"/>
        <w:tabs>
          <w:tab w:leader="none" w:pos="699"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Indenture, the 2020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63"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380"/>
          </w:cols>
          <w:pgMar w:left="240" w:top="460" w:right="2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2020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331"/>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2020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32" w:lineRule="auto"/>
        <w:tabs>
          <w:tab w:leader="none" w:pos="1228"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23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the assignment of gaming debts evidenced by a credit instrument, including what are commonly referred to as “markers,” to an Affiliate of Wynn Las Vegas for the purpose of collecting amounts outstanding under such gaming debts or “markers” due to Wynn Las Vegas thereunder; provided, however, that any Affiliate receiving any such assignment enters into a binding agreement to pay all amounts so collected back to Wynn Las Vegas within 30 days of receipt of payment of such collected amounts; provided, further,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2020 Notes or is secured by Liens with a lower priority than the Liens securing the 2020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180" w:firstLine="443"/>
        <w:spacing w:after="0" w:line="306" w:lineRule="auto"/>
        <w:tabs>
          <w:tab w:leader="none" w:pos="1147" w:val="left"/>
        </w:tabs>
        <w:numPr>
          <w:ilvl w:val="0"/>
          <w:numId w:val="333"/>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2020 Notes, or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88" w:val="left"/>
        </w:tabs>
        <w:numPr>
          <w:ilvl w:val="1"/>
          <w:numId w:val="333"/>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collateral agent for the benefit of the trustee for the benefit of the holders of the 2020 Notes securing the obligations under the 2020 Notes, the Note Guarantees and the Credit Agreement;</w:t>
      </w:r>
    </w:p>
    <w:p>
      <w:pPr>
        <w:spacing w:after="0" w:line="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w:t>
      </w:r>
    </w:p>
    <w:p>
      <w:pPr>
        <w:spacing w:after="0" w:line="90" w:lineRule="exact"/>
        <w:rPr>
          <w:rFonts w:ascii="Arial" w:cs="Arial" w:eastAsia="Arial" w:hAnsi="Arial"/>
          <w:sz w:val="18"/>
          <w:szCs w:val="18"/>
          <w:color w:val="auto"/>
        </w:rPr>
      </w:pPr>
    </w:p>
    <w:p>
      <w:pPr>
        <w:ind w:left="460" w:right="140" w:firstLine="443"/>
        <w:spacing w:after="0" w:line="256" w:lineRule="auto"/>
        <w:tabs>
          <w:tab w:leader="none" w:pos="114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40" w:firstLine="443"/>
        <w:spacing w:after="0" w:line="255" w:lineRule="auto"/>
        <w:tabs>
          <w:tab w:leader="none" w:pos="11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 provided, however, that this clause (8) shall not be deemed to permit the extension of the liens on the Collateral created by the Indenture and the Collateral Documents with respect to any Indebtedness incurred after the date of the Indenture as the result of the issuance of additional 2020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Liens on property or assets to secure Indebtedness permitted by clause (7) of the second paragraph of the covenant described above under the caption “—Certain Covenants—Incurrence of Indebtedness and Issuance of Disqualified Stock,” provided, however, that so long as such Indebtedness is not incurred under the Credit Agreement or through the issuance of additional 2020 Notes under the Indenture, such Liens do not at any time encumber any assets or property other than the assets or property financed by such Indebtedness, and the proceeds (including insurance proceeds), products, rents, profits, accessions and replacements thereof or thereto; provided, further,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2020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22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23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23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23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00" w:firstLine="443"/>
        <w:spacing w:after="0" w:line="256" w:lineRule="auto"/>
        <w:tabs>
          <w:tab w:leader="none" w:pos="123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firstLine="421"/>
        <w:spacing w:after="0" w:line="268" w:lineRule="auto"/>
        <w:tabs>
          <w:tab w:leader="none" w:pos="1588"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2020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336"/>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(16)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00" w:firstLine="443"/>
        <w:spacing w:after="0" w:line="332" w:lineRule="auto"/>
        <w:tabs>
          <w:tab w:leader="none" w:pos="123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294" w:lineRule="auto"/>
        <w:tabs>
          <w:tab w:leader="none" w:pos="123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34" w:lineRule="exact"/>
        <w:rPr>
          <w:rFonts w:ascii="Arial" w:cs="Arial" w:eastAsia="Arial" w:hAnsi="Arial"/>
          <w:sz w:val="16"/>
          <w:szCs w:val="16"/>
          <w:color w:val="auto"/>
        </w:rPr>
      </w:pPr>
    </w:p>
    <w:p>
      <w:pPr>
        <w:ind w:left="1580" w:hanging="239"/>
        <w:spacing w:after="0"/>
        <w:tabs>
          <w:tab w:leader="none" w:pos="15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60" w:firstLine="443"/>
        <w:spacing w:after="0" w:line="268" w:lineRule="auto"/>
        <w:tabs>
          <w:tab w:leader="none" w:pos="123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335" w:lineRule="auto"/>
        <w:tabs>
          <w:tab w:leader="none" w:pos="1235" w:val="left"/>
        </w:tabs>
        <w:numPr>
          <w:ilvl w:val="0"/>
          <w:numId w:val="337"/>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 which liens may be of equal or lesser priority as the liens securing the 2020 Notes;</w:t>
      </w:r>
    </w:p>
    <w:p>
      <w:pPr>
        <w:spacing w:after="0" w:line="7" w:lineRule="exact"/>
        <w:rPr>
          <w:rFonts w:ascii="Arial" w:cs="Arial" w:eastAsia="Arial" w:hAnsi="Arial"/>
          <w:sz w:val="15"/>
          <w:szCs w:val="15"/>
          <w:color w:val="auto"/>
        </w:rPr>
      </w:pPr>
    </w:p>
    <w:p>
      <w:pPr>
        <w:jc w:val="both"/>
        <w:ind w:left="460" w:right="40" w:firstLine="443"/>
        <w:spacing w:after="0" w:line="298" w:lineRule="auto"/>
        <w:tabs>
          <w:tab w:leader="none" w:pos="123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420" w:firstLine="443"/>
        <w:spacing w:after="0" w:line="259"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(15)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40" w:firstLine="443"/>
        <w:spacing w:after="0" w:line="259" w:lineRule="auto"/>
        <w:tabs>
          <w:tab w:leader="none" w:pos="12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firstLine="443"/>
        <w:spacing w:after="0" w:line="255" w:lineRule="auto"/>
        <w:tabs>
          <w:tab w:leader="none" w:pos="114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jc w:val="both"/>
        <w:ind w:left="460" w:right="100" w:firstLine="443"/>
        <w:spacing w:after="0" w:line="298" w:lineRule="auto"/>
        <w:tabs>
          <w:tab w:leader="none" w:pos="1147"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2020 Notes or the Note Guarantees, such Permitted Refinancing Indebtedness has a final maturity date later than the final maturity date of, and is subordinated in right of payment to, the 2020 Notes or the Note Guarantees, as applicable, on terms at least as favorable, taken as a whole, to the Holders of 2020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80" w:firstLine="443"/>
        <w:spacing w:after="0" w:line="332" w:lineRule="auto"/>
        <w:tabs>
          <w:tab w:leader="none" w:pos="1147" w:val="left"/>
        </w:tabs>
        <w:numPr>
          <w:ilvl w:val="0"/>
          <w:numId w:val="339"/>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xml:space="preserve"> “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Golf Course Lease,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Encore at Wynn Las Vegas.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Encore at Wynn Las Vegas and the Macau Project shall count as separate projects.</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2020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120" w:firstLine="443"/>
        <w:spacing w:after="0" w:line="268" w:lineRule="auto"/>
        <w:tabs>
          <w:tab w:leader="none" w:pos="114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Pledge and Security Agreement, dated as of December 14, 2004, among the Issuers, the Restricted Subsidiaries, Wynn Resorts Holdings and the collateral agent,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Agreement</w:t>
      </w:r>
      <w:r>
        <w:rPr>
          <w:rFonts w:ascii="Arial" w:cs="Arial" w:eastAsia="Arial" w:hAnsi="Arial"/>
          <w:sz w:val="16"/>
          <w:szCs w:val="16"/>
          <w:color w:val="auto"/>
        </w:rPr>
        <w:t>” means that certain Amended and Restated Stockholders Agreement, dated as of January 6, 2010, by and among Stephen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Elaine P. Wynn and Aruze USA, as in effect on the date of the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60" w:firstLine="443"/>
        <w:spacing w:after="0" w:line="298" w:lineRule="auto"/>
        <w:tabs>
          <w:tab w:leader="none" w:pos="1147"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firstLine="443"/>
        <w:spacing w:after="0" w:line="332" w:lineRule="auto"/>
        <w:tabs>
          <w:tab w:leader="none" w:pos="1147"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40" w:firstLine="443"/>
        <w:spacing w:after="0" w:line="268" w:lineRule="auto"/>
        <w:tabs>
          <w:tab w:leader="none" w:pos="114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Amount</w:t>
      </w:r>
      <w:r>
        <w:rPr>
          <w:rFonts w:ascii="Arial" w:cs="Arial" w:eastAsia="Arial" w:hAnsi="Arial"/>
          <w:sz w:val="18"/>
          <w:szCs w:val="18"/>
          <w:color w:val="auto"/>
        </w:rPr>
        <w:t>” means, with respect to any period, (1) with respect to any of Wynn Las Vegas, the Completion Guarantor or any of the Restricted Subsidiaries that is a Pass Through Entity and in the case of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/8%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/8% First Mortgage Notes due 2017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“UEC” </w:t>
      </w:r>
      <w:r>
        <w:rPr>
          <w:rFonts w:ascii="Arial" w:cs="Arial" w:eastAsia="Arial" w:hAnsi="Arial"/>
          <w:sz w:val="18"/>
          <w:szCs w:val="18"/>
          <w:color w:val="auto"/>
        </w:rPr>
        <w:t>means Universal Entertainment Corporation, a Japanese public corporation.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344"/>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300"/>
          </w:cols>
          <w:pgMar w:left="240" w:top="460" w:right="3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December 14, 2004, we entered into a credit agreement and related ancillary agreements for secured revolving credit and term loan facilities, which credit agreement was refinanced on August 15, 2006 with our amended and restated credit agreement and has since been amended. As of December 31, 2009, the credit facilities consisted of a $457.9 million revolving credit facility and a $80.4 million term loan facility. The maturity date of the term loan facility is August 15, 2013 and the maturity date for the revolving credit facility is July 15, 2013.</w:t>
      </w:r>
    </w:p>
    <w:p>
      <w:pPr>
        <w:spacing w:after="0" w:line="143" w:lineRule="exact"/>
        <w:rPr>
          <w:sz w:val="20"/>
          <w:szCs w:val="20"/>
          <w:color w:val="auto"/>
        </w:rPr>
      </w:pPr>
    </w:p>
    <w:p>
      <w:pPr>
        <w:ind w:right="80" w:firstLine="456"/>
        <w:spacing w:after="0" w:line="261" w:lineRule="auto"/>
        <w:rPr>
          <w:sz w:val="20"/>
          <w:szCs w:val="20"/>
          <w:color w:val="auto"/>
        </w:rPr>
      </w:pPr>
      <w:r>
        <w:rPr>
          <w:rFonts w:ascii="Arial" w:cs="Arial" w:eastAsia="Arial" w:hAnsi="Arial"/>
          <w:sz w:val="17"/>
          <w:szCs w:val="17"/>
          <w:color w:val="auto"/>
        </w:rPr>
        <w:t xml:space="preserve">For purposes of calculating interest, loans under the credit facilities will be designated, at our election, as Eurodollar Loans or, in certain circumstances, Base Rate Loans. Eurodollar Loans bear interest at the Eurodollar rate plus 3.000% in the case of our revolving loans, and the Eurodollar rate plus 1.875% in the case of our term loans.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w:t>
      </w:r>
      <w:r>
        <w:rPr>
          <w:rFonts w:ascii="Arial" w:cs="Arial" w:eastAsia="Arial" w:hAnsi="Arial"/>
          <w:sz w:val="11"/>
          <w:szCs w:val="11"/>
          <w:color w:val="auto"/>
        </w:rPr>
        <w:t>1</w:t>
      </w:r>
      <w:r>
        <w:rPr>
          <w:rFonts w:ascii="Arial" w:cs="Arial" w:eastAsia="Arial" w:hAnsi="Arial"/>
          <w:sz w:val="17"/>
          <w:szCs w:val="17"/>
          <w:color w:val="auto"/>
        </w:rPr>
        <w:t xml:space="preserve"> /</w:t>
      </w:r>
      <w:r>
        <w:rPr>
          <w:rFonts w:ascii="Arial" w:cs="Arial" w:eastAsia="Arial" w:hAnsi="Arial"/>
          <w:sz w:val="21"/>
          <w:szCs w:val="21"/>
          <w:color w:val="auto"/>
          <w:vertAlign w:val="subscript"/>
        </w:rPr>
        <w:t>2</w:t>
      </w:r>
      <w:r>
        <w:rPr>
          <w:rFonts w:ascii="Arial" w:cs="Arial" w:eastAsia="Arial" w:hAnsi="Arial"/>
          <w:sz w:val="17"/>
          <w:szCs w:val="17"/>
          <w:color w:val="auto"/>
        </w:rPr>
        <w:t xml:space="preserve"> of 1% per annum and (iii) in the case of the revolving loans, the Eurodollar rate for a one month interest period plus 1.00%; plus, in each case (b) a borrowing margin of 2.000% for our revolving loans and 0.875% in the case of our term loans. Interest on Base Rate Loans is payable quarterly in arrears. We also pay, quarterly in arrears, a fee equal to 1.000% per annum on the daily average of unborrowed availability under the revolving facility.</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credit facilities are guaranteed by each of our subsidiaries, other than Wynn Completion Guarantor, LLC. Subject to the intercreditor agreement, and certain exceptions, our obligations and each of the guarantees under the credit facilities are secured by: (1) a first priority pledge of all member’s interests owned by Wynn Las Vegas, LLC in its subsidiaries and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credit facilities rank equal in right of payment with their existing and future senior indebtedness, including indebtedness with respect to the 2014 notes, the 2017 notes and the 2020 notes and ranks senior in right of payment to all of their existing and future subordinated indebtedness.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scheduled amortization payments, we are required to make mandatory prepayments of indebtedness under the credit facilities from a portion of the net proceeds of all debt offerings (other than those constituting certain permitted debt), the net proceeds from certain dispositions, the net proceeds from asset sales, insurance or condemnation proceeds, and liquidated damages under certain project documents received by us, in each case, with specified prepayment thresholds, exceptions and subject in certain cases to reinvestment periods. We are also required to make mandatory repayments of indebtedness under the credit facilities from 50% of excess cash flow, which percentage may be eliminated based on our leverage ratio. We have the option to prepay all or any portion of the indebtedness under the credit facilities at any time without premium or penalty.</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our ability to: incur additional indebtedness, including guarantees; create, incur, assume or permit to exist liens on property and assets; declare or pay dividends and make distributions or restrict the ability of our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380"/>
          </w:cols>
          <w:pgMar w:left="240" w:top="460" w:right="2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financial covenants include maintaining a Consolidated Leverage Ratio, as defined, not greater than 6.50 to 1, 6.25 to 1 and 6.00 to 1 for each of the reporting periods ending June 30, 2011, September 30, 2011 and on and after December 31, 2011, respectively.</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financial covenants also include maintaining a Consolidated Interest Coverage Ratio of no less than 1.25 to 1 for the reporting periods ending June 30, 2009 through and including March 31, 2011, and 1.75 to 1 from and after June 30, 2011. Our management believes that Wynn Las Vegas, LLC was in compliance with such covenant as of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On December 14, 2004, we issued $1.3 billion aggregate principal amount of 2014 notes. On November 6, 2007, we issued, in a private offering, an additional $400 million aggregate principal amount of 2014 notes at a price of 97.25% of the principal amount. The outstanding principal aggregate amount of 2014 notes was reduced by $382,010,000 on April 28, 2010 as a result of a private placement exchange offer whereby we exchanged 2014 notes for 2020 notes. The 2014 notes mature on December 1, 2014 and bear interest at the rate of 6 </w:t>
      </w:r>
      <w:r>
        <w:rPr>
          <w:rFonts w:ascii="Arial" w:cs="Arial" w:eastAsia="Arial" w:hAnsi="Arial"/>
          <w:sz w:val="10"/>
          <w:szCs w:val="10"/>
          <w:color w:val="auto"/>
        </w:rPr>
        <w:t>5</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per year. We pay interest on the 2014 notes on June 1st and December 1st of each year. Commencing December 1, 2009, the 2014 notes became redeemable at our option at a price equal to 103.313% of the principal amount redeemed and declining ratably on December 1st of each year thereafter to 100.000% on or after December 1, 2012.</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indenture governing the 2014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2014 notes are our obligations, guaranteed by each of our subsidiaries, other than Wynn Completion Guarantor, LLC. Wynn Resorts does not guarantee our obligations under the 2014 notes. Subject to the intercreditor agreement and certain exceptions, the 2014 notes and the guarantees thereof are secured by: (1) a first priority pledge of all of the member’s interests owned by Wynn Las Vegas, LLC in its subsidiaries and of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2014 notes rank equal to the right of payment with our existing and future senior secured indebtedness, including indebtedness with respect to our credit facilities described above and the 2017 notes, and rank senior in right of payment to all of our existing and future subordinated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 xml:space="preserve">On October 19, 2009, we issued $500 million aggregate principal amount of 2017 notes at a price of 97.823% of the principal amount. The 2017 notes mature on November 1, 2017 and bear interest at the rate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year. We pay interest on the 2017 notes on May 1st and November 1st of each year. Commencing November 1, 2013, the 2017 notes will become redeemable at our option at a price equal to 103.938% of the principal amount redeemed and declining ratably on November 1st of each year thereafter to 100.000% on or after November 1, 2015.</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On April 28, 2010, we issued $382,010,000 aggregate principal amount of 2020 notes in exchange for 2014 notes. The 2020 notes mature on May 1, 2020 and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 We pay interest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2020 notes on May 1st and November 1st of each year. Commencing May 1, 2015, the 2020 notes will become redeemable at our option at a price equal to 103.938% of the principal amount redeemed and declining ratably on May 1st of each year thereafter to 100.000% on or after May 1, 2018.</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indentures governing the 2017 notes and the 2020 notes contain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2017 notes and the 2020 notes are our obligations, guaranteed by each of our subsidiaries, other than Wynn Completion Guarantor, LLC. Wynn Resorts does not guarantee our obligations under the 2017 notes and the 2020 notes. Subject to the intercreditor agreement and certain exceptions, the 2017 notes and the 2020 notes and the guarantees thereof are secured by: (1) a first priority pledge of all of the member’s interests owned by Wynn Las Vegas, LLC in its subsidiaries and of Wynn Holdings’ 100% member’s interest in Wynn Las Vegas, LLC, subject to the approval of the Nevada Gaming Commission, the application for which is pending;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2017 notes and the 2020 notes rank equal to the right of payment with our existing and future senior secured indebtedness, including indebtedness with respect to our credit facilities described above and the 2014 notes, and rank senior in right of payment to all of our existing and future subordinated indebtedness.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380"/>
          </w:cols>
          <w:pgMar w:left="240" w:top="460" w:right="2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intercreditor agreement (as amended or supplemented from time to time, including by any joinder agreement, the “intercreditor agreement”) that was entered into among the agent under the credit facilities, the trustee on behalf of the 2014 note holders, the trustee on behalf of the 2017 note holders, the trustee on behalf of the 2020 note holders and Deutsche Bank Trust Company Americas, in its capacity a collateral agent for each of the parties, may be joined in the future by the representative of any future first lien indebtedness permitted to be incurred which is secured by any collateral (together with indebtedness under the credit facilities, the 2014 notes, the 2017 notes and the 2020 notes, the “senior debt”) and the representative of any future second lien indebtedness permitted to be incurred which is secured by any collateral (together with any remaining second mortgage notes, the “junior debt”). By accepting the 2017 notes, the 2017 noteholders, in addition to the 2017 notes trustee, are bound by the terms of the intercreditor agreement and by accepting the 2020 notes, the 2020 note holders, in addition to the 2020 notes trustee, are bound by the terms of the intercreditor agreement. The intercreditor agreement sets forth certain agreements among the parties regarding, among other things, the priority of their claims and interests in the collateral securing the senior debt and the junior debt and other assets we own, the method of decision-making among the lenders, the holders of 2014 notes, the holders of the 2017 notes, the holders of the 2020 notes, any other senior debt holders and the junior debt holders, the arrangements applicable to actions with respect to approval rights and waivers, certain limitations on rights of enforcement upon default and the application of proceeds of enforcement. This is a summary of the material terms and provisions of the intercreditor agreement, and you should review the intercreditor agreement for a complete statement of its terms and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intercreditor agreement, each party appoints Deutsche Bank Trust Company Americas to act as collateral agent with respect to all of the collateral (in separate capacities with respect to collateral and any separate collateral, as applicable) securing the senior debt (including with respect to the notes and the credit facilities), and certain of the collateral securing the junior debt, to exercise any remedies in respect thereof upon the occurrence of an event of default, and to act as specified in the intercreditor agreement under each of the security documents to which it is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Priority of Liens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w:t>
      </w:r>
    </w:p>
    <w:p>
      <w:pPr>
        <w:spacing w:after="0" w:line="90" w:lineRule="exact"/>
        <w:rPr>
          <w:sz w:val="20"/>
          <w:szCs w:val="20"/>
          <w:color w:val="auto"/>
        </w:rPr>
      </w:pPr>
    </w:p>
    <w:p>
      <w:pPr>
        <w:ind w:left="900" w:right="180" w:hanging="446"/>
        <w:spacing w:after="0" w:line="318" w:lineRule="auto"/>
        <w:tabs>
          <w:tab w:leader="none" w:pos="900" w:val="left"/>
        </w:tabs>
        <w:numPr>
          <w:ilvl w:val="0"/>
          <w:numId w:val="346"/>
        </w:numPr>
        <w:rPr>
          <w:rFonts w:ascii="Arial" w:cs="Arial" w:eastAsia="Arial" w:hAnsi="Arial"/>
          <w:sz w:val="15"/>
          <w:szCs w:val="15"/>
          <w:color w:val="auto"/>
        </w:rPr>
      </w:pPr>
      <w:r>
        <w:rPr>
          <w:rFonts w:ascii="Arial" w:cs="Arial" w:eastAsia="Arial" w:hAnsi="Arial"/>
          <w:sz w:val="15"/>
          <w:szCs w:val="15"/>
          <w:color w:val="auto"/>
        </w:rPr>
        <w:t>to the extent that our indebtedness represented by the notes is permitted to be incurred and secured on a first lien basis by the credit facilities, the 2014 notes, the 2017 notes and the 2020 notes, the liens granted for the benefit of the 2020 note holders with respect to our assets and the assets pledged by the guarantors are pari passu in priority (which priority is first, subject to permitted liens) with the liens on such assets granted for the benefit of the lenders under the credit facilities, the liens granted for the benefit of the holders of the 2014 notes, the liens granted for the benefit of the holders of the 2017 notes and the permitted liens on such assets that may be granted for the benefit of any other senior debt holders; and</w:t>
      </w:r>
    </w:p>
    <w:p>
      <w:pPr>
        <w:spacing w:after="0" w:line="18" w:lineRule="exact"/>
        <w:rPr>
          <w:rFonts w:ascii="Arial" w:cs="Arial" w:eastAsia="Arial" w:hAnsi="Arial"/>
          <w:sz w:val="15"/>
          <w:szCs w:val="15"/>
          <w:color w:val="auto"/>
        </w:rPr>
      </w:pPr>
    </w:p>
    <w:p>
      <w:pPr>
        <w:ind w:left="900" w:right="80" w:hanging="446"/>
        <w:spacing w:after="0" w:line="332" w:lineRule="auto"/>
        <w:tabs>
          <w:tab w:leader="none" w:pos="90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liens on such assets granted for the benefit of the junior debt holders are junior to the liens on such assets granted for the benefit of the 2020 note holders, the holders of the 2014 notes, the holders of the 2017 notes, the lenders under the credit facilities and any other senior debt holder;</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foregoing shall be effective at all times during the term of the intercreditor agreement, notwithstanding: (i) the initiation of any bankruptcy, moratorium, reorganization or other insolvency proceeding with respect to any credit party; (ii) the priorities which would otherwise result from the order of creation, attachment or perfection of any such lien; (iii) the taking of possession of any of the collateral by the collateral agent, any lender, the trustee under the indenture for the 2014 notes, the trustee under the indenture for the 2017 notes,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400"/>
          </w:cols>
          <w:pgMar w:left="240" w:top="459" w:right="2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trustee under the indenture for the 2020 notes, any holder of 2014 notes, any holder of 2017 notes, any holder of 2020 notes, any holder (or representative of any holder) of other senior debt, or any holder (or representative of any holder) of any junior debt or; (iv) the filing of any financing statement or the recording of any deed of trust, mortgage or other instrument in any recording office; (v) the order in which any of the obligations with respect to the senior debt or the junior debt were created or in which any of the loan or note documents were filed or recorded; or (vi) whether any such lien is now perfected, hereafter ceases to be perfected, is avoidable by any bankruptcy trustee or otherwise is set aside, invalidated or lapses.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the Collateral Agent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intercreditor agreement provides that the collateral agent has the sole and exclusive right to exercise rights and enforce remedies under the security documents to which it is a party. As long as any indebtedness remains outstanding under our credit facilities or any of our 2014 notes remain outstanding, none of the 2020 notes trustee, the 2020 note holders, the 2017 notes trustee or the 2017 note holders will have the right to direct the collateral agent to enforce remedies against the collateral. In exercising its rights and enforcing its remedies under such security documents, the collateral agent shall, subject to the terms and conditions of the intercreditor agreement, at all times act at the direction of the required secured creditors in respect of any particular matter. The identity of the required secured creditors is determined as follows:</w:t>
      </w:r>
    </w:p>
    <w:p>
      <w:pPr>
        <w:spacing w:after="0" w:line="39" w:lineRule="exact"/>
        <w:rPr>
          <w:sz w:val="20"/>
          <w:szCs w:val="20"/>
          <w:color w:val="auto"/>
        </w:rPr>
      </w:pPr>
    </w:p>
    <w:p>
      <w:pPr>
        <w:ind w:left="900" w:hanging="446"/>
        <w:spacing w:after="0"/>
        <w:tabs>
          <w:tab w:leader="none" w:pos="90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for purposes of causing the collateral agent to commence enforcement proceedings against the collateral pursuant to the security documents:</w:t>
      </w:r>
    </w:p>
    <w:p>
      <w:pPr>
        <w:spacing w:after="0" w:line="113" w:lineRule="exact"/>
        <w:rPr>
          <w:rFonts w:ascii="Arial" w:cs="Arial" w:eastAsia="Arial" w:hAnsi="Arial"/>
          <w:sz w:val="16"/>
          <w:szCs w:val="16"/>
          <w:color w:val="auto"/>
        </w:rPr>
      </w:pPr>
    </w:p>
    <w:p>
      <w:pPr>
        <w:ind w:left="1460" w:right="80" w:hanging="547"/>
        <w:spacing w:after="0" w:line="256" w:lineRule="auto"/>
        <w:tabs>
          <w:tab w:leader="none" w:pos="146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at any time after the expiration of 30 days following the earlier of (i) a payment event of default with respect to the 2014 notes or (ii) an acceleration of the 2014 notes, then holders of the majority of the aggregate outstanding amount of the 2014 notes and loans under the credit facilities shall constitute the required secured creditors for purposes of causing the collateral agent to commence enforcement proceedings pursuant to the security documents; and</w:t>
      </w:r>
    </w:p>
    <w:p>
      <w:pPr>
        <w:spacing w:after="0" w:line="62" w:lineRule="exact"/>
        <w:rPr>
          <w:rFonts w:ascii="Arial" w:cs="Arial" w:eastAsia="Arial" w:hAnsi="Arial"/>
          <w:sz w:val="18"/>
          <w:szCs w:val="18"/>
          <w:color w:val="auto"/>
        </w:rPr>
      </w:pPr>
    </w:p>
    <w:p>
      <w:pPr>
        <w:ind w:left="1460" w:hanging="547"/>
        <w:spacing w:after="0" w:line="290" w:lineRule="auto"/>
        <w:tabs>
          <w:tab w:leader="none" w:pos="146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 xml:space="preserve">at any time that an event of default exists under the credit facilities, then the agent on behalf of the lenders under the credit facilities shall constitute the required secured creditors for purposes of causing the collateral agent to commence enforcement proceedings pursuant to the security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(i) a payment event of default with respect to the 2014 notes or (ii) the acceleration of the 2014 notes has occurred and is continuing for more than 30 days and an event of default has occurred and is continuing under the credit facilities, then, for purposes of causing the collateral agent to commence enforcement proceedings against the collateral pursuant to the security documents, either (x) the agent on behalf of the lenders under the credit facilities or (y) the holders of the majority of the aggregate outstanding amount of 2014 notes and loans under the credit facilities shall constitute the required secured creditors;</w:t>
      </w:r>
    </w:p>
    <w:p>
      <w:pPr>
        <w:spacing w:after="0" w:line="37" w:lineRule="exact"/>
        <w:rPr>
          <w:rFonts w:ascii="Arial" w:cs="Arial" w:eastAsia="Arial" w:hAnsi="Arial"/>
          <w:sz w:val="16"/>
          <w:szCs w:val="16"/>
          <w:color w:val="auto"/>
        </w:rPr>
      </w:pPr>
    </w:p>
    <w:p>
      <w:pPr>
        <w:ind w:left="1460" w:right="260" w:hanging="547"/>
        <w:spacing w:after="0" w:line="259" w:lineRule="auto"/>
        <w:tabs>
          <w:tab w:leader="none" w:pos="146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for purposes of causing the collateral agent to commence enforcement proceedings against the account holding the proceeds of term loans and certain proceeds of revolving loans made under the credit facilities, the agent under the credit facilities shall constitute the required secured creditors;</w:t>
      </w:r>
    </w:p>
    <w:p>
      <w:pPr>
        <w:spacing w:after="0" w:line="59" w:lineRule="exact"/>
        <w:rPr>
          <w:rFonts w:ascii="Arial" w:cs="Arial" w:eastAsia="Arial" w:hAnsi="Arial"/>
          <w:sz w:val="18"/>
          <w:szCs w:val="18"/>
          <w:color w:val="auto"/>
        </w:rPr>
      </w:pPr>
    </w:p>
    <w:p>
      <w:pPr>
        <w:ind w:left="1460" w:right="60" w:hanging="547"/>
        <w:spacing w:after="0" w:line="357" w:lineRule="auto"/>
        <w:tabs>
          <w:tab w:leader="none" w:pos="1460" w:val="left"/>
        </w:tabs>
        <w:numPr>
          <w:ilvl w:val="1"/>
          <w:numId w:val="347"/>
        </w:numPr>
        <w:rPr>
          <w:rFonts w:ascii="Arial" w:cs="Arial" w:eastAsia="Arial" w:hAnsi="Arial"/>
          <w:sz w:val="15"/>
          <w:szCs w:val="15"/>
          <w:color w:val="auto"/>
        </w:rPr>
      </w:pPr>
      <w:r>
        <w:rPr>
          <w:rFonts w:ascii="Arial" w:cs="Arial" w:eastAsia="Arial" w:hAnsi="Arial"/>
          <w:sz w:val="15"/>
          <w:szCs w:val="15"/>
          <w:color w:val="auto"/>
        </w:rPr>
        <w:t>once enforcement proceedings have been commenced in accordance with the first bullet-point above, only the required secured creditors that directed the collateral agent to commence such proceedings shall be required to direct the collateral agent to discontinue the proceedings;</w:t>
      </w:r>
    </w:p>
    <w:p>
      <w:pPr>
        <w:ind w:left="1460" w:right="180" w:hanging="547"/>
        <w:spacing w:after="0" w:line="318" w:lineRule="auto"/>
        <w:tabs>
          <w:tab w:leader="none" w:pos="1460" w:val="left"/>
        </w:tabs>
        <w:numPr>
          <w:ilvl w:val="1"/>
          <w:numId w:val="347"/>
        </w:numPr>
        <w:rPr>
          <w:rFonts w:ascii="Arial" w:cs="Arial" w:eastAsia="Arial" w:hAnsi="Arial"/>
          <w:sz w:val="15"/>
          <w:szCs w:val="15"/>
          <w:color w:val="auto"/>
        </w:rPr>
      </w:pPr>
      <w:r>
        <w:rPr>
          <w:rFonts w:ascii="Arial" w:cs="Arial" w:eastAsia="Arial" w:hAnsi="Arial"/>
          <w:sz w:val="15"/>
          <w:szCs w:val="15"/>
          <w:color w:val="auto"/>
        </w:rPr>
        <w:t>for purposes of directing the manner and method of enforcement proceedings once commenced in accordance with the first bullet-point above, the collateral agent shall make all decisions that it deems appropriate to diligently prosecute and complete such proceedings unless instructed to do otherwise by any joint committee formed by the holders of the 2014 notes, the holders of the 2017 notes, the holders of the 2020 notes and the lenders under the credit facilities or, if no such joint committee has been formed, by the trustee under the indenture governing the 2014 notes and the agent on behalf of the lenders under the credit facilities, acting together, who shall constitute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0"/>
        <w:spacing w:after="0" w:line="282" w:lineRule="auto"/>
        <w:rPr>
          <w:sz w:val="20"/>
          <w:szCs w:val="20"/>
          <w:color w:val="auto"/>
        </w:rPr>
      </w:pPr>
      <w:r>
        <w:rPr>
          <w:rFonts w:ascii="Arial" w:cs="Arial" w:eastAsia="Arial" w:hAnsi="Arial"/>
          <w:sz w:val="16"/>
          <w:szCs w:val="16"/>
          <w:color w:val="auto"/>
        </w:rPr>
        <w:t>required secured creditors under such circumstances. If the collateral agent requests instructions from the required secured creditors with respect to the manner and method of enforcement proceedings, then if such a joint committee has been formed and is then in effect, such joint committee shall constitute the required secured creditors or, if such a joint committee has not been formed or is not then in effect, the trustee under the indenture governing the 2014 notes and the agent on behalf of the lenders under the credit facilities, acting together, shall constitute the required secured creditors. If such trustees and the agent for the lenders under the credit facilities have all failed to respond to the collateral agent’s request for instructions or if the collateral agent receives conflicting instructions from such trustee and the agent for the lenders under the credit facilities, the collateral agent shall not act under the requested instructions until a non-conflicting instruction is received from either (i) the trustee under the indenture governing the 2014 notes and the agent for the lenders under the credit facilities or</w:t>
      </w:r>
    </w:p>
    <w:p>
      <w:pPr>
        <w:spacing w:after="0" w:line="6" w:lineRule="exact"/>
        <w:rPr>
          <w:sz w:val="20"/>
          <w:szCs w:val="20"/>
          <w:color w:val="auto"/>
        </w:rPr>
      </w:pPr>
    </w:p>
    <w:p>
      <w:pPr>
        <w:ind w:left="1480"/>
        <w:spacing w:after="0" w:line="295" w:lineRule="auto"/>
        <w:tabs>
          <w:tab w:leader="none" w:pos="1738" w:val="left"/>
        </w:tabs>
        <w:numPr>
          <w:ilvl w:val="1"/>
          <w:numId w:val="348"/>
        </w:numPr>
        <w:rPr>
          <w:rFonts w:ascii="Arial" w:cs="Arial" w:eastAsia="Arial" w:hAnsi="Arial"/>
          <w:sz w:val="16"/>
          <w:szCs w:val="16"/>
          <w:color w:val="auto"/>
        </w:rPr>
      </w:pPr>
      <w:r>
        <w:rPr>
          <w:rFonts w:ascii="Arial" w:cs="Arial" w:eastAsia="Arial" w:hAnsi="Arial"/>
          <w:sz w:val="16"/>
          <w:szCs w:val="16"/>
          <w:color w:val="auto"/>
        </w:rPr>
        <w:t>the holders of a majority of the then outstanding indebtedness under the indenture governing the 2014 notes and the credit facilities. If the trustee under the indenture governing the 2014 notes or the agent for the lenders under the credit facilities responds with instructions to the collateral agent within ten business days but one or more of the others fails to respond during such time period, then the required secured creditors under such circumstances shall constitute the parties who responded during such time frame;</w:t>
      </w:r>
    </w:p>
    <w:p>
      <w:pPr>
        <w:spacing w:after="0" w:line="34" w:lineRule="exact"/>
        <w:rPr>
          <w:rFonts w:ascii="Arial" w:cs="Arial" w:eastAsia="Arial" w:hAnsi="Arial"/>
          <w:sz w:val="16"/>
          <w:szCs w:val="16"/>
          <w:color w:val="auto"/>
        </w:rPr>
      </w:pPr>
    </w:p>
    <w:p>
      <w:pPr>
        <w:ind w:left="900" w:right="20" w:hanging="446"/>
        <w:spacing w:after="0" w:line="284" w:lineRule="auto"/>
        <w:tabs>
          <w:tab w:leader="none" w:pos="90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for purposes of amending, modifying, varying or waiving any provisions of the security documents in respect of the collateral, including waiving any event of default thereunder, the agent for the lenders under the credit facilities shall constitute the required secured creditors entitled to amend, modify, vary or waive any provision of the security documents in respect of the collateral (without the consent of the trustee under the indenture governing the 2014 notes, the holders of the 2014 notes, the trustee under the indenture governing the 2017 notes, the holders of the 2017 notes, the trustee under the indenture governing the 2020 notes, the holders of the 2020 notes, the representative of any other senior debt, the holders of any other senior debt, the representative of any junior debt or the holders of any junior debt). Any such amendments, modifications or waivers shall be effective, and shall automatically apply to, any security documents entered into for the benefit of any other senior debt and junior debt including the 2014 notes, the 2017 notes and the 2020 notes. In addition, none of the trustee under the indenture governing the 2020 notes, the holders of the 2020 notes, the trustee under the indenture governing the 2017 notes or the holders of 2017 notes shall have any right to amend or modify any provisions of the security documents. Notwithstanding the foregoing, unless such amendment, modification, variance or waiver is expressly permitted to occur without the consent of the trustee under the indenture governing the 2020 notes, the trustee under the indenture governing the 2014 notes, the trustee under the indenture governing the 2017 notes, the trustee under the indenture governing the 2017 notes and without the consent of the representative of any senior or junior debt under the terms of any indenture, note or other document evidencing or governing such senior or junior debt, to the extent that such amendment, modification, variance or waiver will result in the release of any portion of the collateral under the security documents, the consent of the trustee under the indenture governing the 2014 notes, the trustee under the indenture governing the 2017 notes and the trustee under the indenture governing the 2020 notes will be required and the consent of a representative of such senior or junior debt or holder of such senior or junior debt may be required. To the extent such amendment, modification, variance or waiver will adversely affect the interests of any holders of senior debt or junior debt in a manner that does not similarly affect the interests of the lenders under the credit facilities, the consent of a representative of such senior or junior debt, as the case may be, will be required. In addition, any default occurring under a security document by reason of a default under the indenture governing the 2014 notes, the indenture governing the 2017 notes, the indenture governing the 2020 notes, the indenture or the instrument governing any senior or junior debt may only be waived by the trustee under the indenture governing the 2014 notes, the trustee under the indenture governing the 2017 notes, the trustee under the indenture governing the 2020 notes, or the representative of any senior or junior debt, as the case may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for purposes of adjusting settlement of all insurance claims and condemnation awards in the event of any covered loss, theft or destruction or condemnation of any collateral, and all claims under insurance constituting collateral, then, subject to the following paragraphs, the required secured creditors at such times shall be the agent under the credit facilities;</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credit facilities have been paid in full and the commitments of the lenders under the credit facilities have terminated, then the required secured creditors at such times shall be the trustee under the indenture governing the 2014 notes;</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2014 notes have been paid in full and all of our obligations under the credit facilities have been paid in full and the commitments of the lenders under the credit facilities have terminated, then the required secured creditors at such times shall be the trustee under the indenture governing the 2017 notes, the trustee under the indenture governing the 2020 notes, and the representative of each other class of senior debt outstanding; and</w:t>
      </w:r>
    </w:p>
    <w:p>
      <w:pPr>
        <w:spacing w:after="0" w:line="62"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if at the time of an action by the required secured creditors, all of our obligations under the 2020 notes, all of our obligations under the 2017 notes, all of our obligations under the 2014 notes, all of our obligations under the credit facilities and all of our obligations under any other senior debt have all been paid in full and the commitments of the lenders under the credit facilities and the commitments of any other lenders under any other senior debt have terminated, then the required secured creditors at such times shall be each representative of any junior debt.</w:t>
      </w:r>
    </w:p>
    <w:p>
      <w:pPr>
        <w:spacing w:after="0" w:line="11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The indenture governing the 2020 notes provides that the consent of the 2020 notes trustee will not be required for any amendment to the intercreditor agreement providing the 2020 notes trustee greater rights to participate in decisions regarding collateral and/or the enforcement of security documents.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Permanent Standstill With Respect to Junior Debt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intercreditor agreement provides that, if there is a payment default or an acceleration with respect to the senior debt, then the collateral agent shall have the right to notify the representative of any junior debt of such default, and any payments thereafter received by any junior debt holders (continuing until such time, if any, as all such defaults have been cured) shall be turned over to the collateral agent for application against the indebtedness under the senior debt, and be applied in accordance with the intercreditor agreement.</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intercreditor agreement provides that, at any time that there is any outstanding indebtedness under the senior debt, the representative of any junior debt (and the junior debt holders) shall not be permitted to exercise any remedies, or to instruct the collateral agent to exercise any remedies, with respect to the collateral following a default under any instrument governing such junior debt, except with the prior consent of each representative of senior debt (including the agent under the credit facilities, the trustee under the indenture governing the 2020 notes, the trustee under the indenture governing the 2017 notes and the trustee under the indenture governing the 2014 notes). In particular, the representative of such junior debt will not have the right to (or instruct the collateral agent to) commence foreclosure proceedings against any portion of the collateral, or take other actions with respect to the collateral, except as described in the previous sentence.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representative of any junior debt shall have the right upon a default:</w:t>
      </w:r>
    </w:p>
    <w:p>
      <w:pPr>
        <w:spacing w:after="0" w:line="90" w:lineRule="exact"/>
        <w:rPr>
          <w:sz w:val="20"/>
          <w:szCs w:val="20"/>
          <w:color w:val="auto"/>
        </w:rPr>
      </w:pPr>
    </w:p>
    <w:p>
      <w:pPr>
        <w:jc w:val="both"/>
        <w:ind w:left="900" w:right="660" w:hanging="446"/>
        <w:spacing w:after="0" w:line="357" w:lineRule="auto"/>
        <w:tabs>
          <w:tab w:leader="none" w:pos="90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to take actions to preserve or protect the liens securing such junior debt (so long as the actions are not adverse to the lenders under the credit facilities, the holders of the 2014 notes, the holders of the 2017 notes, the holders of the 2020 notes or the holders of any other senior debt);</w:t>
      </w:r>
    </w:p>
    <w:p>
      <w:pPr>
        <w:ind w:left="900" w:right="180" w:hanging="446"/>
        <w:spacing w:after="0" w:line="268" w:lineRule="auto"/>
        <w:tabs>
          <w:tab w:leader="none" w:pos="9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to purchase or payoff all amounts owed under the senior debt (provided that such junior debt holders shall not be required in such circumstances to pay any prepayment charges or premiums payable under the terms of the senior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to accelerate such junior indebtedness; and</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2020 notes, the 2017 notes or the 2014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Proceeds received in connection with any exercise of remedies against the collateral shall be applied:</w:t>
      </w:r>
    </w:p>
    <w:p>
      <w:pPr>
        <w:spacing w:after="0" w:line="90" w:lineRule="exact"/>
        <w:rPr>
          <w:sz w:val="20"/>
          <w:szCs w:val="20"/>
          <w:color w:val="auto"/>
        </w:rPr>
      </w:pPr>
    </w:p>
    <w:p>
      <w:pPr>
        <w:ind w:left="900" w:hanging="446"/>
        <w:spacing w:after="0"/>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first, to certain costs and expenses of the collateral agent in connection with undertaking such enforcement;</w:t>
      </w:r>
    </w:p>
    <w:p>
      <w:pPr>
        <w:spacing w:after="0" w:line="90"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352"/>
        </w:numPr>
        <w:rPr>
          <w:rFonts w:ascii="Arial" w:cs="Arial" w:eastAsia="Arial" w:hAnsi="Arial"/>
          <w:sz w:val="15"/>
          <w:szCs w:val="15"/>
          <w:color w:val="auto"/>
        </w:rPr>
      </w:pPr>
      <w:r>
        <w:rPr>
          <w:rFonts w:ascii="Arial" w:cs="Arial" w:eastAsia="Arial" w:hAnsi="Arial"/>
          <w:sz w:val="15"/>
          <w:szCs w:val="15"/>
          <w:color w:val="auto"/>
        </w:rPr>
        <w:t>second, to the payment of all principal and interest outstanding under the senior debt and other extensions of credit under the senior debt (including with respect to any protective advances made by the agent or lenders under our credit facilities or the holders of the 2020 notes or the trustee under the indenture governing the 2020 notes, or the holders of the 2017 notes or the trustee under the indenture governing the 2017 notes, or the holders of the 2014 notes or the trustee under the indenture governing the 2014 notes), pro rata among the senior debt based on the outstanding amounts thereof;</w:t>
      </w:r>
    </w:p>
    <w:p>
      <w:pPr>
        <w:spacing w:after="0" w:line="16"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third, to the payment of all obligations outstanding under the senior debt other than the items set forth above, pro rata among the senior debt based on the outstanding amounts thereof;</w:t>
      </w:r>
    </w:p>
    <w:p>
      <w:pPr>
        <w:spacing w:after="0" w:line="5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fourth, to the payment of all principal and interest outstanding under the junior debt (including with respect to any protective advances made by the holders of the junior debt or their representatives), pro rata among the junior debt based on the outstanding amounts thereof;</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fifth, to the payment of all obligations outstanding under the junior debt other than principal and interest, pro rata among the junior debt based on the outstanding amounts thereof;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sixth, to whomever is lawfully entitled to receive any remaining funds.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the intercreditor agreement provides that certain non-pro rata payments received by any 2020 note holder, any 2017 note holder, any 2014 note holder, any lender under the credit facilities or any other senior debt holder shall be remitted to the collateral agent for redistribution in a pro rata manner among each senior debt holder. Subject to certain exceptions, payments subject to this pro rata redistribution requirement include, among other things, (i) proceeds of any exercise of any lender, any 2014 note holder, any 2017 note holder or any 2020 note holder’s right of setoff, banker’s lien or counterclaim, or from any security or from any realization (whether through attachment, foreclosure or otherwise) of our assets or our affiliates’ assets, and (ii) payments made after an event of default has occurred and is continuing.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in Bankruptcy</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intercreditor agreement provides that in any bankruptcy of Wynn Las Vegas, Wynn Capital or any of the guarantors, no junior debt holders and no representative of any junior debt shall, among other things:</w:t>
      </w:r>
    </w:p>
    <w:p>
      <w:pPr>
        <w:spacing w:after="0" w:line="51" w:lineRule="exact"/>
        <w:rPr>
          <w:sz w:val="20"/>
          <w:szCs w:val="20"/>
          <w:color w:val="auto"/>
        </w:rPr>
      </w:pPr>
    </w:p>
    <w:p>
      <w:pPr>
        <w:jc w:val="both"/>
        <w:ind w:left="900" w:right="60" w:hanging="446"/>
        <w:spacing w:after="0" w:line="335" w:lineRule="auto"/>
        <w:tabs>
          <w:tab w:leader="none" w:pos="90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challenge the liens of the lenders under the credit facilities, the holders of the 2020 notes, the holders of the 2017 notes, the holders of the 2014 notes or the holders of other senior debt (and the lenders, the holders of the 2020 notes, the holders of the 2017 notes, the holders of the 2014 notes and the holders of other senior debt correspondingly shall agree not to take any action challenging the liens in favor of any such junior debt holders);</w:t>
      </w:r>
    </w:p>
    <w:p>
      <w:pPr>
        <w:spacing w:after="0" w:line="7" w:lineRule="exact"/>
        <w:rPr>
          <w:rFonts w:ascii="Arial" w:cs="Arial" w:eastAsia="Arial" w:hAnsi="Arial"/>
          <w:sz w:val="15"/>
          <w:szCs w:val="15"/>
          <w:color w:val="auto"/>
        </w:rPr>
      </w:pPr>
    </w:p>
    <w:p>
      <w:pPr>
        <w:jc w:val="both"/>
        <w:ind w:left="900" w:right="220" w:hanging="446"/>
        <w:spacing w:after="0" w:line="256" w:lineRule="auto"/>
        <w:tabs>
          <w:tab w:leader="none" w:pos="9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oppose or contest any motion of the agent under the credit facilities, the trustee under the indenture governing the 2020 notes, the trustee under the indenture governing the 2017 notes, the trustee under the indenture governing the 2014 notes or any representative of other senior debt holders for relief from the automatic stay or any injunction against foreclosure or enforcement of the credit facilities, the 2020 notes, the 2017 notes, the 2014 notes or other senior debt;</w:t>
      </w:r>
    </w:p>
    <w:p>
      <w:pPr>
        <w:spacing w:after="0" w:line="62"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the 2020 notes, the 2017 notes, the 2014 notes or other senior debt at any foreclosure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59" w:lineRule="auto"/>
        <w:tabs>
          <w:tab w:leader="none" w:pos="9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the credit facilities, the trustee under the indenture governing the 2020 notes, the trustee under the indenture governing the 2017 notes, the trustee under the indenture governing the 2014 notes or any representative of other senior debt holders so long as such use of cash collateral calls for:</w:t>
      </w:r>
    </w:p>
    <w:p>
      <w:pPr>
        <w:spacing w:after="0" w:line="59" w:lineRule="exact"/>
        <w:rPr>
          <w:rFonts w:ascii="Arial" w:cs="Arial" w:eastAsia="Arial" w:hAnsi="Arial"/>
          <w:sz w:val="18"/>
          <w:szCs w:val="18"/>
          <w:color w:val="auto"/>
        </w:rPr>
      </w:pPr>
    </w:p>
    <w:p>
      <w:pPr>
        <w:ind w:left="1460" w:right="300" w:hanging="547"/>
        <w:spacing w:after="0" w:line="268" w:lineRule="auto"/>
        <w:tabs>
          <w:tab w:leader="none" w:pos="146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Wynn Capital or certain of their affiliates, or for the preservation of the collateral;</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such junior debt;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payment of bankruptcy administrative expenses; or</w:t>
      </w:r>
    </w:p>
    <w:p>
      <w:pPr>
        <w:spacing w:after="0" w:line="90"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vote to accept any plan of reorganization or restructuring plan unless lenders collectively holding two-thirds of the aggregate outstanding amount of loans under the credit facilities and the holders of the 2020 notes collectively holding two-thirds of the aggregate outstanding amount of the 2020 notes and holders of the 2017 notes collectively holding two-thirds of the aggregate outstanding amount of the 2017 notes and the holders of the 2014 notes collectively holding two-thirds of the aggregate outstanding amount of the 2014 notes have voted to accept such plan.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foregoing provisions shall not restrict the representative of any junior debt (and any junior debt holders) from, subject to the terms of the intercreditor agreement, voting unsecured claims based upon the indebtedness owed to them, or contesting any valuation of the collateral asserted for purposes of valuing the secured claims of the lenders under the credit facilities, the 2014 note holders and/or the 2017 note holders and/or the 2020 note holders and/or any other senior debt holders and/or any junior debt holders (except that the representative of such junior debt and the junior debt holders shall not have the right to assert the lack of adequate protection of their liens as a basis for opposing relief sought in the bankruptcy that has been approved by the holders of the senior debt.)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Waivers by Junior Debt Holders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Under the intercreditor agreement, the junior debt holders waive certain rights generally afforded junior creditors relative to senior creditors under applicable law, including each of the following:</w:t>
      </w:r>
    </w:p>
    <w:p>
      <w:pPr>
        <w:spacing w:after="0" w:line="51" w:lineRule="exact"/>
        <w:rPr>
          <w:sz w:val="20"/>
          <w:szCs w:val="20"/>
          <w:color w:val="auto"/>
        </w:rPr>
      </w:pPr>
    </w:p>
    <w:p>
      <w:pPr>
        <w:ind w:left="900" w:hanging="446"/>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right to challenge the liens of the senior debt holders based upon any of the following:</w:t>
      </w:r>
    </w:p>
    <w:p>
      <w:pPr>
        <w:spacing w:after="0" w:line="90" w:lineRule="exact"/>
        <w:rPr>
          <w:rFonts w:ascii="Arial" w:cs="Arial" w:eastAsia="Arial" w:hAnsi="Arial"/>
          <w:sz w:val="18"/>
          <w:szCs w:val="18"/>
          <w:color w:val="auto"/>
        </w:rPr>
      </w:pPr>
    </w:p>
    <w:p>
      <w:pPr>
        <w:ind w:left="1460" w:right="20" w:hanging="547"/>
        <w:spacing w:after="0" w:line="357" w:lineRule="auto"/>
        <w:tabs>
          <w:tab w:leader="none" w:pos="1460" w:val="left"/>
        </w:tabs>
        <w:numPr>
          <w:ilvl w:val="1"/>
          <w:numId w:val="355"/>
        </w:numPr>
        <w:rPr>
          <w:rFonts w:ascii="Arial" w:cs="Arial" w:eastAsia="Arial" w:hAnsi="Arial"/>
          <w:sz w:val="15"/>
          <w:szCs w:val="15"/>
          <w:color w:val="auto"/>
        </w:rPr>
      </w:pPr>
      <w:r>
        <w:rPr>
          <w:rFonts w:ascii="Arial" w:cs="Arial" w:eastAsia="Arial" w:hAnsi="Arial"/>
          <w:sz w:val="15"/>
          <w:szCs w:val="15"/>
          <w:color w:val="auto"/>
        </w:rPr>
        <w:t>the disbursement of any funds under the credit facilities, the indenture governing the 2014 notes, the indenture governing the 2017 notes, the indenture governing the 2020 notes or any other senior debt agreement (even if conditions to any such advances have not been satisfied);</w:t>
      </w:r>
    </w:p>
    <w:p>
      <w:pPr>
        <w:ind w:left="1460" w:right="200" w:hanging="547"/>
        <w:spacing w:after="0" w:line="268" w:lineRule="auto"/>
        <w:tabs>
          <w:tab w:leader="none" w:pos="14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the credit facilities, the indenture governing the 2014 notes, the indenture governing the 2017 notes, the indenture governing the 2020 notes or any other senior debt agreement;</w:t>
      </w:r>
    </w:p>
    <w:p>
      <w:pPr>
        <w:spacing w:after="0" w:line="50" w:lineRule="exact"/>
        <w:rPr>
          <w:rFonts w:ascii="Arial" w:cs="Arial" w:eastAsia="Arial" w:hAnsi="Arial"/>
          <w:sz w:val="18"/>
          <w:szCs w:val="18"/>
          <w:color w:val="auto"/>
        </w:rPr>
      </w:pPr>
    </w:p>
    <w:p>
      <w:pPr>
        <w:jc w:val="both"/>
        <w:ind w:left="1460" w:right="280" w:hanging="547"/>
        <w:spacing w:after="0" w:line="259" w:lineRule="auto"/>
        <w:tabs>
          <w:tab w:leader="none" w:pos="14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an increase or reduction in the amount of any available credit or an increase or reduction in the amount of principal obligations under the credit facilities, the 2014 notes, the 2017 notes, the 2020 notes or any other senior debt agreement, or the interest, premium, fees or other amounts payable thereunder;</w:t>
      </w:r>
    </w:p>
    <w:p>
      <w:pPr>
        <w:spacing w:after="0" w:line="59" w:lineRule="exact"/>
        <w:rPr>
          <w:rFonts w:ascii="Arial" w:cs="Arial" w:eastAsia="Arial" w:hAnsi="Arial"/>
          <w:sz w:val="18"/>
          <w:szCs w:val="18"/>
          <w:color w:val="auto"/>
        </w:rPr>
      </w:pPr>
    </w:p>
    <w:p>
      <w:pPr>
        <w:ind w:left="1460" w:hanging="547"/>
        <w:spacing w:after="0"/>
        <w:tabs>
          <w:tab w:leader="none" w:pos="14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senior debt; and</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claim arising out of any action or failure to act or any error of judgment or negligence on the part of the agent under the credit facilities, the trustee under the indenture governing the 2020 notes,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360"/>
          </w:cols>
          <w:pgMar w:left="240" w:top="459" w:right="2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trustee under the indenture governing the 2017 notes, the trustee under the indenture governing the 2014 notes or any representative of other senior debt, other than gross negligence or willful misconduct, to the maximum extent permitted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Duty to Inform</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of the agent under the credit facilities (on behalf of itself and the lenders), the trustee under the indenture governing the 2020 notes (on behalf of itself and the holders of the 2020 notes), the trustee under the indenture governing the 2017 notes (on behalf of itself and the holders of the 2017 notes), the trustee under the indenture governing the 2014 notes (on behalf of itself and the holders of the 2014 notes), the representative of any other senior debt (on behalf of itself and any other senior debt holders) and the representative of any junior debt (on behalf of itself and any junior debt holders) waive any claim that any other party to the intercreditor agreement has any duty to keep the other parties to the intercreditor agreement informed as to circumstances bearing upon the risk of nonpayment of the credit facilities, the 2020 notes, the 2017 notes, the 2014 notes, any other senior debt or any junior debt.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representative of each class of senior debt and each class of junior debt (acting on their own behalf and on behalf of the holders of such debt) release each other such representative from all liability to the full extent permitted by law, except for fraud and willful misconduct. Each such representative (on its own behalf and on behalf of the holders of debt it represents) waives any and all duties and other obligations, including fiduciary duties, that may be owed to it by any other such representative, except as specifically set forth in the intercreditor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Intercreditor Agreement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Except as provided in the next sentence, any amendments to the intercreditor agreement shall require the consent of each party who, at the time of such amendment, is a party thereto. Notwithstanding the foregoing, the agent under the credit facilities will also have the right, at any time when the amount outstanding under the credit facilities equals or exceeds $100.0 million, to amend the intercreditor agreement without the consent of the trustee under the indenture for the 2020 notes or the holders of the 2020 notes, or the trustee under the indenture for the 2017 notes or the holders of the 2017 notes, or the trustee under the indenture for the 2014 notes or the holders of the 2014 notes, so long as such amendment only affects the subordination provisions in respect of any junior debt but does not affect the provisions governing the relationship between the lenders under the credit facilities, the holders of the 2017 notes, the holders of the 2014 notes and the holders of the 2020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Also Applicable to Refinancing</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intercreditor agreement provides that the intercreditor arrangements described above also shall apply to (i) any replacement debt arising as a consequence of refinancing of the credit facilities, the 2014 notes, the 2017 notes or the 2020 notes, (ii) any additional senior debt permitted under the credit facilities, the indenture governing the 2014 notes, the indenture governing the 2017 notes and the indenture governing the 2020 notes and (iii) any additional junior debt permitted under the credit facilities, the indenture governing the 2014 notes, the indenture governing the 2017 notes and the indenture governing the 2020 notes.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380"/>
          </w:cols>
          <w:pgMar w:left="240" w:top="459" w:right="2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United States federal income tax law in effect on the date of this prospectus,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 (i) United States federal income tax consequences to a Non-U.S. Holder (as defined below) that (A) is engaged in the conduct of a United States trade or business, (B)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the Internal Revenue Code of 1986, as amended (the “Code”). Each prospective investor is urged to consult its tax advisor regarding the United States federal, state, local, and non-United States income and other tax considerations of the purchase, ownership, and disposition of the new notes.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summary, a “Non-U.S. Holder” means any beneficial owner of a note that is not, for United States federal income tax purposes, (i) an individual who is a citizen or resident of the United States, (ii) a corporation or other entity taxable as a corporation created in, or organized under the laws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 A holder who does not exchange its old notes for new notes pursuant to the exchange offer will not recognize any gain or loss, for United States federal income tax purposes, upon consummation of the exchange offer.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as amended or supplemented, available to any broker-dealer for use in connection with any such resale. In addition, until October 31, 2010, all dealers effecting transactions in the new notes may be required to deliver a prospectus.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446"/>
        <w:spacing w:after="0"/>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446"/>
        <w:spacing w:after="0" w:line="259" w:lineRule="auto"/>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400"/>
          </w:cols>
          <w:pgMar w:left="240" w:top="460" w:right="2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Los Angeles, California.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consolidated financial statements and schedule of Wynn Las Vegas, LLC at December 31, 2009 and 2008, and for each of the three years in the period ended December 31, 2009,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indentures governing the 2017 notes and the 2020 notes require that we file reports under the Exchange Act with the SEC (unless the SEC will not accept such filings) and furnish information to the trustee and holders of the notes. See “Description of the New 2017 Notes—Certain Covenants—Reports” and “Description of the New 2020 Notes—Certain Covenants—Reports.” In addition, we are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400"/>
          </w:cols>
          <w:pgMar w:left="240" w:top="459" w:right="2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1094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 as of and for the three months ended March 31, 2010 and 2009</w:t>
            </w: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0940" w:type="dxa"/>
            <w:vAlign w:val="bottom"/>
            <w:gridSpan w:val="13"/>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500" w:type="dxa"/>
            <w:vAlign w:val="bottom"/>
            <w:gridSpan w:val="12"/>
          </w:tcPr>
          <w:p>
            <w:pPr>
              <w:spacing w:after="0" w:line="184" w:lineRule="exact"/>
              <w:rPr>
                <w:rFonts w:ascii="Arial" w:cs="Arial" w:eastAsia="Arial" w:hAnsi="Arial"/>
                <w:sz w:val="18"/>
                <w:szCs w:val="18"/>
                <w:color w:val="0000EE"/>
              </w:rPr>
            </w:pPr>
            <w:hyperlink w:anchor="page267">
              <w:r>
                <w:rPr>
                  <w:rFonts w:ascii="Arial" w:cs="Arial" w:eastAsia="Arial" w:hAnsi="Arial"/>
                  <w:sz w:val="18"/>
                  <w:szCs w:val="18"/>
                  <w:color w:val="0000EE"/>
                </w:rPr>
                <w:t>Condensed Consolidated Balance Sheets – March 31, 2010 (unaudited) and December 31, 2009</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Condensed Consolidated Statements of Operations (unaudited) – Three months ended March 31, 2010 and 2009</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Condensed Consolidated Statements of Cash Flows (unaudited) – Three months ended March 31, 2010 and 2009</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270">
              <w:r>
                <w:rPr>
                  <w:rFonts w:ascii="Arial" w:cs="Arial" w:eastAsia="Arial" w:hAnsi="Arial"/>
                  <w:sz w:val="18"/>
                  <w:szCs w:val="18"/>
                  <w:color w:val="0000EE"/>
                  <w:w w:val="87"/>
                </w:rPr>
                <w:t>Notes to Condensed Consolidated Financial Statements (unaudited)</w:t>
              </w:r>
            </w:hyperlink>
          </w:p>
        </w:tc>
        <w:tc>
          <w:tcPr>
            <w:tcW w:w="3220" w:type="dxa"/>
            <w:vAlign w:val="bottom"/>
            <w:tcBorders>
              <w:top w:val="single" w:sz="8" w:color="0000EE"/>
            </w:tcBorders>
            <w:gridSpan w:val="3"/>
          </w:tcPr>
          <w:p>
            <w:pPr>
              <w:spacing w:after="0"/>
              <w:rPr>
                <w:sz w:val="17"/>
                <w:szCs w:val="17"/>
                <w:color w:val="auto"/>
              </w:rPr>
            </w:pPr>
          </w:p>
        </w:tc>
        <w:tc>
          <w:tcPr>
            <w:tcW w:w="25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30"/>
        </w:trPr>
        <w:tc>
          <w:tcPr>
            <w:tcW w:w="10940" w:type="dxa"/>
            <w:vAlign w:val="bottom"/>
            <w:gridSpan w:val="13"/>
          </w:tcPr>
          <w:p>
            <w:pPr>
              <w:spacing w:after="0"/>
              <w:rPr>
                <w:sz w:val="20"/>
                <w:szCs w:val="20"/>
                <w:color w:val="auto"/>
              </w:rPr>
            </w:pPr>
            <w:r>
              <w:rPr>
                <w:rFonts w:ascii="Arial" w:cs="Arial" w:eastAsia="Arial" w:hAnsi="Arial"/>
                <w:sz w:val="18"/>
                <w:szCs w:val="18"/>
                <w:b w:val="1"/>
                <w:bCs w:val="1"/>
                <w:color w:val="auto"/>
                <w:w w:val="90"/>
              </w:rPr>
              <w:t>Audited Consolidated Financial Statements at December 31, 2009 and 2008, and for each of the three years in the period ended December 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gridSpan w:val="2"/>
          </w:tcPr>
          <w:p>
            <w:pPr>
              <w:jc w:val="right"/>
              <w:ind w:right="1812"/>
              <w:spacing w:after="0"/>
              <w:rPr>
                <w:sz w:val="20"/>
                <w:szCs w:val="20"/>
                <w:color w:val="auto"/>
              </w:rPr>
            </w:pPr>
            <w:r>
              <w:rPr>
                <w:rFonts w:ascii="Arial" w:cs="Arial" w:eastAsia="Arial" w:hAnsi="Arial"/>
                <w:sz w:val="18"/>
                <w:szCs w:val="18"/>
                <w:b w:val="1"/>
                <w:bCs w:val="1"/>
                <w:color w:val="auto"/>
              </w:rPr>
              <w:t>2009</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7"/>
          </w:tcPr>
          <w:p>
            <w:pPr>
              <w:spacing w:after="0" w:line="184" w:lineRule="exact"/>
              <w:rPr>
                <w:rFonts w:ascii="Arial" w:cs="Arial" w:eastAsia="Arial" w:hAnsi="Arial"/>
                <w:sz w:val="18"/>
                <w:szCs w:val="18"/>
                <w:color w:val="0000EE"/>
                <w:w w:val="89"/>
              </w:rPr>
            </w:pPr>
            <w:hyperlink w:anchor="page284">
              <w:r>
                <w:rPr>
                  <w:rFonts w:ascii="Arial" w:cs="Arial" w:eastAsia="Arial" w:hAnsi="Arial"/>
                  <w:sz w:val="18"/>
                  <w:szCs w:val="18"/>
                  <w:color w:val="0000EE"/>
                  <w:w w:val="89"/>
                </w:rPr>
                <w:t>Report of Independent Registered Public Accounting Firm</w:t>
              </w:r>
            </w:hyperlink>
          </w:p>
        </w:tc>
        <w:tc>
          <w:tcPr>
            <w:tcW w:w="6380" w:type="dxa"/>
            <w:vAlign w:val="bottom"/>
            <w:gridSpan w:val="5"/>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85">
              <w:r>
                <w:rPr>
                  <w:rFonts w:ascii="Arial" w:cs="Arial" w:eastAsia="Arial" w:hAnsi="Arial"/>
                  <w:sz w:val="18"/>
                  <w:szCs w:val="18"/>
                  <w:color w:val="0000EE"/>
                  <w:w w:val="85"/>
                </w:rPr>
                <w:t>Consolidated Balance Sheets</w:t>
              </w:r>
            </w:hyperlink>
          </w:p>
        </w:tc>
        <w:tc>
          <w:tcPr>
            <w:tcW w:w="846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86">
              <w:r>
                <w:rPr>
                  <w:rFonts w:ascii="Arial" w:cs="Arial" w:eastAsia="Arial" w:hAnsi="Arial"/>
                  <w:sz w:val="18"/>
                  <w:szCs w:val="18"/>
                  <w:color w:val="0000EE"/>
                </w:rPr>
                <w:t>Consolidated Statements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87">
              <w:r>
                <w:rPr>
                  <w:rFonts w:ascii="Arial" w:cs="Arial" w:eastAsia="Arial" w:hAnsi="Arial"/>
                  <w:sz w:val="18"/>
                  <w:szCs w:val="18"/>
                  <w:color w:val="0000EE"/>
                </w:rPr>
                <w:t>Consolidated Statements of Member’s Equity</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88">
              <w:r>
                <w:rPr>
                  <w:rFonts w:ascii="Arial" w:cs="Arial" w:eastAsia="Arial" w:hAnsi="Arial"/>
                  <w:sz w:val="18"/>
                  <w:szCs w:val="18"/>
                  <w:color w:val="0000EE"/>
                  <w:w w:val="86"/>
                </w:rPr>
                <w:t>Consolidated Statements of Cash Flows</w:t>
              </w:r>
            </w:hyperlink>
          </w:p>
        </w:tc>
        <w:tc>
          <w:tcPr>
            <w:tcW w:w="400" w:type="dxa"/>
            <w:vAlign w:val="bottom"/>
            <w:tcBorders>
              <w:top w:val="single" w:sz="8" w:color="0000EE"/>
            </w:tcBorders>
            <w:gridSpan w:val="2"/>
          </w:tcPr>
          <w:p>
            <w:pPr>
              <w:spacing w:after="0"/>
              <w:rPr>
                <w:sz w:val="17"/>
                <w:szCs w:val="17"/>
                <w:color w:val="auto"/>
              </w:rPr>
            </w:pPr>
          </w:p>
        </w:tc>
        <w:tc>
          <w:tcPr>
            <w:tcW w:w="73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89">
              <w:r>
                <w:rPr>
                  <w:rFonts w:ascii="Arial" w:cs="Arial" w:eastAsia="Arial" w:hAnsi="Arial"/>
                  <w:sz w:val="18"/>
                  <w:szCs w:val="18"/>
                  <w:color w:val="0000EE"/>
                  <w:w w:val="87"/>
                </w:rPr>
                <w:t>Notes to Consolidated Financial Statements</w:t>
              </w:r>
            </w:hyperlink>
          </w:p>
        </w:tc>
        <w:tc>
          <w:tcPr>
            <w:tcW w:w="742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0500" w:type="dxa"/>
            <w:vAlign w:val="bottom"/>
            <w:gridSpan w:val="12"/>
          </w:tcPr>
          <w:p>
            <w:pPr>
              <w:spacing w:after="0"/>
              <w:rPr>
                <w:sz w:val="20"/>
                <w:szCs w:val="20"/>
                <w:color w:val="auto"/>
              </w:rPr>
            </w:pPr>
            <w:r>
              <w:rPr>
                <w:rFonts w:ascii="Arial" w:cs="Arial" w:eastAsia="Arial" w:hAnsi="Arial"/>
                <w:sz w:val="18"/>
                <w:szCs w:val="18"/>
                <w:color w:val="auto"/>
              </w:rPr>
              <w:t>Financial Statement Schedules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600" w:type="dxa"/>
            <w:vAlign w:val="bottom"/>
            <w:tcBorders>
              <w:bottom w:val="single" w:sz="8" w:color="0000EE"/>
            </w:tcBorders>
            <w:gridSpan w:val="6"/>
          </w:tcPr>
          <w:p>
            <w:pPr>
              <w:spacing w:after="0" w:line="184" w:lineRule="exact"/>
              <w:rPr>
                <w:rFonts w:ascii="Arial" w:cs="Arial" w:eastAsia="Arial" w:hAnsi="Arial"/>
                <w:sz w:val="18"/>
                <w:szCs w:val="18"/>
                <w:color w:val="0000EE"/>
                <w:w w:val="90"/>
              </w:rPr>
            </w:pPr>
            <w:hyperlink w:anchor="page316">
              <w:r>
                <w:rPr>
                  <w:rFonts w:ascii="Arial" w:cs="Arial" w:eastAsia="Arial" w:hAnsi="Arial"/>
                  <w:sz w:val="18"/>
                  <w:szCs w:val="18"/>
                  <w:color w:val="0000EE"/>
                  <w:w w:val="90"/>
                </w:rPr>
                <w:t>* Schedule II—Valuation and Qualifying Accounts</w:t>
              </w:r>
            </w:hyperlink>
          </w:p>
        </w:tc>
        <w:tc>
          <w:tcPr>
            <w:tcW w:w="6900" w:type="dxa"/>
            <w:vAlign w:val="bottom"/>
            <w:gridSpan w:val="6"/>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900" w:right="580" w:hanging="446"/>
        <w:spacing w:after="0" w:line="268" w:lineRule="auto"/>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9"/>
              </w:rPr>
              <w:t>March 31,</w:t>
            </w: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118,716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110,860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19,420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3,808,409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3,851,668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39,854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4,185,632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24,193</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22,928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233,606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2,551,602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2,551,520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2,878,823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2,868,771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1,915,094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1,912,146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(608,285)</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1,306,809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1,385,553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4,185,632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-3845560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-3845560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-3845560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-3845560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-3845560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-3845560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60325</wp:posOffset>
            </wp:positionV>
            <wp:extent cx="11404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$139,510</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2"/>
              </w:rPr>
              <w:t>$ 117,481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77,595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95,943</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96,909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364,675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(46,068)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(54,310)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318,607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76,827</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30,598</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57,986</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59,821</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4,774</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353,092</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(34,485)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(58,384)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(45,076)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(2,278)</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(47,207)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5"/>
              </w:rPr>
              <w:t>$ (81,692)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 (95,464)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00" w:type="dxa"/>
            <w:vAlign w:val="bottom"/>
          </w:tcPr>
          <w:p>
            <w:pPr>
              <w:ind w:left="2240"/>
              <w:spacing w:after="0"/>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500" w:type="dxa"/>
            <w:vAlign w:val="bottom"/>
          </w:tcPr>
          <w:p>
            <w:pPr>
              <w:ind w:left="5580"/>
              <w:spacing w:after="0"/>
              <w:rPr>
                <w:sz w:val="20"/>
                <w:szCs w:val="20"/>
                <w:color w:val="auto"/>
              </w:rPr>
            </w:pPr>
            <w:r>
              <w:rPr>
                <w:rFonts w:ascii="Arial" w:cs="Arial" w:eastAsia="Arial" w:hAnsi="Arial"/>
                <w:sz w:val="18"/>
                <w:szCs w:val="18"/>
                <w:color w:val="auto"/>
              </w:rPr>
              <w:t>F-3</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-557530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-557530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-557530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-557530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4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6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w w:val="82"/>
              </w:rPr>
              <w:t>$ (81,692)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78,926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4,426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6,640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(35,458)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(115,028)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6,473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(29,367)</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(121,446)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20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20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color w:val="auto"/>
              </w:rPr>
              <w:t>(19,848)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$ 46,506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vMerge w:val="restart"/>
          </w:tcPr>
          <w:p>
            <w:pPr>
              <w:ind w:left="224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360" w:type="dxa"/>
            <w:vAlign w:val="bottom"/>
          </w:tcPr>
          <w:p>
            <w:pPr>
              <w:ind w:left="5580"/>
              <w:spacing w:after="0"/>
              <w:rPr>
                <w:sz w:val="20"/>
                <w:szCs w:val="20"/>
                <w:color w:val="auto"/>
              </w:rPr>
            </w:pPr>
            <w:r>
              <w:rPr>
                <w:rFonts w:ascii="Arial" w:cs="Arial" w:eastAsia="Arial" w:hAnsi="Arial"/>
                <w:sz w:val="18"/>
                <w:szCs w:val="18"/>
                <w:color w:val="auto"/>
              </w:rPr>
              <w:t>F-4</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-557530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-557530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-557530</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-557530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60" w:hanging="232"/>
        <w:spacing w:after="0" w:line="332" w:lineRule="auto"/>
        <w:tabs>
          <w:tab w:leader="none" w:pos="187"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2010,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99" w:lineRule="exact"/>
        <w:rPr>
          <w:sz w:val="20"/>
          <w:szCs w:val="20"/>
          <w:color w:val="auto"/>
        </w:rPr>
      </w:pPr>
    </w:p>
    <w:p>
      <w:pPr>
        <w:ind w:left="240" w:right="7900" w:hanging="232"/>
        <w:spacing w:after="0" w:line="398" w:lineRule="auto"/>
        <w:tabs>
          <w:tab w:leader="none" w:pos="187" w:val="left"/>
        </w:tabs>
        <w:numPr>
          <w:ilvl w:val="0"/>
          <w:numId w:val="36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2010 and December 31, 2009, approximately 71% and 68%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59" w:right="2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customer loyalty programs, such as the players club loyalty program.</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60325</wp:posOffset>
            </wp:positionV>
            <wp:extent cx="10636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11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Food and beverage</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15,691</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$31,415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jc w:val="both"/>
        <w:ind w:right="700" w:firstLine="456"/>
        <w:spacing w:after="0" w:line="335" w:lineRule="auto"/>
        <w:rPr>
          <w:sz w:val="20"/>
          <w:szCs w:val="20"/>
          <w:color w:val="auto"/>
        </w:rPr>
      </w:pPr>
      <w:r>
        <w:rPr>
          <w:rFonts w:ascii="Arial" w:cs="Arial" w:eastAsia="Arial" w:hAnsi="Arial"/>
          <w:sz w:val="15"/>
          <w:szCs w:val="15"/>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These taxes totaled approximately $9.7 million and $8.7 million for the three months ended March 31, 2010 and 2009, respectively.</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March 31, 2010 and 2009, advertising costs totaled approximately $3.5 million and $6.9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accounts for share based compensation related to equity shares of Wynn Resorts granted to its employees by recognizing the costs of the employee services received in exchange for the equity award instrument based on the grant date fair value of the awards over the service period. For the three months ended March 31, 2010 and 2009, the Company recorded $2.9 million and $2.2 million, respectively, in share based compensation with a corresponding credit to contributed capital.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Interest paid for the three months ended March 31, 2010 and 2009 totaled approximately $4.3 million and $6.2 million, respectively. Interest capitalized for the three months ended March 31, 2010 totaled approximately $0.2 million. There was no interest capitalized during the three months ended March 31, 2009.</w:t>
      </w:r>
    </w:p>
    <w:p>
      <w:pPr>
        <w:spacing w:after="0" w:line="72"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During the three months ended March 31, 2010 and 2009, capital expenditures include a decrease of approximately $2 million and an increase of approximately $95 million, respectively, in construction payables and retention recorded through amounts due to affiliates.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48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$162,427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149,786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Hotel</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18,390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191,126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178,266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200" w:type="dxa"/>
            <w:vAlign w:val="bottom"/>
            <w:gridSpan w:val="4"/>
          </w:tcPr>
          <w:p>
            <w:pPr>
              <w:jc w:val="right"/>
              <w:ind w:right="300"/>
              <w:spacing w:after="0"/>
              <w:rPr>
                <w:sz w:val="20"/>
                <w:szCs w:val="20"/>
                <w:color w:val="auto"/>
              </w:rPr>
            </w:pPr>
            <w:r>
              <w:rPr>
                <w:rFonts w:ascii="Arial" w:cs="Arial" w:eastAsia="Arial" w:hAnsi="Arial"/>
                <w:sz w:val="18"/>
                <w:szCs w:val="18"/>
                <w:color w:val="auto"/>
              </w:rPr>
              <w:t>(72,410)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(67,406)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$ 118,716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110,860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200" w:type="dxa"/>
            <w:vAlign w:val="bottom"/>
            <w:gridSpan w:val="4"/>
          </w:tcPr>
          <w:p>
            <w:pPr>
              <w:jc w:val="right"/>
              <w:ind w:right="3780"/>
              <w:spacing w:after="0"/>
              <w:rPr>
                <w:sz w:val="20"/>
                <w:szCs w:val="20"/>
                <w:color w:val="auto"/>
              </w:rPr>
            </w:pPr>
            <w:r>
              <w:rPr>
                <w:rFonts w:ascii="Arial" w:cs="Arial" w:eastAsia="Arial" w:hAnsi="Arial"/>
                <w:sz w:val="18"/>
                <w:szCs w:val="18"/>
                <w:color w:val="auto"/>
              </w:rPr>
              <w:t>F-7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-325755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14"/>
                <w:szCs w:val="14"/>
                <w:color w:val="auto"/>
              </w:rPr>
            </w:pPr>
          </w:p>
        </w:tc>
        <w:tc>
          <w:tcPr>
            <w:tcW w:w="1520" w:type="dxa"/>
            <w:vAlign w:val="bottom"/>
            <w:gridSpan w:val="10"/>
          </w:tcPr>
          <w:p>
            <w:pPr>
              <w:jc w:val="center"/>
              <w:ind w:right="7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2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692,677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692,677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2,559,798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2,554,224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1,334,502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1,325,677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39,564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4,670,795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4,640,805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500" w:type="dxa"/>
            <w:vAlign w:val="bottom"/>
            <w:gridSpan w:val="5"/>
          </w:tcPr>
          <w:p>
            <w:pPr>
              <w:jc w:val="right"/>
              <w:ind w:right="20"/>
              <w:spacing w:after="0"/>
              <w:rPr>
                <w:sz w:val="20"/>
                <w:szCs w:val="20"/>
                <w:color w:val="auto"/>
              </w:rPr>
            </w:pPr>
            <w:r>
              <w:rPr>
                <w:rFonts w:ascii="Arial" w:cs="Arial" w:eastAsia="Arial" w:hAnsi="Arial"/>
                <w:sz w:val="18"/>
                <w:szCs w:val="18"/>
                <w:color w:val="auto"/>
              </w:rPr>
              <w:t>(862,386)</w:t>
            </w:r>
          </w:p>
        </w:tc>
        <w:tc>
          <w:tcPr>
            <w:tcW w:w="1400" w:type="dxa"/>
            <w:vAlign w:val="bottom"/>
            <w:gridSpan w:val="8"/>
          </w:tcPr>
          <w:p>
            <w:pPr>
              <w:jc w:val="right"/>
              <w:ind w:right="80"/>
              <w:spacing w:after="0"/>
              <w:rPr>
                <w:sz w:val="20"/>
                <w:szCs w:val="20"/>
                <w:color w:val="auto"/>
              </w:rPr>
            </w:pPr>
            <w:r>
              <w:rPr>
                <w:rFonts w:ascii="Arial" w:cs="Arial" w:eastAsia="Arial" w:hAnsi="Arial"/>
                <w:sz w:val="18"/>
                <w:szCs w:val="18"/>
                <w:color w:val="auto"/>
              </w:rPr>
              <w:t>(789,137)</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$ 3,808,409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$ 3,851,668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162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96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Long-term debt consisted of the following (amounts in thousands):</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360" w:type="dxa"/>
            <w:vAlign w:val="bottom"/>
          </w:tcPr>
          <w:p>
            <w:pPr>
              <w:spacing w:after="0"/>
              <w:rPr>
                <w:sz w:val="24"/>
                <w:szCs w:val="24"/>
                <w:color w:val="auto"/>
              </w:rPr>
            </w:pPr>
          </w:p>
        </w:tc>
        <w:tc>
          <w:tcPr>
            <w:tcW w:w="9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2010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gridSpan w:val="4"/>
          </w:tcPr>
          <w:p>
            <w:pPr>
              <w:spacing w:after="0"/>
              <w:rPr>
                <w:sz w:val="8"/>
                <w:szCs w:val="8"/>
                <w:color w:val="auto"/>
              </w:rPr>
            </w:pPr>
          </w:p>
        </w:tc>
        <w:tc>
          <w:tcPr>
            <w:tcW w:w="220" w:type="dxa"/>
            <w:vAlign w:val="bottom"/>
            <w:tcBorders>
              <w:bottom w:val="single" w:sz="8" w:color="808080"/>
            </w:tcBorders>
            <w:gridSpan w:val="3"/>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4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 xml:space="preserve">6 </w:t>
            </w:r>
            <w:r>
              <w:rPr>
                <w:rFonts w:ascii="Arial" w:cs="Arial" w:eastAsia="Arial" w:hAnsi="Arial"/>
                <w:sz w:val="11"/>
                <w:szCs w:val="11"/>
                <w:color w:val="auto"/>
                <w:w w:val="93"/>
              </w:rPr>
              <w:t>5</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xml:space="preserve"> % First Mortgage Notes, due December 1, 2014, net of original issue discount of $7,862 at March 31, 2010 and $8,214 at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$1,626,368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$ 1,626,016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xml:space="preserve"> % First Mortgage Notes, due November 1, 2017, net of original issue discount of $10,449 at March 31, 2010 and $10,529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at December 31, 2009</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489,551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489,471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252,717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w w:val="96"/>
              </w:rPr>
              <w:t>Term Loan Facility; $40.2 million due September 30, 2012 with the remaining $40.2 million due August 15, 2013; interest at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LIBOR plus 1.875%</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Payable to Affiliate</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280" w:type="dxa"/>
            <w:vAlign w:val="bottom"/>
            <w:gridSpan w:val="2"/>
          </w:tcPr>
          <w:p>
            <w:pPr>
              <w:spacing w:after="0"/>
              <w:rPr>
                <w:sz w:val="8"/>
                <w:szCs w:val="8"/>
                <w:color w:val="auto"/>
              </w:rPr>
            </w:pPr>
          </w:p>
        </w:tc>
        <w:tc>
          <w:tcPr>
            <w:tcW w:w="800" w:type="dxa"/>
            <w:vAlign w:val="bottom"/>
            <w:tcBorders>
              <w:bottom w:val="single" w:sz="8" w:color="808080"/>
            </w:tcBorders>
            <w:gridSpan w:val="5"/>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808080"/>
            </w:tcBorders>
            <w:gridSpan w:val="4"/>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2,552,652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2,552,570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(1,050)</w:t>
            </w:r>
          </w:p>
        </w:tc>
        <w:tc>
          <w:tcPr>
            <w:tcW w:w="1300" w:type="dxa"/>
            <w:vAlign w:val="bottom"/>
            <w:gridSpan w:val="7"/>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280" w:type="dxa"/>
            <w:vAlign w:val="bottom"/>
            <w:gridSpan w:val="2"/>
          </w:tcPr>
          <w:p>
            <w:pPr>
              <w:spacing w:after="0"/>
              <w:rPr>
                <w:sz w:val="8"/>
                <w:szCs w:val="8"/>
                <w:color w:val="auto"/>
              </w:rPr>
            </w:pPr>
          </w:p>
        </w:tc>
        <w:tc>
          <w:tcPr>
            <w:tcW w:w="800" w:type="dxa"/>
            <w:vAlign w:val="bottom"/>
            <w:tcBorders>
              <w:bottom w:val="single" w:sz="8" w:color="808080"/>
            </w:tcBorders>
            <w:gridSpan w:val="5"/>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808080"/>
            </w:tcBorders>
            <w:gridSpan w:val="4"/>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$2,551,602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$ 2,551,520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-2970530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-2970530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-2970530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-2970530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-2970530</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-2970530</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March 26, 2010, Wynn Las Vegas, LLC and Wynn Las Vegas Capital Corp. (the “issuers”), each a direct or indirect wholly 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This includes $30 million of the 2014 Notes that were purchased by Wynn Resorts in 2009. The exchange offer closed on April 28,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0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on April 28, 2010 of 1% of the amount tendered in cash which totaled approximately $3.8 million. In accordance with accounting standards, this will be included as deferred financing costs and amortized over the life of the 2020 Notes.</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During the three months ended March 31, 2009, Wynn Resorts purchased $39.3 million face amount of the Company’s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 purchase of the notes by Wynn Resorts has not been contributed to the Company and the notes have not been retired. Accordingly, $39.3 million of the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$10.6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management believes the Company was in compliance with all debt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net book value of the 2014 Notes and the 2017 Notes at March 31, 2010 and December 31, 2009, was approximately $2.18 billion. The estimated fair value of the First Mortgage Notes based upon most recent trades at March 31, 2010 and December 31, 2009, was approximately $2.2 billion and $2.1 billion, respectively. The net book value of the Company’s other debt instruments was $371 million and the approximate fair value of such debt was approximately $361 million as of March 31, 2010.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29"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March 31, 2010 and December 31, 2009, the fair value of this interest rate swap was a liability of $ 6.5 million and $4.2 million,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 net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7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 of March 31, 2010, the Company’s current Due to affiliates was primarily comprised of construction payables of approximately $17.8 million, construction retention of approximately $3.4 million and other net amounts due to affiliates totaling $1.7 million (including corporate allocations discussed below). The long-term Due to affiliates is management fees of approximately $87.1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2009, the Company’s current Due to affiliates was primarily comprised of construction payables of approximately $21.4 million, construction retention of approximately $1.8 million and other net amounts due to affiliates totaling $1.7 million (including corporate allocations discussed below). The long-term Due to affiliates is management fees of $82.3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in the fourth quarter of 2008 through the third quarter 2009, the Company did not settle its corporate allocation and accordingly, such allocations were recorded as a contribution to equity from Wynn Resorts. In the fourth quarter 2009, the Company resumed settling its corporate allocations with Wynn Resorts. During the three months ended March 31, 2010 and 2009, approximately $6.8 million and $5.8 million, respectively, were charged to the Company for such corporate allocations.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20"/>
          </w:cols>
          <w:pgMar w:left="240" w:top="459" w:right="3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 As of March 31, 2010, and December 31, 2009, Wynn Resorts owed Mr. Wynn and the other officers and directors approximately $402,139 and $789,095,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Wynn and Elaine P. Wynn, who is also a director of Wynn Resorts, each lease from year to year a villa suite in the Wynn Las Vegas resort. Pursuant to a lease agreement, as of July 1, 2008, the rent was $520,000 per year for a villa suite. In March 2009, this lease was amended to add an additional unit with no change in rent due to due to the significant deterioration in the Las Vegas rental market.</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the prior agreement.</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2010 and 2009 were $1.3 million and $13.9 million, respectively. Property charges generally include costs related to the retirement of assets for remodels and asset abandonments. Property charges and other for the three months ended March 31, 2010, related to miscellaneous renovations and abandonments at Wynn Las Vegas and Encore.</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Property charges and other for the three months ended March 31, 2009, include the write-off of $13.4 million of an aircraft purchase deposit. On February 19, 2009, the Company cancelled the agreement to purchase this aircraft. The deposit on the aircraft was refundable to the extent another buyer was found. Due to the uncertainty as to the recoverability of this deposit, the Company wrote off the deposit in the first quarter of 2009. In the second quarter of 2009 another buyer was found and we recovered $8.1 million of our deposit. The remaining property charges were related to miscellaneous renovations and abandonments at Wynn Las Vegas and Encore.</w:t>
      </w:r>
    </w:p>
    <w:p>
      <w:pPr>
        <w:spacing w:after="0" w:line="123" w:lineRule="exact"/>
        <w:rPr>
          <w:sz w:val="20"/>
          <w:szCs w:val="20"/>
          <w:color w:val="auto"/>
        </w:rPr>
      </w:pPr>
    </w:p>
    <w:p>
      <w:pPr>
        <w:ind w:right="8640" w:firstLine="8"/>
        <w:spacing w:after="0" w:line="332" w:lineRule="auto"/>
        <w:tabs>
          <w:tab w:leader="none" w:pos="263"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March 31, 2010.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March 31, 2010, the Company had not recorded a receivable related to this matter.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8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March 31, 2010 and December 31, 2009, and for the three months ended March 31, 2010 and 2009.</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following consolidating information is presented in the form provided because: (i) the guarantor subsidiaries are wholly owned subsidiaries of Wynn Las Vegas, LLC (an issuer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(ii) the guarantee is considered to be full and unconditional (that is, if the Issuers fail to make a scheduled payment, the guarantor subsidiaries are obligated to make the scheduled payment immediately and, if they do not, any holder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118,716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79,462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19,104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263,543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3,611,674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196,735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3,808,409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39,854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55,091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(17,300)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17,300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3,961,075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207,252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4,185,632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24,193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55,973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40,957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1,168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17,183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58,136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(162,571)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193,380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195,688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2,514,852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36,750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6,502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2,654,266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232,438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2,878,823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1,915,094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1,915,094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(608,285)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(37,716)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29,830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(608,285)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1,306,809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(25,186)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1,306,809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3,961,075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207,252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4,185,632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F-13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-4168140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-4168140</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-4168140</wp:posOffset>
            </wp:positionV>
            <wp:extent cx="387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-4168140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-4168140</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-4168140</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-4168140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-4168140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-4168140</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-4168140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-4168140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-4168140</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-4168140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-4168140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3,653,786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197,882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3,851,668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(16,450)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36,342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16,153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(163,895)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193,256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2,514,420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2,643,855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232,797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2,868,771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1,912,146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(526,593)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1,385,553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F-14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-4168140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-4168140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-4168140</wp:posOffset>
            </wp:positionV>
            <wp:extent cx="3873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-4168140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-4168140</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-4168140</wp:posOffset>
            </wp:positionV>
            <wp:extent cx="3873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-4168140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-4168140</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-4168140</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-4168140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-4168140</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-4168140</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-4168140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-4168140</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$139,510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$139,510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77,558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95,943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95,943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51,683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364,694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960" w:type="dxa"/>
            <w:vAlign w:val="bottom"/>
            <w:gridSpan w:val="6"/>
          </w:tcPr>
          <w:p>
            <w:pPr>
              <w:jc w:val="right"/>
              <w:ind w:right="500"/>
              <w:spacing w:after="0"/>
              <w:rPr>
                <w:sz w:val="20"/>
                <w:szCs w:val="20"/>
                <w:color w:val="auto"/>
              </w:rPr>
            </w:pPr>
            <w:r>
              <w:rPr>
                <w:rFonts w:ascii="Arial" w:cs="Arial" w:eastAsia="Arial" w:hAnsi="Arial"/>
                <w:sz w:val="18"/>
                <w:szCs w:val="18"/>
                <w:color w:val="auto"/>
              </w:rPr>
              <w:t>(46,068)</w:t>
            </w:r>
          </w:p>
        </w:tc>
        <w:tc>
          <w:tcPr>
            <w:tcW w:w="200" w:type="dxa"/>
            <w:vAlign w:val="bottom"/>
          </w:tcPr>
          <w:p>
            <w:pPr>
              <w:spacing w:after="0"/>
              <w:rPr>
                <w:sz w:val="19"/>
                <w:szCs w:val="19"/>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(46,068)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318,626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76,827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30,561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57,986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60,269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4,774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77,779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352,356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(33,730)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(44,916)</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960" w:type="dxa"/>
            <w:vAlign w:val="bottom"/>
            <w:gridSpan w:val="6"/>
          </w:tcPr>
          <w:p>
            <w:pPr>
              <w:jc w:val="right"/>
              <w:ind w:right="500"/>
              <w:spacing w:after="0"/>
              <w:rPr>
                <w:sz w:val="20"/>
                <w:szCs w:val="20"/>
                <w:color w:val="auto"/>
              </w:rPr>
            </w:pPr>
            <w:r>
              <w:rPr>
                <w:rFonts w:ascii="Arial" w:cs="Arial" w:eastAsia="Arial" w:hAnsi="Arial"/>
                <w:sz w:val="18"/>
                <w:szCs w:val="18"/>
                <w:color w:val="auto"/>
              </w:rPr>
              <w:t>(2,278)</w:t>
            </w:r>
          </w:p>
        </w:tc>
        <w:tc>
          <w:tcPr>
            <w:tcW w:w="200" w:type="dxa"/>
            <w:vAlign w:val="bottom"/>
          </w:tcPr>
          <w:p>
            <w:pPr>
              <w:spacing w:after="0"/>
              <w:rPr>
                <w:sz w:val="18"/>
                <w:szCs w:val="18"/>
                <w:color w:val="auto"/>
              </w:rPr>
            </w:pPr>
          </w:p>
        </w:tc>
        <w:tc>
          <w:tcPr>
            <w:tcW w:w="108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(47,962)</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6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 (81,692)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850</w:t>
            </w:r>
          </w:p>
        </w:tc>
        <w:tc>
          <w:tcPr>
            <w:tcW w:w="5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 (81,692)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Borders>
              <w:bottom w:val="single" w:sz="8" w:color="808080"/>
            </w:tcBorders>
            <w:gridSpan w:val="4"/>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60" w:type="dxa"/>
            <w:vAlign w:val="bottom"/>
            <w:gridSpan w:val="6"/>
          </w:tcPr>
          <w:p>
            <w:pPr>
              <w:jc w:val="right"/>
              <w:ind w:right="960"/>
              <w:spacing w:after="0"/>
              <w:rPr>
                <w:sz w:val="20"/>
                <w:szCs w:val="20"/>
                <w:color w:val="auto"/>
              </w:rPr>
            </w:pPr>
            <w:r>
              <w:rPr>
                <w:rFonts w:ascii="Arial" w:cs="Arial" w:eastAsia="Arial" w:hAnsi="Arial"/>
                <w:sz w:val="18"/>
                <w:szCs w:val="18"/>
                <w:color w:val="auto"/>
              </w:rPr>
              <w:t>F-15</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-325755</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-325755</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-325755</wp:posOffset>
            </wp:positionV>
            <wp:extent cx="3873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gridSpan w:val="4"/>
          </w:tcPr>
          <w:p>
            <w:pPr>
              <w:ind w:left="14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Entries</w:t>
            </w:r>
          </w:p>
        </w:tc>
        <w:tc>
          <w:tcPr>
            <w:tcW w:w="400" w:type="dxa"/>
            <w:vAlign w:val="bottom"/>
          </w:tcPr>
          <w:p>
            <w:pPr>
              <w:spacing w:after="0"/>
              <w:rPr>
                <w:sz w:val="15"/>
                <w:szCs w:val="15"/>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$ 117,481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$ 117,481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85,089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96,909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96,909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345,581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2220" w:type="dxa"/>
            <w:vAlign w:val="bottom"/>
            <w:gridSpan w:val="4"/>
          </w:tcPr>
          <w:p>
            <w:pPr>
              <w:jc w:val="right"/>
              <w:ind w:right="420"/>
              <w:spacing w:after="0"/>
              <w:rPr>
                <w:sz w:val="20"/>
                <w:szCs w:val="20"/>
                <w:color w:val="auto"/>
              </w:rPr>
            </w:pPr>
            <w:r>
              <w:rPr>
                <w:rFonts w:ascii="Arial" w:cs="Arial" w:eastAsia="Arial" w:hAnsi="Arial"/>
                <w:sz w:val="18"/>
                <w:szCs w:val="18"/>
                <w:color w:val="auto"/>
              </w:rPr>
              <w:t>(54,310)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(54,310)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291,271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75,984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75,984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57,141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57,141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29,453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65,127</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44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64,662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4,354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76,260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335,837</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251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(44,566)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2"/>
              </w:rPr>
              <w:t>(13,818)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(58,384)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(36,548)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60" w:type="dxa"/>
            <w:vAlign w:val="bottom"/>
          </w:tcPr>
          <w:p>
            <w:pPr>
              <w:spacing w:after="0"/>
              <w:rPr>
                <w:sz w:val="18"/>
                <w:szCs w:val="18"/>
                <w:color w:val="auto"/>
              </w:rPr>
            </w:pPr>
          </w:p>
        </w:tc>
        <w:tc>
          <w:tcPr>
            <w:tcW w:w="118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(14,362)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(50,898)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(95,464)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2"/>
              </w:rPr>
              <w:t>(14,362)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(95,464)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40" w:type="dxa"/>
            <w:vAlign w:val="bottom"/>
            <w:gridSpan w:val="5"/>
          </w:tcPr>
          <w:p>
            <w:pPr>
              <w:ind w:left="660"/>
              <w:spacing w:after="0"/>
              <w:rPr>
                <w:sz w:val="20"/>
                <w:szCs w:val="20"/>
                <w:color w:val="auto"/>
              </w:rPr>
            </w:pPr>
            <w:r>
              <w:rPr>
                <w:rFonts w:ascii="Arial" w:cs="Arial" w:eastAsia="Arial" w:hAnsi="Arial"/>
                <w:sz w:val="18"/>
                <w:szCs w:val="18"/>
                <w:color w:val="auto"/>
              </w:rPr>
              <w:t>F-16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-325755</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-325755</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-325755</wp:posOffset>
            </wp:positionV>
            <wp:extent cx="3873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2159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3873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-325755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2159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550" w:type="dxa"/>
            <w:vAlign w:val="bottom"/>
          </w:tcPr>
          <w:p>
            <w:pPr>
              <w:ind w:left="50"/>
              <w:spacing w:after="0"/>
              <w:rPr>
                <w:sz w:val="20"/>
                <w:szCs w:val="20"/>
                <w:color w:val="auto"/>
              </w:rPr>
            </w:pPr>
            <w:r>
              <w:rPr>
                <w:rFonts w:ascii="Arial" w:cs="Arial" w:eastAsia="Arial" w:hAnsi="Arial"/>
                <w:sz w:val="14"/>
                <w:szCs w:val="14"/>
                <w:b w:val="1"/>
                <w:bCs w:val="1"/>
                <w:color w:val="auto"/>
              </w:rPr>
              <w:t>Non-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Guarantor</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guarantor</w:t>
            </w:r>
          </w:p>
        </w:tc>
        <w:tc>
          <w:tcPr>
            <w:tcW w:w="52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Issuers</w:t>
            </w: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Borders>
              <w:bottom w:val="single" w:sz="8" w:color="808080"/>
            </w:tcBorders>
          </w:tcPr>
          <w:p>
            <w:pPr>
              <w:spacing w:after="0"/>
              <w:rPr>
                <w:sz w:val="8"/>
                <w:szCs w:val="8"/>
                <w:color w:val="auto"/>
              </w:rPr>
            </w:pPr>
          </w:p>
        </w:tc>
        <w:tc>
          <w:tcPr>
            <w:tcW w:w="55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w w:val="82"/>
              </w:rPr>
              <w:t>$ (81,692)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(850)</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850</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85"/>
              </w:rPr>
              <w:t>$ (81,692)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55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77,779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1,147</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640" w:type="dxa"/>
            <w:vAlign w:val="bottom"/>
          </w:tcPr>
          <w:p>
            <w:pPr>
              <w:jc w:val="right"/>
              <w:spacing w:after="0"/>
              <w:rPr>
                <w:sz w:val="20"/>
                <w:szCs w:val="20"/>
                <w:color w:val="auto"/>
              </w:rPr>
            </w:pPr>
            <w:r>
              <w:rPr>
                <w:rFonts w:ascii="Arial" w:cs="Arial" w:eastAsia="Arial" w:hAnsi="Arial"/>
                <w:sz w:val="18"/>
                <w:szCs w:val="18"/>
                <w:color w:val="auto"/>
              </w:rPr>
              <w:t>4,426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8"/>
                <w:szCs w:val="18"/>
                <w:color w:val="auto"/>
              </w:rPr>
            </w:pP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(56)</w:t>
            </w:r>
          </w:p>
        </w:tc>
        <w:tc>
          <w:tcPr>
            <w:tcW w:w="170" w:type="dxa"/>
            <w:vAlign w:val="bottom"/>
            <w:shd w:val="clear" w:color="auto" w:fill="CCEEFF"/>
          </w:tcPr>
          <w:p>
            <w:pPr>
              <w:spacing w:after="0"/>
              <w:rPr>
                <w:sz w:val="19"/>
                <w:szCs w:val="19"/>
                <w:color w:val="auto"/>
              </w:rPr>
            </w:pP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(850)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640" w:type="dxa"/>
            <w:vAlign w:val="bottom"/>
          </w:tcPr>
          <w:p>
            <w:pPr>
              <w:jc w:val="right"/>
              <w:spacing w:after="0"/>
              <w:rPr>
                <w:sz w:val="20"/>
                <w:szCs w:val="20"/>
                <w:color w:val="auto"/>
              </w:rPr>
            </w:pPr>
            <w:r>
              <w:rPr>
                <w:rFonts w:ascii="Arial" w:cs="Arial" w:eastAsia="Arial" w:hAnsi="Arial"/>
                <w:sz w:val="18"/>
                <w:szCs w:val="18"/>
                <w:color w:val="auto"/>
              </w:rPr>
              <w:t>6,640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8"/>
                <w:szCs w:val="18"/>
                <w:color w:val="auto"/>
              </w:rPr>
            </w:pP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640" w:type="dxa"/>
            <w:vAlign w:val="bottom"/>
          </w:tcPr>
          <w:p>
            <w:pPr>
              <w:jc w:val="right"/>
              <w:spacing w:after="0"/>
              <w:rPr>
                <w:sz w:val="20"/>
                <w:szCs w:val="20"/>
                <w:color w:val="auto"/>
              </w:rPr>
            </w:pPr>
            <w:r>
              <w:rPr>
                <w:rFonts w:ascii="Arial" w:cs="Arial" w:eastAsia="Arial" w:hAnsi="Arial"/>
                <w:sz w:val="18"/>
                <w:szCs w:val="18"/>
                <w:color w:val="auto"/>
              </w:rPr>
              <w:t>2,278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8"/>
                <w:szCs w:val="18"/>
                <w:color w:val="auto"/>
              </w:rPr>
            </w:pP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(14,496)</w:t>
            </w:r>
          </w:p>
        </w:tc>
        <w:tc>
          <w:tcPr>
            <w:tcW w:w="180" w:type="dxa"/>
            <w:vAlign w:val="bottom"/>
          </w:tcPr>
          <w:p>
            <w:pPr>
              <w:spacing w:after="0"/>
              <w:rPr>
                <w:sz w:val="18"/>
                <w:szCs w:val="18"/>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8"/>
                <w:szCs w:val="18"/>
                <w:color w:val="auto"/>
              </w:rPr>
            </w:pP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640" w:type="dxa"/>
            <w:vAlign w:val="bottom"/>
          </w:tcPr>
          <w:p>
            <w:pPr>
              <w:jc w:val="right"/>
              <w:spacing w:after="0"/>
              <w:rPr>
                <w:sz w:val="20"/>
                <w:szCs w:val="20"/>
                <w:color w:val="auto"/>
              </w:rPr>
            </w:pPr>
            <w:r>
              <w:rPr>
                <w:rFonts w:ascii="Arial" w:cs="Arial" w:eastAsia="Arial" w:hAnsi="Arial"/>
                <w:sz w:val="18"/>
                <w:szCs w:val="18"/>
                <w:color w:val="auto"/>
              </w:rPr>
              <w:t>1,603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(133)</w:t>
            </w:r>
          </w:p>
        </w:tc>
        <w:tc>
          <w:tcPr>
            <w:tcW w:w="170" w:type="dxa"/>
            <w:vAlign w:val="bottom"/>
          </w:tcPr>
          <w:p>
            <w:pPr>
              <w:spacing w:after="0"/>
              <w:rPr>
                <w:sz w:val="18"/>
                <w:szCs w:val="18"/>
                <w:color w:val="auto"/>
              </w:rPr>
            </w:pP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(1,787)</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808080"/>
            </w:tcBorders>
          </w:tcPr>
          <w:p>
            <w:pPr>
              <w:spacing w:after="0"/>
              <w:rPr>
                <w:sz w:val="9"/>
                <w:szCs w:val="9"/>
                <w:color w:val="auto"/>
              </w:rPr>
            </w:pPr>
          </w:p>
        </w:tc>
        <w:tc>
          <w:tcPr>
            <w:tcW w:w="55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(1,672)</w:t>
            </w:r>
          </w:p>
        </w:tc>
        <w:tc>
          <w:tcPr>
            <w:tcW w:w="170" w:type="dxa"/>
            <w:vAlign w:val="bottom"/>
            <w:shd w:val="clear" w:color="auto" w:fill="CCEEFF"/>
          </w:tcPr>
          <w:p>
            <w:pPr>
              <w:spacing w:after="0"/>
              <w:rPr>
                <w:sz w:val="19"/>
                <w:szCs w:val="19"/>
                <w:color w:val="auto"/>
              </w:rPr>
            </w:pP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808080"/>
            </w:tcBorders>
          </w:tcPr>
          <w:p>
            <w:pPr>
              <w:spacing w:after="0"/>
              <w:rPr>
                <w:sz w:val="9"/>
                <w:szCs w:val="9"/>
                <w:color w:val="auto"/>
              </w:rPr>
            </w:pPr>
          </w:p>
        </w:tc>
        <w:tc>
          <w:tcPr>
            <w:tcW w:w="55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(35,458)</w:t>
            </w:r>
          </w:p>
        </w:tc>
        <w:tc>
          <w:tcPr>
            <w:tcW w:w="180" w:type="dxa"/>
            <w:vAlign w:val="bottom"/>
          </w:tcPr>
          <w:p>
            <w:pPr>
              <w:spacing w:after="0"/>
              <w:rPr>
                <w:sz w:val="18"/>
                <w:szCs w:val="18"/>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8"/>
                <w:szCs w:val="18"/>
                <w:color w:val="auto"/>
              </w:rPr>
            </w:pP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640" w:type="dxa"/>
            <w:vAlign w:val="bottom"/>
          </w:tcPr>
          <w:p>
            <w:pPr>
              <w:jc w:val="right"/>
              <w:spacing w:after="0"/>
              <w:rPr>
                <w:sz w:val="20"/>
                <w:szCs w:val="20"/>
                <w:color w:val="auto"/>
              </w:rPr>
            </w:pPr>
            <w:r>
              <w:rPr>
                <w:rFonts w:ascii="Arial" w:cs="Arial" w:eastAsia="Arial" w:hAnsi="Arial"/>
                <w:sz w:val="18"/>
                <w:szCs w:val="18"/>
                <w:color w:val="auto"/>
              </w:rPr>
              <w:t>4,562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1,911</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Borders>
              <w:bottom w:val="single" w:sz="8" w:color="808080"/>
            </w:tcBorders>
          </w:tcPr>
          <w:p>
            <w:pPr>
              <w:spacing w:after="0"/>
              <w:rPr>
                <w:sz w:val="8"/>
                <w:szCs w:val="8"/>
                <w:color w:val="auto"/>
              </w:rPr>
            </w:pPr>
          </w:p>
        </w:tc>
        <w:tc>
          <w:tcPr>
            <w:tcW w:w="55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investing activities</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(31,278)</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808080"/>
            </w:tcBorders>
          </w:tcPr>
          <w:p>
            <w:pPr>
              <w:spacing w:after="0"/>
              <w:rPr>
                <w:sz w:val="9"/>
                <w:szCs w:val="9"/>
                <w:color w:val="auto"/>
              </w:rPr>
            </w:pPr>
          </w:p>
        </w:tc>
        <w:tc>
          <w:tcPr>
            <w:tcW w:w="55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260" w:type="dxa"/>
            <w:vAlign w:val="bottom"/>
            <w:gridSpan w:val="4"/>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(350)</w:t>
            </w:r>
          </w:p>
        </w:tc>
        <w:tc>
          <w:tcPr>
            <w:tcW w:w="170" w:type="dxa"/>
            <w:vAlign w:val="bottom"/>
          </w:tcPr>
          <w:p>
            <w:pPr>
              <w:spacing w:after="0"/>
              <w:rPr>
                <w:sz w:val="18"/>
                <w:szCs w:val="18"/>
                <w:color w:val="auto"/>
              </w:rPr>
            </w:pP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12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808080"/>
            </w:tcBorders>
          </w:tcPr>
          <w:p>
            <w:pPr>
              <w:spacing w:after="0"/>
              <w:rPr>
                <w:sz w:val="9"/>
                <w:szCs w:val="9"/>
                <w:color w:val="auto"/>
              </w:rPr>
            </w:pPr>
          </w:p>
        </w:tc>
        <w:tc>
          <w:tcPr>
            <w:tcW w:w="55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(350)</w:t>
            </w: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808080"/>
            </w:tcBorders>
          </w:tcPr>
          <w:p>
            <w:pPr>
              <w:spacing w:after="0"/>
              <w:rPr>
                <w:sz w:val="9"/>
                <w:szCs w:val="9"/>
                <w:color w:val="auto"/>
              </w:rPr>
            </w:pPr>
          </w:p>
        </w:tc>
        <w:tc>
          <w:tcPr>
            <w:tcW w:w="55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(19,737)</w:t>
            </w:r>
          </w:p>
        </w:tc>
        <w:tc>
          <w:tcPr>
            <w:tcW w:w="18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(111)</w:t>
            </w:r>
          </w:p>
        </w:tc>
        <w:tc>
          <w:tcPr>
            <w:tcW w:w="170" w:type="dxa"/>
            <w:vAlign w:val="bottom"/>
          </w:tcPr>
          <w:p>
            <w:pPr>
              <w:spacing w:after="0"/>
              <w:rPr>
                <w:sz w:val="18"/>
                <w:szCs w:val="18"/>
                <w:color w:val="auto"/>
              </w:rPr>
            </w:pPr>
          </w:p>
        </w:tc>
        <w:tc>
          <w:tcPr>
            <w:tcW w:w="550" w:type="dxa"/>
            <w:vAlign w:val="bottom"/>
          </w:tcPr>
          <w:p>
            <w:pPr>
              <w:ind w:left="2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50" w:type="dxa"/>
            <w:vAlign w:val="bottom"/>
            <w:shd w:val="clear" w:color="auto" w:fill="CCEEFF"/>
          </w:tcPr>
          <w:p>
            <w:pPr>
              <w:ind w:left="470"/>
              <w:spacing w:after="0"/>
              <w:rPr>
                <w:sz w:val="20"/>
                <w:szCs w:val="20"/>
                <w:color w:val="auto"/>
              </w:rPr>
            </w:pPr>
            <w:r>
              <w:rPr>
                <w:rFonts w:ascii="Arial" w:cs="Arial" w:eastAsia="Arial" w:hAnsi="Arial"/>
                <w:sz w:val="15"/>
                <w:szCs w:val="15"/>
                <w:color w:val="auto"/>
                <w:w w:val="71"/>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70" w:type="dxa"/>
            <w:vAlign w:val="bottom"/>
            <w:tcBorders>
              <w:bottom w:val="single" w:sz="8" w:color="808080"/>
            </w:tcBorders>
          </w:tcPr>
          <w:p>
            <w:pPr>
              <w:spacing w:after="0"/>
              <w:rPr>
                <w:sz w:val="9"/>
                <w:szCs w:val="9"/>
                <w:color w:val="auto"/>
              </w:rPr>
            </w:pPr>
          </w:p>
        </w:tc>
        <w:tc>
          <w:tcPr>
            <w:tcW w:w="55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$ 46,261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ind w:left="470"/>
              <w:spacing w:after="0"/>
              <w:rPr>
                <w:sz w:val="20"/>
                <w:szCs w:val="20"/>
                <w:color w:val="auto"/>
              </w:rPr>
            </w:pPr>
            <w:r>
              <w:rPr>
                <w:rFonts w:ascii="Arial" w:cs="Arial" w:eastAsia="Arial" w:hAnsi="Arial"/>
                <w:sz w:val="15"/>
                <w:szCs w:val="15"/>
                <w:color w:val="auto"/>
                <w:w w:val="71"/>
              </w:rPr>
              <w:t>5</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$ 46,506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700" w:type="dxa"/>
            <w:vAlign w:val="bottom"/>
            <w:tcBorders>
              <w:bottom w:val="single" w:sz="8" w:color="808080"/>
            </w:tcBorders>
            <w:gridSpan w:val="3"/>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70" w:type="dxa"/>
            <w:vAlign w:val="bottom"/>
            <w:tcBorders>
              <w:bottom w:val="single" w:sz="8" w:color="808080"/>
            </w:tcBorders>
          </w:tcPr>
          <w:p>
            <w:pPr>
              <w:spacing w:after="0"/>
              <w:rPr>
                <w:sz w:val="11"/>
                <w:szCs w:val="11"/>
                <w:color w:val="auto"/>
              </w:rPr>
            </w:pPr>
          </w:p>
        </w:tc>
        <w:tc>
          <w:tcPr>
            <w:tcW w:w="55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60" w:type="dxa"/>
            <w:vAlign w:val="bottom"/>
            <w:gridSpan w:val="4"/>
          </w:tcPr>
          <w:p>
            <w:pPr>
              <w:jc w:val="right"/>
              <w:ind w:right="900"/>
              <w:spacing w:after="0"/>
              <w:rPr>
                <w:sz w:val="20"/>
                <w:szCs w:val="20"/>
                <w:color w:val="auto"/>
              </w:rPr>
            </w:pPr>
            <w:r>
              <w:rPr>
                <w:rFonts w:ascii="Arial" w:cs="Arial" w:eastAsia="Arial" w:hAnsi="Arial"/>
                <w:sz w:val="18"/>
                <w:szCs w:val="18"/>
                <w:color w:val="auto"/>
                <w:w w:val="91"/>
              </w:rPr>
              <w:t>F-17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-325755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-325755</wp:posOffset>
            </wp:positionV>
            <wp:extent cx="2159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-325755</wp:posOffset>
            </wp:positionV>
            <wp:extent cx="3873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-325755</wp:posOffset>
            </wp:positionV>
            <wp:extent cx="387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9"/>
              </w:rPr>
              <w:t>Issuers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(95,464)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(14,362)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4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14,362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(95,464)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76,260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(14,362)</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11,176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(32,231)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(3,754)</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85"/>
              </w:rPr>
              <w:t>(114,968)</w:t>
            </w:r>
          </w:p>
        </w:tc>
        <w:tc>
          <w:tcPr>
            <w:tcW w:w="14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(115,028)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(2,755)</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rPr>
              <w:t>(5,069)</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1,406</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Net cash provided by (used in)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85"/>
              </w:rPr>
              <w:t>(122,792)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(121,446)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8"/>
              </w:rPr>
              <w:t>(50,000)</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(26,546)</w:t>
            </w:r>
          </w:p>
        </w:tc>
        <w:tc>
          <w:tcPr>
            <w:tcW w:w="140" w:type="dxa"/>
            <w:vAlign w:val="bottom"/>
          </w:tcPr>
          <w:p>
            <w:pPr>
              <w:spacing w:after="0"/>
              <w:rPr>
                <w:sz w:val="18"/>
                <w:szCs w:val="18"/>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gridSpan w:val="4"/>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20" w:type="dxa"/>
            <w:vAlign w:val="bottom"/>
            <w:gridSpan w:val="6"/>
          </w:tcPr>
          <w:p>
            <w:pPr>
              <w:jc w:val="right"/>
              <w:ind w:right="1000"/>
              <w:spacing w:after="0"/>
              <w:rPr>
                <w:sz w:val="20"/>
                <w:szCs w:val="20"/>
                <w:color w:val="auto"/>
              </w:rPr>
            </w:pPr>
            <w:r>
              <w:rPr>
                <w:rFonts w:ascii="Arial" w:cs="Arial" w:eastAsia="Arial" w:hAnsi="Arial"/>
                <w:sz w:val="18"/>
                <w:szCs w:val="18"/>
                <w:color w:val="auto"/>
              </w:rPr>
              <w:t>F-18</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-325755</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-325755</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Member of Wynn Las Vegas, LLC:</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2009 and 2008, and the related consolidated statements of operations, member’s equity, and cash flows for each of the three years in the period ended December 31, 2009. Our audits also included the financial statement schedule listed in the index at F-34.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2009 and 2008, and the consolidated results of their operations and their cash flows for each of the three years in the period ended December 31, 2009,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80"/>
          </w:cols>
          <w:pgMar w:left="240" w:top="460" w:right="3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110,860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25,187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3,851,668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4,108,953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101,507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2,551,520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2,868,771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3,326,708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1,912,146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1,474,286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(526,593)</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20"/>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-4193540</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-4193540</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-4193540</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1,416,102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1,256,050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(185,982)</w:t>
            </w: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(156,159)</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1,230,120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1,099,891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248,489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199,540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1,374,399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1,158,507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(144,279)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(58,616)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(157,228)</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(75,855)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(4,224)</w:t>
            </w: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(165,591)</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(71,178)</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(309,870)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(129,794)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$ 1,242,770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124,219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1,375,020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2,835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1,257,563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429,490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$ 1,385,553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60" w:type="dxa"/>
            <w:vAlign w:val="bottom"/>
            <w:vMerge w:val="restart"/>
          </w:tcPr>
          <w:p>
            <w:pPr>
              <w:jc w:val="center"/>
              <w:ind w:left="83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8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60" w:type="dxa"/>
            <w:vAlign w:val="bottom"/>
          </w:tcPr>
          <w:p>
            <w:pPr>
              <w:jc w:val="center"/>
              <w:ind w:left="832"/>
              <w:spacing w:after="0"/>
              <w:rPr>
                <w:sz w:val="20"/>
                <w:szCs w:val="20"/>
                <w:color w:val="auto"/>
              </w:rPr>
            </w:pPr>
            <w:r>
              <w:rPr>
                <w:rFonts w:ascii="Arial" w:cs="Arial" w:eastAsia="Arial" w:hAnsi="Arial"/>
                <w:sz w:val="18"/>
                <w:szCs w:val="18"/>
                <w:color w:val="auto"/>
                <w:w w:val="91"/>
              </w:rPr>
              <w:t>F-22</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(309,870)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(129,794)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24,468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(25,016)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(38,706)</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(14,227)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41,879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22,455</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(245,040)</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(1,129,525)</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(35,061)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Due to affliates, net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18,546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(249,188)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(1,032,451)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(929,909)</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649,481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412,951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(20,698)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874,105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(56,961)</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(23,206)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138,787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147,209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(183,842)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parent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-781685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-781685</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-781685</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-781685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-781685</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-781685</wp:posOffset>
            </wp:positionV>
            <wp:extent cx="3873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-781685</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-781685</wp:posOffset>
            </wp:positionV>
            <wp:extent cx="2159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-781685</wp:posOffset>
            </wp:positionV>
            <wp:extent cx="3873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In April 2006, the Company commenced construction of Encore at Wynn Las Vegas (“Encore”), a 2,034 all-suite hotel fully integrated with Wynn Las Vegas. Encore opened on December 22, 2008.</w:t>
      </w:r>
    </w:p>
    <w:p>
      <w:pPr>
        <w:spacing w:after="0" w:line="13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2009,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2009 and 2008, approximately 68% and 69%,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Airplane</w:t>
            </w:r>
          </w:p>
        </w:tc>
        <w:tc>
          <w:tcPr>
            <w:tcW w:w="388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$0, $80.4 million and $33.6 million was capitalized for the years ended December 31, 2009, 2008 and 2007,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$9.3 million, $8.5 million and $7.2 million, was amortized to interest expense during the years ended December 31, 2009, 2008 and 2007, respectively. Debt discounts incurred in connection with the issuance of debt has been capitalized and is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revenues; consequently, the Company’s casino revenues are reduced by discounts and points earned in customer loyalty programs, such as the player’s club loyalty program.</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41,591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$ 27,292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Food and beverage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59,441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53,006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113,046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$ 90,325</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$ 88,259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0" w:type="dxa"/>
            <w:vAlign w:val="bottom"/>
            <w:gridSpan w:val="2"/>
          </w:tcPr>
          <w:p>
            <w:pPr>
              <w:jc w:val="right"/>
              <w:ind w:right="1740"/>
              <w:spacing w:after="0"/>
              <w:rPr>
                <w:sz w:val="20"/>
                <w:szCs w:val="20"/>
                <w:color w:val="auto"/>
              </w:rPr>
            </w:pPr>
            <w:r>
              <w:rPr>
                <w:rFonts w:ascii="Arial" w:cs="Arial" w:eastAsia="Arial" w:hAnsi="Arial"/>
                <w:sz w:val="18"/>
                <w:szCs w:val="18"/>
                <w:color w:val="auto"/>
              </w:rPr>
              <w:t>F-26</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-325755</wp:posOffset>
            </wp:positionV>
            <wp:extent cx="42418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38989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98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approximately $36.5 million, $33.4 million and $45.6 million for the years ended December 31, 2009, 2008 and 2007,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$17.3 million, $27.1 million including $11.1 million of pre-opening related to Encore and $21.4 million, respectively, for the years ended December 31, 2009, 2008 and 2007.</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pre-opening costs in connection with Encore prior to its opening on December 22,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40" w:firstLine="228"/>
        <w:spacing w:after="0" w:line="375" w:lineRule="auto"/>
        <w:rPr>
          <w:sz w:val="20"/>
          <w:szCs w:val="20"/>
          <w:color w:val="auto"/>
        </w:rPr>
      </w:pPr>
      <w:r>
        <w:rPr>
          <w:rFonts w:ascii="Arial" w:cs="Arial" w:eastAsia="Arial" w:hAnsi="Arial"/>
          <w:sz w:val="18"/>
          <w:szCs w:val="18"/>
          <w:color w:val="auto"/>
        </w:rPr>
        <w:t xml:space="preserve">Further information on the Company’s share-based compensation arrangements is included in Note 11 “Benefit Plans—Share-Based Compensation”. </w:t>
      </w:r>
      <w:r>
        <w:rPr>
          <w:rFonts w:ascii="Arial" w:cs="Arial" w:eastAsia="Arial" w:hAnsi="Arial"/>
          <w:sz w:val="18"/>
          <w:szCs w:val="18"/>
          <w:i w:val="1"/>
          <w:iCs w:val="1"/>
          <w:color w:val="auto"/>
        </w:rPr>
        <w:t>Recent Accounting Pronouncements</w:t>
      </w:r>
    </w:p>
    <w:p>
      <w:pPr>
        <w:spacing w:after="0" w:line="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Company is currently evaluating the impact, if any, of adopting these new accounting standards on its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2008 and 2007 have been reclassified to be consistent with the current year presentation. These reclassifications had no effect on the previously reported net (loss)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12"/>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b w:val="1"/>
                <w:bCs w:val="1"/>
                <w:color w:val="auto"/>
                <w:w w:val="96"/>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$149,786</w:t>
            </w:r>
          </w:p>
        </w:tc>
        <w:tc>
          <w:tcPr>
            <w:tcW w:w="2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$142,515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Hotel</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17,490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13,051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10,990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178,266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163,696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240" w:type="dxa"/>
            <w:vAlign w:val="bottom"/>
            <w:gridSpan w:val="6"/>
          </w:tcPr>
          <w:p>
            <w:pPr>
              <w:jc w:val="right"/>
              <w:ind w:right="240"/>
              <w:spacing w:after="0"/>
              <w:rPr>
                <w:sz w:val="20"/>
                <w:szCs w:val="20"/>
                <w:color w:val="auto"/>
              </w:rPr>
            </w:pPr>
            <w:r>
              <w:rPr>
                <w:rFonts w:ascii="Arial" w:cs="Arial" w:eastAsia="Arial" w:hAnsi="Arial"/>
                <w:sz w:val="18"/>
                <w:szCs w:val="18"/>
                <w:color w:val="auto"/>
              </w:rPr>
              <w:t>(67,406)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5"/>
              </w:rPr>
              <w:t>(65,414)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$ 110,860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98,282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8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22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12"/>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9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692,677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695,474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2,554,224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2,557,489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1,325,677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1,301,182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4,640,805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4,602,978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(789,137)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7"/>
          </w:tcPr>
          <w:p>
            <w:pPr>
              <w:jc w:val="right"/>
              <w:ind w:right="60"/>
              <w:spacing w:after="0"/>
              <w:rPr>
                <w:sz w:val="20"/>
                <w:szCs w:val="20"/>
                <w:color w:val="auto"/>
              </w:rPr>
            </w:pPr>
            <w:r>
              <w:rPr>
                <w:rFonts w:ascii="Arial" w:cs="Arial" w:eastAsia="Arial" w:hAnsi="Arial"/>
                <w:sz w:val="18"/>
                <w:szCs w:val="18"/>
                <w:color w:val="auto"/>
              </w:rPr>
              <w:t>(494,025)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$3,851,668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$ 4,108,953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-2567940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-2567940</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-2567940</wp:posOffset>
            </wp:positionV>
            <wp:extent cx="3873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-2567940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-2567940</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-2567940</wp:posOffset>
            </wp:positionV>
            <wp:extent cx="3873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Depreciation expense for the years ended December 31, 2009, 2008 and 2007 was $300.8 million, $156.4 million and $139.5 million, respectively. The increase during 2009 is due to the depreciation of assets placed in service for Encore in December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Show</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00" w:type="dxa"/>
            <w:vAlign w:val="bottom"/>
            <w:gridSpan w:val="5"/>
          </w:tcPr>
          <w:p>
            <w:pPr>
              <w:ind w:left="2240"/>
              <w:spacing w:after="0" w:line="149" w:lineRule="exact"/>
              <w:rPr>
                <w:sz w:val="20"/>
                <w:szCs w:val="20"/>
                <w:color w:val="auto"/>
              </w:rPr>
            </w:pPr>
            <w:r>
              <w:rPr>
                <w:rFonts w:ascii="Arial" w:cs="Arial" w:eastAsia="Arial" w:hAnsi="Arial"/>
                <w:sz w:val="14"/>
                <w:szCs w:val="14"/>
                <w:b w:val="1"/>
                <w:bCs w:val="1"/>
                <w:color w:val="auto"/>
              </w:rPr>
              <w:t>Production</w:t>
            </w:r>
          </w:p>
        </w:tc>
        <w:tc>
          <w:tcPr>
            <w:tcW w:w="2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Rights</w:t>
            </w:r>
          </w:p>
        </w:tc>
        <w:tc>
          <w:tcPr>
            <w:tcW w:w="2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January 1, 2008</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Amortization</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(2,339)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3873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32131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Show production rights represent the amounts paid to purchase the rights to present the “Le Rêve” and “Monty Python’s Spamalot” production shows. During the year ended December 31, 2008, the Company wrote-off the show production rights associated with Spamalot as the contract for that show was terminated. The Company expects that amortization of show production rights will be approximately $2.1 million for each of the years 2010 through 2012, and approximately $0.8 million in 2013.</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6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$ 11,826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Base stock</w:t>
            </w:r>
          </w:p>
        </w:tc>
        <w:tc>
          <w:tcPr>
            <w:tcW w:w="5660" w:type="dxa"/>
            <w:vAlign w:val="bottom"/>
            <w:gridSpan w:val="3"/>
          </w:tcPr>
          <w:p>
            <w:pPr>
              <w:jc w:val="right"/>
              <w:spacing w:after="0"/>
              <w:rPr>
                <w:sz w:val="20"/>
                <w:szCs w:val="20"/>
                <w:color w:val="auto"/>
              </w:rPr>
            </w:pPr>
            <w:r>
              <w:rPr>
                <w:rFonts w:ascii="Arial" w:cs="Arial" w:eastAsia="Arial" w:hAnsi="Arial"/>
                <w:sz w:val="18"/>
                <w:szCs w:val="18"/>
                <w:color w:val="auto"/>
              </w:rPr>
              <w:t>22,027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Golf memberships</w:t>
            </w:r>
          </w:p>
        </w:tc>
        <w:tc>
          <w:tcPr>
            <w:tcW w:w="5660" w:type="dxa"/>
            <w:vAlign w:val="bottom"/>
            <w:gridSpan w:val="3"/>
          </w:tcPr>
          <w:p>
            <w:pPr>
              <w:jc w:val="right"/>
              <w:spacing w:after="0"/>
              <w:rPr>
                <w:sz w:val="20"/>
                <w:szCs w:val="20"/>
                <w:color w:val="auto"/>
              </w:rPr>
            </w:pPr>
            <w:r>
              <w:rPr>
                <w:rFonts w:ascii="Arial" w:cs="Arial" w:eastAsia="Arial" w:hAnsi="Arial"/>
                <w:sz w:val="18"/>
                <w:szCs w:val="18"/>
                <w:color w:val="auto"/>
              </w:rPr>
              <w:t>3,750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$ 58,733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$ 77,969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660" w:type="dxa"/>
            <w:vAlign w:val="bottom"/>
            <w:gridSpan w:val="3"/>
          </w:tcPr>
          <w:p>
            <w:pPr>
              <w:jc w:val="right"/>
              <w:ind w:right="3872"/>
              <w:spacing w:after="0"/>
              <w:rPr>
                <w:sz w:val="20"/>
                <w:szCs w:val="20"/>
                <w:color w:val="auto"/>
              </w:rPr>
            </w:pPr>
            <w:r>
              <w:rPr>
                <w:rFonts w:ascii="Arial" w:cs="Arial" w:eastAsia="Arial" w:hAnsi="Arial"/>
                <w:sz w:val="18"/>
                <w:szCs w:val="18"/>
                <w:color w:val="auto"/>
              </w:rPr>
              <w:t>F-29</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38989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2159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1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8"/>
              </w:rPr>
              <w:t xml:space="preserve">6 </w:t>
            </w:r>
            <w:r>
              <w:rPr>
                <w:rFonts w:ascii="Arial" w:cs="Arial" w:eastAsia="Arial" w:hAnsi="Arial"/>
                <w:sz w:val="11"/>
                <w:szCs w:val="11"/>
                <w:color w:val="auto"/>
                <w:w w:val="98"/>
              </w:rPr>
              <w:t>5</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xml:space="preserve"> % First Mortgage Notes, due December 1, 2014, net of original issue discount of $8,214 and $9,561,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$1,626,016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$ 1,690,439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8"/>
              </w:rPr>
              <w:t xml:space="preserve">7 </w:t>
            </w:r>
            <w:r>
              <w:rPr>
                <w:rFonts w:ascii="Arial" w:cs="Arial" w:eastAsia="Arial" w:hAnsi="Arial"/>
                <w:sz w:val="11"/>
                <w:szCs w:val="11"/>
                <w:color w:val="auto"/>
                <w:w w:val="98"/>
              </w:rPr>
              <w:t>7</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xml:space="preserve"> % First Mortgage Notes, due November 1, 2017, net of original issue discount of $10,529 at December 31, 2009</w:t>
            </w:r>
          </w:p>
        </w:tc>
        <w:tc>
          <w:tcPr>
            <w:tcW w:w="800" w:type="dxa"/>
            <w:vAlign w:val="bottom"/>
          </w:tcPr>
          <w:p>
            <w:pPr>
              <w:jc w:val="right"/>
              <w:spacing w:after="0"/>
              <w:rPr>
                <w:sz w:val="20"/>
                <w:szCs w:val="20"/>
                <w:color w:val="auto"/>
              </w:rPr>
            </w:pPr>
            <w:r>
              <w:rPr>
                <w:rFonts w:ascii="Arial" w:cs="Arial" w:eastAsia="Arial" w:hAnsi="Arial"/>
                <w:sz w:val="18"/>
                <w:szCs w:val="18"/>
                <w:color w:val="auto"/>
              </w:rPr>
              <w:t>489,471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Revolving Credit Facility; due July 15, 2013; interest at LIBOR plus 3.0% and 1.625% (approximately 3.24% and 2.2%),</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Term Loan Facility; $40.2 million due September 30, 2012 with the remaining $40.2 million due August 15, 2013; interest at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LIBOR plus 1.875% (approximately 2.12% and 3.1%, respectively)</w:t>
            </w:r>
          </w:p>
        </w:tc>
        <w:tc>
          <w:tcPr>
            <w:tcW w:w="800" w:type="dxa"/>
            <w:vAlign w:val="bottom"/>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$42 million Note Payable; due April 1, 2017; interest at LIBOR plus 1.25% (approximately 1.8% and, 3.0%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Payable to Affiliate</w:t>
            </w:r>
          </w:p>
        </w:tc>
        <w:tc>
          <w:tcPr>
            <w:tcW w:w="800" w:type="dxa"/>
            <w:vAlign w:val="bottom"/>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2,552,570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2,834,473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(1,050)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$2,551,520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$ 2,833,423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On December 14, 2004, the Issuers issued $1.3 billion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On November 6, 2007, the Issuers issued, in a private offering, $400 million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at a price of 97.25% of the principal amount. These notes were issued under the same indenture as the original $1.3 billion first mortgage notes. Both offerings are referred to herein as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The Company pays interest on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June 1st and December 1st of each year. Commencing December 1, 2009,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are redeemable at the Company’s option at a price equal to 103.313% of the principal amount redeemed and declining ratably on December 1st of each year thereafter to zero on or after December 1, 2012.</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The indenture governing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the guarantees thereof are secured by: (1) a first priority pledge of all of the member’s interests owned by Wynn Las Vegas, LLC in its subsidiaries (other than Wynn Completion Guarantor, LLC) and of Wynn Resorts 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among other things, an aircraft beneficially owned by World Travel, LLC.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6 5/8%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During the year ended December 31, 2009, Wynn Resorts purchased $65.8 million face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through open market purchases at a discount. The purchase of the notes by Wynn Resorts has not been contributed to the Company and the notes have not been retired. Accordingly, $65.8 million of the 6 5/8%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Net proceeds to the Company were approximately $480 million, after deducting the original issue discount and underwriting fees and other expenses. The Company pays interest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May 1st and November 1st of each year. Commencing November 1, 2013,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are redeemable at the Company’s option at a price equal to 103.938% of the principal amount redeemed and decline ratably on November 1st of each year thereafter to zero on or after November 1, 2015. The notes rank pari passu with the borrowings under the Wynn Las Vegas credit facilities and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have not been registered under the Securities Act of 1933 or under any state securities laws. Therefore, the holders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publically traded notes that have substantially identical terms as the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Wynn Las Vegas Amended and Restated Credit Agreement (the “Credit Agreement”), consisted of a $457.9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(the “Wynn Las Vegas Revolver”) and an $80.4 million term loan facility (the “Wynn Las Vegas Term Loan”) (together the “Wynn 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Vegas Credit Facilities”). As of December 31, 2009, the Company had borrowed $252.7 million under the Wynn Las Vegas Revolver. The Company also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 million of outstanding letters of credit that reduce the availability under the Wynn Las Vegas Revolver. Consequently, there was availability of $185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Wynn Las Vegas Revolver as of December 31, 2009. As described below, during the year ended December 31, 2009, the Company (a) extended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of the Wynn Las Vegas Revolver, (b) received relief from certain financial covenants, (c) increased the Wynn Las Vegas Revolver by $65 million,</w:t>
      </w:r>
    </w:p>
    <w:p>
      <w:pPr>
        <w:spacing w:after="0" w:line="32" w:lineRule="exact"/>
        <w:rPr>
          <w:sz w:val="20"/>
          <w:szCs w:val="20"/>
          <w:color w:val="auto"/>
        </w:rPr>
      </w:pPr>
    </w:p>
    <w:p>
      <w:pPr>
        <w:ind w:right="620" w:firstLine="8"/>
        <w:spacing w:after="0" w:line="323" w:lineRule="auto"/>
        <w:tabs>
          <w:tab w:leader="none" w:pos="249"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repurchased $87.6 million of Wynn Las Vegas Revolver loans at a discount, and (e) used the net proceeds received from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issuance to repay amounts outstanding, including a permanent reduction in the Wynn Las Vegas Credit Facilities of $360 million.</w:t>
      </w:r>
    </w:p>
    <w:p>
      <w:pPr>
        <w:spacing w:after="0" w:line="7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April 2009, the Company entered into a fourth amendment to the Credit Agreement. This amendment, among other things, (i) provides a waiver of the Consolidated Leverage Ratio, as defined in the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and</w:t>
      </w:r>
    </w:p>
    <w:p>
      <w:pPr>
        <w:jc w:val="both"/>
        <w:ind w:right="40" w:firstLine="8"/>
        <w:spacing w:after="0" w:line="254" w:lineRule="auto"/>
        <w:tabs>
          <w:tab w:leader="none" w:pos="30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the Company expanded the availability of the Wynn Las Vegas Revolver by $65 million.</w:t>
      </w:r>
    </w:p>
    <w:p>
      <w:pPr>
        <w:spacing w:after="0" w:line="18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September 2009, the Company entered into a fifth amendment to the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the Company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October 2009, in accordance with the fifth amendment to the Wynn Las Vegas Credit Agreement described above, the Company used the proceeds of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to repay amounts outstanding under the Wynn Las Vegas Revolver and Wynn Las Vegas Term Loan.</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Wynn Las Vegas Term Loan is payable in two installments of $40.2 million each on September 30, 2012 and August 15, 2013. The Wynn Las Vegas Revolver matures on July 15, 2013.</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For purposes of calculating interest, loans under the Wynn Las Vegas Credit Facilities will be designated, at the election of Wynn Las Vegas, LLC, as Eurodollar Loans or, in certain circumstances, Base Rate Loans. As of December 31, 2009, Eurodollar Loans under the Wynn Las Vegas Revolver and Wynn Las Vegas Term Loan bear interest initially at the Eurodollar rate plus 3.0%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unborrowed amounts under the Wynn Las Vegas Revolver.</w:t>
      </w:r>
    </w:p>
    <w:p>
      <w:pPr>
        <w:spacing w:after="0" w:line="9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an aircraft beneficially owned by World Travel, LLC.</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obligations of Wynn Las Vegas, LLC and the guarantors under the Wynn Las Vegas Credit Facilities rank equal in right of payment with their existing and future senior indebtedness, including indebtedness with respect to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1.25 : 1 as of December 31, 2009. Management believes that the Company was in compliance with all covenants at December 31, 2009. The Company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net book value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at December 31, 2009 and 2008, was approximately $2.2 billion and $1.7 billion, respectively. The estimated fair value of the First Mortgage Notes based upon most recent trades at December 31, 2009 and 2008, was approximately $2.1 billion and $1.25 billion, respectively. The net book value of the Company’s other debt instruments was $400 million and the approximate fair value of such debt was approximately $350 million as of December 31, 2009.</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59" w:right="31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of long-term debt including the accretion of debt discounts of approximately $18.7 million are as follows (amounts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0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3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0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0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294,339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0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1,701,400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0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531,500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83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2,571,312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90" w:type="dxa"/>
            <w:vAlign w:val="bottom"/>
            <w:tcBorders>
              <w:bottom w:val="single" w:sz="8" w:color="808080"/>
            </w:tcBorders>
          </w:tcPr>
          <w:p>
            <w:pPr>
              <w:spacing w:after="0"/>
              <w:rPr>
                <w:sz w:val="11"/>
                <w:szCs w:val="11"/>
                <w:color w:val="auto"/>
              </w:rPr>
            </w:pPr>
          </w:p>
        </w:tc>
        <w:tc>
          <w:tcPr>
            <w:tcW w:w="83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Wynn Las Vegas Credit Facilities. Under this swap agreement, beginning November 27, 2009,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2009, the fair value of this interest rate swap was a liability of $4.2 million, which is included in long term liabilities in the accompanying balance sheet.</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December 2008, the Company’s $200 million notional amount interest rate swap that essentially fixed the interest rate on $200 million of the $225 million Wynn Las Vegas Term Loan borrowings matured. Pursuant to the terms of this interest rate swap, the Company paid a fixed rate of 3.793% on the $200 million notional amount and received payments based on LIBOR. This swap fixed the interest rate at approximately 5.7% on $200 million of the then outstanding $225 million term loan.</w:t>
      </w:r>
    </w:p>
    <w:p>
      <w:pPr>
        <w:spacing w:after="0" w:line="124" w:lineRule="exact"/>
        <w:rPr>
          <w:sz w:val="20"/>
          <w:szCs w:val="20"/>
          <w:color w:val="auto"/>
        </w:rPr>
      </w:pPr>
    </w:p>
    <w:p>
      <w:pPr>
        <w:ind w:left="240" w:right="8860" w:hanging="232"/>
        <w:spacing w:after="0" w:line="398" w:lineRule="auto"/>
        <w:tabs>
          <w:tab w:leader="none" w:pos="187" w:val="left"/>
        </w:tabs>
        <w:numPr>
          <w:ilvl w:val="0"/>
          <w:numId w:val="3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As of December 31, 2009 the Company’s current Due to affiliates, net was comprised of construction payables of approximately $21.4 million, construction retention of approximately $1.8 million and other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amounts due to affiliates totaling $1.7 million (including corporate allocations discussed below). The long-term Due to affiliates is management fees of $82.3 million (equal to 1.5% of revenues and payable upon meeting certain leverage ratios as specified in the documents governing the Company’s Credit Facilities and the First Mortgage Notes indentures).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2008, the Company’s current Due to affiliates, net was comprised of construction payables of approximately $123.4 million, construction retention of approximately $77.7 million and other net amounts receivable from affiliates totaling $0.7 million. The long-term Due to affiliates is management fees of $63.9 million (equal to 1.5% of net revenues and payable upon meeting certain leverage ratios as specified in the documents governing the Company’s Credit Facilities and the First Mortgage Notes indenture).</w:t>
      </w:r>
    </w:p>
    <w:p>
      <w:pPr>
        <w:spacing w:after="0" w:line="13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Company’s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2009, 2008 and 2007, approximately $25.0 million, $22 million, and $25.9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 At December 31, 2009 and 2008, Wynn Resorts owed Mr. Wynn and the other officers and directors approximately $789,095 and $434,003,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Effective July 1, 2005, Mr. Wynn and Elaine P. Wynn, who is also a director of Wynn Resorts, lease from year to year a villa suite in the Wynn Las Vegas resort. In March 2009, this lease was amended to add an additional unit to the leased premises.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suites are included in the rental. For the two year period commencing July 1, 2008 and ending June 30, 2010, based on a third-party appraisal and a reduction in housekeeping services to be provided, the Audit Committee determined the rent for each year will be $520,000. There was no change in the rent when the additional unit was added to the lease in March 2009 due to significant deterioration in the Las Vegas rental market.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2009, 2008 and 2007, were $24.5 million, $22.4 million and $6 million, respectively.</w:t>
      </w:r>
    </w:p>
    <w:p>
      <w:pPr>
        <w:spacing w:after="0" w:line="18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response to the Company’s evaluation of its properties and the reactions of its guests, the Company makes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to make way for an addition to that property, (b) a $5.3 million charge for the write-off of two aircraft deposits, and (c) $2.5 million related to miscellaneous remodels, abandonments and loss on sale of equipment.</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Property charges and other for the year ended December 31, 2008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 During the year ended December 31, 2007, property charges were recorded related to the remodel and enhancements made to the Le Rêve Theater, the abandonment of a marquee sign,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nighclub </w:t>
      </w:r>
      <w:r>
        <w:rPr>
          <w:rFonts w:ascii="Arial" w:cs="Arial" w:eastAsia="Arial" w:hAnsi="Arial"/>
          <w:sz w:val="16"/>
          <w:szCs w:val="16"/>
          <w:i w:val="1"/>
          <w:iCs w:val="1"/>
          <w:color w:val="auto"/>
        </w:rPr>
        <w:t>Blush.</w:t>
      </w:r>
    </w:p>
    <w:p>
      <w:pPr>
        <w:spacing w:after="0" w:line="101" w:lineRule="exact"/>
        <w:rPr>
          <w:sz w:val="20"/>
          <w:szCs w:val="20"/>
          <w:color w:val="auto"/>
        </w:rPr>
      </w:pPr>
    </w:p>
    <w:p>
      <w:pPr>
        <w:ind w:left="240" w:right="9520" w:hanging="232"/>
        <w:spacing w:after="0" w:line="398" w:lineRule="auto"/>
        <w:tabs>
          <w:tab w:leader="none" w:pos="266" w:val="left"/>
        </w:tabs>
        <w:numPr>
          <w:ilvl w:val="0"/>
          <w:numId w:val="36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 million, $4.8 million and $4.5 million for the years ended December 31, 2009, 2008 and 2007, respectively. Effective March 16, 2009, the Company suspended matching contributions to this plan.</w:t>
      </w:r>
    </w:p>
    <w:p>
      <w:pPr>
        <w:spacing w:after="0" w:line="13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$6.2 million, $4.6 million and $4.5 million under such plans for the years ended December 31, 2009, 2008 and 2007, respectively. Information from the plans’ sponsors is not available to permit the Company to determine its share of unfunded vested benefits, if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As of December 31, 2009, 419,545 shares remain available for the grant of stock options or nonvested shares of Wynn Resorts’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with no vesting in the first two years; cliff vesting at a determined date; and others to be determined at the time of grant. All options expire ten years from the date of grant.</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option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1,484,466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$ 63.32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$ 50.03</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(184,916)</w:t>
            </w: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$ 24.66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w w:val="95"/>
              </w:rPr>
              <w:t>(173,333)</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$ 69.44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of employees from affiliate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$ 57.16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2,174,592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$ 60.14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13,989,061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2,022,615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$ 59.39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13,269,627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683,168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$ 52.65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5,466,946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-629285</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-629285</wp:posOffset>
            </wp:positionV>
            <wp:extent cx="3873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-329565</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-329565</wp:posOffset>
            </wp:positionV>
            <wp:extent cx="3873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3873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December 31, 2009, 2008 and 2007 was $29.04, $60.09 and $0, respectively. The total intrinsic value of the options exercised for the years ended December 31, 2009, 2008 and 2007 was $6 million, $1.3 million and $7.9 million, respectively. As of December 31, 2009, there was a total of $38.1 million of unamortized compensation related to stock options, which is expected to be recognized as compensation over the vesting period of the related grants through May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nonvested share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Shares</w:t>
            </w:r>
          </w:p>
        </w:tc>
        <w:tc>
          <w:tcPr>
            <w:tcW w:w="2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231,750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(4,500)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center"/>
              <w:ind w:left="96"/>
              <w:spacing w:after="0"/>
              <w:rPr>
                <w:sz w:val="20"/>
                <w:szCs w:val="20"/>
                <w:color w:val="auto"/>
              </w:rPr>
            </w:pPr>
            <w:r>
              <w:rPr>
                <w:rFonts w:ascii="Arial" w:cs="Arial" w:eastAsia="Arial" w:hAnsi="Arial"/>
                <w:sz w:val="18"/>
                <w:szCs w:val="18"/>
                <w:color w:val="auto"/>
                <w:w w:val="88"/>
              </w:rPr>
              <w:t>69.05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227,250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weighted average grant date fair value of nonvested shares granted during the years ended December 31, 2008 and 2007 was $104.27 and $123.73, respectively. The total fair value of shares vested during the year ended December 31, 2008 was $0.8 million. No shares vested during the years ended December 31, 2009 and 2007. Approximately $10 million of unamortized compensation cost relating to nonvested shares at December 31, 2009, will be recognized as compensation over the vesting period of the related grants through December 2016.</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Wynn Resorts uses the simplified method for companies with a limited trading history to estimate the expected term. The risk-free interest rate used for each period presented is based on the U.S. Treasury yield curve at the time of grant for the period equal to the expected term.</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6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22"/>
                <w:szCs w:val="22"/>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0.30%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760" w:type="dxa"/>
            <w:vAlign w:val="bottom"/>
            <w:gridSpan w:val="3"/>
          </w:tcPr>
          <w:p>
            <w:pPr>
              <w:jc w:val="right"/>
              <w:ind w:right="1000"/>
              <w:spacing w:after="0"/>
              <w:rPr>
                <w:sz w:val="20"/>
                <w:szCs w:val="20"/>
                <w:color w:val="auto"/>
              </w:rPr>
            </w:pPr>
            <w:r>
              <w:rPr>
                <w:rFonts w:ascii="Arial" w:cs="Arial" w:eastAsia="Arial" w:hAnsi="Arial"/>
                <w:sz w:val="18"/>
                <w:szCs w:val="18"/>
                <w:color w:val="auto"/>
              </w:rPr>
              <w:t>56.2%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760" w:type="dxa"/>
            <w:vAlign w:val="bottom"/>
            <w:gridSpan w:val="3"/>
          </w:tcPr>
          <w:p>
            <w:pPr>
              <w:jc w:val="right"/>
              <w:ind w:right="3640"/>
              <w:spacing w:after="0"/>
              <w:rPr>
                <w:sz w:val="20"/>
                <w:szCs w:val="20"/>
                <w:color w:val="auto"/>
              </w:rPr>
            </w:pPr>
            <w:r>
              <w:rPr>
                <w:rFonts w:ascii="Arial" w:cs="Arial" w:eastAsia="Arial" w:hAnsi="Arial"/>
                <w:sz w:val="18"/>
                <w:szCs w:val="18"/>
                <w:color w:val="auto"/>
              </w:rPr>
              <w:t>F-38</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2009, 2008 and 2007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380" w:type="dxa"/>
            <w:vAlign w:val="bottom"/>
            <w:gridSpan w:val="5"/>
          </w:tcPr>
          <w:p>
            <w:pPr>
              <w:jc w:val="right"/>
              <w:ind w:right="332"/>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2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Rooms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Preopening costs</w:t>
            </w:r>
          </w:p>
        </w:tc>
        <w:tc>
          <w:tcPr>
            <w:tcW w:w="174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40" w:right="8660" w:hanging="232"/>
        <w:spacing w:after="0" w:line="373" w:lineRule="auto"/>
        <w:tabs>
          <w:tab w:leader="none" w:pos="275" w:val="left"/>
        </w:tabs>
        <w:numPr>
          <w:ilvl w:val="0"/>
          <w:numId w:val="3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Aircraft Deposits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had made deposits on an aircraft purchase totaling $13.4 million which is included in other assets as of December 31, 2008. The Company was scheduled to take delivery of this airplane in 2009 with additional payments to be made totaling $31.1 million. On February 19, 2009, the Company cancelled the agreement to purchase this aircraft. In connection with this cancellation, the Company wrote-off $5.3 million of deposits, net of amounts refunded.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460" w:type="dxa"/>
            <w:vAlign w:val="bottom"/>
            <w:gridSpan w:val="2"/>
          </w:tcPr>
          <w:p>
            <w:pPr>
              <w:jc w:val="right"/>
              <w:ind w:right="3920"/>
              <w:spacing w:after="0"/>
              <w:rPr>
                <w:sz w:val="20"/>
                <w:szCs w:val="20"/>
                <w:color w:val="auto"/>
              </w:rPr>
            </w:pPr>
            <w:r>
              <w:rPr>
                <w:rFonts w:ascii="Arial" w:cs="Arial" w:eastAsia="Arial" w:hAnsi="Arial"/>
                <w:sz w:val="18"/>
                <w:szCs w:val="18"/>
                <w:color w:val="auto"/>
              </w:rPr>
              <w:t>F-39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-325755</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2159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2009,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right="18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2009, 2008 and 2007 was $8 million, $6.9 million and $7.4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2009.</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Due to the uncertainty surrounding this matter, a receivable has not been recorded as of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year ended December 31, 2009, Wynn Resorts made cash capital contributions to the Company totaling $413 million. The proceeds from these contributions were used to fund construction costs of Encore paid during the period and to fund paydowns on the Wynn Las Vegas Credit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59" w:right="2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2009 and 2008, and for each of the three years in the period ended December 31, 2009.</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459" w:right="2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3,653,786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197,882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3,851,668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(16,450)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36,342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23,264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101,340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(163,895)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193,256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2,514,420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2,643,855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232,797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2,868,771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1,912,146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(526,593)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1,385,553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F-42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-3962400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-3962400</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-3962400</wp:posOffset>
            </wp:positionV>
            <wp:extent cx="3873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-3962400</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-3962400</wp:posOffset>
            </wp:positionV>
            <wp:extent cx="2159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-3962400</wp:posOffset>
            </wp:positionV>
            <wp:extent cx="3873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-3962400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-3962400</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-3962400</wp:posOffset>
            </wp:positionV>
            <wp:extent cx="3873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-3962400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-3962400</wp:posOffset>
            </wp:positionV>
            <wp:extent cx="2159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-3962400</wp:posOffset>
            </wp:positionV>
            <wp:extent cx="3873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-3962400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-3962400</wp:posOffset>
            </wp:positionV>
            <wp:extent cx="2159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-3962400</wp:posOffset>
            </wp:positionV>
            <wp:extent cx="3873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Subsidiary</w:t>
            </w:r>
          </w:p>
        </w:tc>
        <w:tc>
          <w:tcPr>
            <w:tcW w:w="120" w:type="dxa"/>
            <w:vAlign w:val="bottom"/>
          </w:tcPr>
          <w:p>
            <w:pPr>
              <w:spacing w:after="0"/>
              <w:rPr>
                <w:sz w:val="15"/>
                <w:szCs w:val="15"/>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98,277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21,465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338,263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3,906,460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202,493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4,108,953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64,619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(7,286)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48,822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201,003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233,864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2,794,923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2,833,423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3,092,692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241,897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3,326,708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(216,723)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8"/>
                <w:szCs w:val="18"/>
                <w:color w:val="auto"/>
                <w:w w:val="95"/>
              </w:rPr>
              <w:t>(27,702)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19,816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5"/>
              </w:rPr>
              <w:t>(15,172)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F-43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-3825240</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-3825240</wp:posOffset>
            </wp:positionV>
            <wp:extent cx="2159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-3825240</wp:posOffset>
            </wp:positionV>
            <wp:extent cx="3873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-3825240</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-3825240</wp:posOffset>
            </wp:positionV>
            <wp:extent cx="2159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-3825240</wp:posOffset>
            </wp:positionV>
            <wp:extent cx="3873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-3825240</wp:posOffset>
            </wp:positionV>
            <wp:extent cx="1270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-3825240</wp:posOffset>
            </wp:positionV>
            <wp:extent cx="2159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-3825240</wp:posOffset>
            </wp:positionV>
            <wp:extent cx="3873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-3825240</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-3825240</wp:posOffset>
            </wp:positionV>
            <wp:extent cx="2159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-3825240</wp:posOffset>
            </wp:positionV>
            <wp:extent cx="38735"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-3825240</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-3825240</wp:posOffset>
            </wp:positionV>
            <wp:extent cx="2159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-3825240</wp:posOffset>
            </wp:positionV>
            <wp:extent cx="3873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-325755</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-325755</wp:posOffset>
            </wp:positionV>
            <wp:extent cx="2159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3873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1270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-325755</wp:posOffset>
            </wp:positionV>
            <wp:extent cx="2159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38735"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1270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2159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38735"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321,075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202,972</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1,415,600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(185,982)</w:t>
            </w:r>
          </w:p>
        </w:tc>
        <w:tc>
          <w:tcPr>
            <w:tcW w:w="180" w:type="dxa"/>
            <w:vAlign w:val="bottom"/>
          </w:tcPr>
          <w:p>
            <w:pPr>
              <w:spacing w:after="0"/>
              <w:rPr>
                <w:sz w:val="19"/>
                <w:szCs w:val="19"/>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1,229,618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238,272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250,279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248,489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309,012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1,366,105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(136,487)</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(156,262)</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(4,224)</w:t>
            </w: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(3,779)</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(9,164)</w:t>
            </w:r>
          </w:p>
        </w:tc>
        <w:tc>
          <w:tcPr>
            <w:tcW w:w="18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(173,383)</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(309,870)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840"/>
              <w:spacing w:after="0"/>
              <w:rPr>
                <w:sz w:val="20"/>
                <w:szCs w:val="20"/>
                <w:color w:val="auto"/>
              </w:rPr>
            </w:pPr>
            <w:r>
              <w:rPr>
                <w:rFonts w:ascii="Arial" w:cs="Arial" w:eastAsia="Arial" w:hAnsi="Arial"/>
                <w:sz w:val="18"/>
                <w:szCs w:val="18"/>
                <w:color w:val="auto"/>
              </w:rPr>
              <w:t>F-44</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-325755</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-325755</wp:posOffset>
            </wp:positionV>
            <wp:extent cx="2159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3873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-325755</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2159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441325"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479,711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305,702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1,256,316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(156,159)</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(156,159)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1,100,157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1,099,891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201,017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165,121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490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1,154,975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1,158,507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(54,818)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(73,652)</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(5,113)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266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(74,976)</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(129,794)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617</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F-45</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642,327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311,032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1,449,365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(152,718)</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1,296,647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276,523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192,497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202,135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147,413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1,092,910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(3,907)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1,896</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(83,249)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(4,372)</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(4,218)</w:t>
            </w: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796</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(79,518)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(6,109)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F-46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2159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Non-guarantor</w:t>
            </w:r>
          </w:p>
        </w:tc>
        <w:tc>
          <w:tcPr>
            <w:tcW w:w="36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Subsidiaries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(loss)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income to net cash provided by (used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309,012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9,164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19,206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(25,021)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(14,274)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48,765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(6,886)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85,737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(244,904)</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(256,279)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(928,509)</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(20,698)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113,225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(57,317)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2159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38735"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38735"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20"/>
          </w:cols>
          <w:pgMar w:left="240" w:top="460" w:right="239" w:bottom="1440" w:gutter="0" w:footer="0" w:header="0"/>
          <w:type w:val="continuous"/>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(129,794)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(5,730)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w w:val="99"/>
              </w:rPr>
              <w:t>617</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165,121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5,113</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20,309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(38,691)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22,327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29,739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141,923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(7,395)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612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retentions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(1,128,089)</w:t>
            </w:r>
          </w:p>
        </w:tc>
        <w:tc>
          <w:tcPr>
            <w:tcW w:w="16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(1,129,525)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(26,161)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31,044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(31,664)</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(1,040,669)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(1,032,451)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(3,979)</w:t>
            </w: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875,505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(23,241)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146,556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38735"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38735"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459" w:right="239" w:bottom="1440" w:gutter="0" w:footer="0" w:header="0"/>
          <w:type w:val="continuous"/>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Issuers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0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$ 124,219</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(6,109)</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income (loss) to net cash provided by (used</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147,413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4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10,795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(4,218)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21,139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6,005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4,372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(41,744)</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(7,252)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35,963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7,642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320,801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(6,978)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w w:val="98"/>
              </w:rPr>
              <w:t>Capital expenditures, net of construction payables and retentions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(667,060)</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(11,420)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143,586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Deposits and other assets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(21,542)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(4,707)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(20,585)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(24,770)</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964</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(564,637)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(243,352)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(39,559)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543,460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(3,541)</w:t>
            </w: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296,567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52,731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93,825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$ 146,556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40" w:type="dxa"/>
            <w:vAlign w:val="bottom"/>
            <w:gridSpan w:val="4"/>
          </w:tcPr>
          <w:p>
            <w:pPr>
              <w:jc w:val="right"/>
              <w:ind w:right="1000"/>
              <w:spacing w:after="0"/>
              <w:rPr>
                <w:sz w:val="20"/>
                <w:szCs w:val="20"/>
                <w:color w:val="auto"/>
              </w:rPr>
            </w:pPr>
            <w:r>
              <w:rPr>
                <w:rFonts w:ascii="Arial" w:cs="Arial" w:eastAsia="Arial" w:hAnsi="Arial"/>
                <w:sz w:val="18"/>
                <w:szCs w:val="18"/>
                <w:color w:val="auto"/>
              </w:rPr>
              <w:t>F-49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-325755</wp:posOffset>
            </wp:positionV>
            <wp:extent cx="1270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2159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1270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38735"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2009 and 2008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2009</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$291,522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$312,959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$324,461</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$ 301,178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(58,383)</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(8,346)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(20,886)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(56,664)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(95,464)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(46,183)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(63,751)</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(104,472)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$287,601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$294,800</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$ 222,022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20,343</w:t>
            </w:r>
          </w:p>
        </w:tc>
        <w:tc>
          <w:tcPr>
            <w:tcW w:w="24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(332)</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(69,754)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(16,098)</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(90,007)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Events subsequent to the date of the auditors report (unaudited)</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On April 28, 2010, the Company completed an offer to exchange its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for a new series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(the “2020 Notes”). A total of $382 million in principal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were validly tendered. Included in this amount are $30 million of tendered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held by Wynn Resorts. Noteholders who validly tendered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840" w:type="dxa"/>
            <w:vAlign w:val="bottom"/>
            <w:gridSpan w:val="2"/>
          </w:tcPr>
          <w:p>
            <w:pPr>
              <w:jc w:val="center"/>
              <w:ind w:left="3161"/>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40" w:type="dxa"/>
            <w:vAlign w:val="bottom"/>
            <w:gridSpan w:val="2"/>
            <w:shd w:val="clear" w:color="auto" w:fill="CCEEFF"/>
          </w:tcPr>
          <w:p>
            <w:pPr>
              <w:jc w:val="center"/>
              <w:ind w:left="3141"/>
              <w:spacing w:after="0"/>
              <w:rPr>
                <w:sz w:val="20"/>
                <w:szCs w:val="20"/>
                <w:color w:val="auto"/>
              </w:rPr>
            </w:pPr>
            <w:r>
              <w:rPr>
                <w:rFonts w:ascii="Arial" w:cs="Arial" w:eastAsia="Arial" w:hAnsi="Arial"/>
                <w:sz w:val="18"/>
                <w:szCs w:val="18"/>
                <w:color w:val="auto"/>
                <w:w w:val="88"/>
              </w:rPr>
              <w:t>$ 65,414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12,438</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840" w:type="dxa"/>
            <w:vAlign w:val="bottom"/>
            <w:gridSpan w:val="2"/>
          </w:tcPr>
          <w:p>
            <w:pPr>
              <w:jc w:val="center"/>
              <w:ind w:left="3161"/>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40" w:type="dxa"/>
            <w:vAlign w:val="bottom"/>
            <w:gridSpan w:val="2"/>
            <w:shd w:val="clear" w:color="auto" w:fill="CCEEFF"/>
          </w:tcPr>
          <w:p>
            <w:pPr>
              <w:jc w:val="center"/>
              <w:ind w:left="3141"/>
              <w:spacing w:after="0"/>
              <w:rPr>
                <w:sz w:val="20"/>
                <w:szCs w:val="20"/>
                <w:color w:val="auto"/>
              </w:rPr>
            </w:pPr>
            <w:r>
              <w:rPr>
                <w:rFonts w:ascii="Arial" w:cs="Arial" w:eastAsia="Arial" w:hAnsi="Arial"/>
                <w:sz w:val="18"/>
                <w:szCs w:val="18"/>
                <w:color w:val="auto"/>
                <w:w w:val="88"/>
              </w:rPr>
              <w:t>$ 50,604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24,887</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w w:val="98"/>
              </w:rPr>
              <w:t>Description</w:t>
            </w:r>
          </w:p>
        </w:tc>
        <w:tc>
          <w:tcPr>
            <w:tcW w:w="3840" w:type="dxa"/>
            <w:vAlign w:val="bottom"/>
            <w:gridSpan w:val="2"/>
          </w:tcPr>
          <w:p>
            <w:pPr>
              <w:jc w:val="center"/>
              <w:ind w:left="3161"/>
              <w:spacing w:after="0"/>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40" w:type="dxa"/>
            <w:vAlign w:val="bottom"/>
            <w:gridSpan w:val="2"/>
            <w:shd w:val="clear" w:color="auto" w:fill="CCEEFF"/>
          </w:tcPr>
          <w:p>
            <w:pPr>
              <w:jc w:val="center"/>
              <w:ind w:left="3141"/>
              <w:spacing w:after="0"/>
              <w:rPr>
                <w:sz w:val="20"/>
                <w:szCs w:val="20"/>
                <w:color w:val="auto"/>
              </w:rPr>
            </w:pPr>
            <w:r>
              <w:rPr>
                <w:rFonts w:ascii="Arial" w:cs="Arial" w:eastAsia="Arial" w:hAnsi="Arial"/>
                <w:sz w:val="18"/>
                <w:szCs w:val="18"/>
                <w:color w:val="auto"/>
                <w:w w:val="88"/>
              </w:rPr>
              <w:t>$ 35,002</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21,139</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40" w:type="dxa"/>
            <w:vAlign w:val="bottom"/>
            <w:gridSpan w:val="2"/>
          </w:tcPr>
          <w:p>
            <w:pPr>
              <w:ind w:left="1940"/>
              <w:spacing w:after="0"/>
              <w:rPr>
                <w:sz w:val="20"/>
                <w:szCs w:val="20"/>
                <w:color w:val="auto"/>
              </w:rPr>
            </w:pPr>
            <w:r>
              <w:rPr>
                <w:rFonts w:ascii="Arial" w:cs="Arial" w:eastAsia="Arial" w:hAnsi="Arial"/>
                <w:sz w:val="18"/>
                <w:szCs w:val="18"/>
                <w:color w:val="auto"/>
              </w:rPr>
              <w:t>F-51</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LLC</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Capital Corp.</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Offer to Exchange $500,000,000 of their outstanding</w:t>
      </w:r>
    </w:p>
    <w:p>
      <w:pPr>
        <w:spacing w:after="0" w:line="98" w:lineRule="exact"/>
        <w:rPr>
          <w:sz w:val="20"/>
          <w:szCs w:val="20"/>
          <w:color w:val="auto"/>
        </w:rPr>
      </w:pPr>
    </w:p>
    <w:p>
      <w:pPr>
        <w:ind w:left="3880" w:right="3640" w:firstLine="76"/>
        <w:spacing w:after="0" w:line="343" w:lineRule="auto"/>
        <w:tabs>
          <w:tab w:leader="none" w:pos="4131" w:val="left"/>
        </w:tabs>
        <w:numPr>
          <w:ilvl w:val="0"/>
          <w:numId w:val="368"/>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AL9 and U98347 AE4) for</w:t>
      </w:r>
    </w:p>
    <w:p>
      <w:pPr>
        <w:spacing w:after="0" w:line="1" w:lineRule="exact"/>
        <w:rPr>
          <w:rFonts w:ascii="Arial" w:cs="Arial" w:eastAsia="Arial" w:hAnsi="Arial"/>
          <w:sz w:val="22"/>
          <w:szCs w:val="22"/>
          <w:b w:val="1"/>
          <w:bCs w:val="1"/>
          <w:color w:val="auto"/>
        </w:rPr>
      </w:pPr>
    </w:p>
    <w:p>
      <w:pPr>
        <w:ind w:left="4720" w:right="3700" w:hanging="764"/>
        <w:spacing w:after="0" w:line="340" w:lineRule="auto"/>
        <w:tabs>
          <w:tab w:leader="none" w:pos="4127" w:val="left"/>
        </w:tabs>
        <w:numPr>
          <w:ilvl w:val="0"/>
          <w:numId w:val="368"/>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 983130 AN5)</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And</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$382,010,000 of their outstanding</w:t>
      </w:r>
    </w:p>
    <w:p>
      <w:pPr>
        <w:spacing w:after="0" w:line="98" w:lineRule="exact"/>
        <w:rPr>
          <w:sz w:val="20"/>
          <w:szCs w:val="20"/>
          <w:color w:val="auto"/>
        </w:rPr>
      </w:pPr>
    </w:p>
    <w:p>
      <w:pPr>
        <w:ind w:left="3860" w:right="3620" w:firstLine="96"/>
        <w:spacing w:after="0" w:line="343" w:lineRule="auto"/>
        <w:tabs>
          <w:tab w:leader="none" w:pos="4135" w:val="left"/>
        </w:tabs>
        <w:numPr>
          <w:ilvl w:val="0"/>
          <w:numId w:val="369"/>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AM7 and U98347 AF1) for</w:t>
      </w:r>
    </w:p>
    <w:p>
      <w:pPr>
        <w:spacing w:after="0" w:line="1" w:lineRule="exact"/>
        <w:rPr>
          <w:rFonts w:ascii="Arial" w:cs="Arial" w:eastAsia="Arial" w:hAnsi="Arial"/>
          <w:sz w:val="22"/>
          <w:szCs w:val="22"/>
          <w:b w:val="1"/>
          <w:bCs w:val="1"/>
          <w:color w:val="auto"/>
        </w:rPr>
      </w:pPr>
    </w:p>
    <w:p>
      <w:pPr>
        <w:ind w:left="4140" w:hanging="184"/>
        <w:spacing w:after="0"/>
        <w:tabs>
          <w:tab w:leader="none" w:pos="4140" w:val="left"/>
        </w:tabs>
        <w:numPr>
          <w:ilvl w:val="0"/>
          <w:numId w:val="369"/>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(CUSIP 983130 AP0)</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24662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August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October 31, 2010,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80"/>
      </w:cols>
      <w:pgMar w:left="240" w:top="46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B4B8B53"/>
    <w:multiLevelType w:val="hybridMultilevel"/>
    <w:lvl w:ilvl="0">
      <w:lvlJc w:val="left"/>
      <w:lvlText w:val="7"/>
      <w:numFmt w:val="bullet"/>
      <w:start w:val="1"/>
    </w:lvl>
  </w:abstractNum>
  <w:abstractNum w:abstractNumId="1">
    <w:nsid w:val="72E3413A"/>
    <w:multiLevelType w:val="hybridMultilevel"/>
    <w:lvl w:ilvl="0">
      <w:lvlJc w:val="left"/>
      <w:lvlText w:val="7"/>
      <w:numFmt w:val="bullet"/>
      <w:start w:val="1"/>
    </w:lvl>
  </w:abstractNum>
  <w:abstractNum w:abstractNumId="2">
    <w:nsid w:val="116AE494"/>
    <w:multiLevelType w:val="hybridMultilevel"/>
    <w:lvl w:ilvl="0">
      <w:lvlJc w:val="left"/>
      <w:lvlText w:val="•"/>
      <w:numFmt w:val="bullet"/>
      <w:start w:val="1"/>
    </w:lvl>
  </w:abstractNum>
  <w:abstractNum w:abstractNumId="3">
    <w:nsid w:val="3494B2FB"/>
    <w:multiLevelType w:val="hybridMultilevel"/>
    <w:lvl w:ilvl="0">
      <w:lvlJc w:val="left"/>
      <w:lvlText w:val="•"/>
      <w:numFmt w:val="bullet"/>
      <w:start w:val="1"/>
    </w:lvl>
  </w:abstractNum>
  <w:abstractNum w:abstractNumId="4">
    <w:nsid w:val="B13A31"/>
    <w:multiLevelType w:val="hybridMultilevel"/>
    <w:lvl w:ilvl="0">
      <w:lvlJc w:val="left"/>
      <w:lvlText w:val="•"/>
      <w:numFmt w:val="bullet"/>
      <w:start w:val="1"/>
    </w:lvl>
  </w:abstractNum>
  <w:abstractNum w:abstractNumId="5">
    <w:nsid w:val="64429599"/>
    <w:multiLevelType w:val="hybridMultilevel"/>
    <w:lvl w:ilvl="0">
      <w:lvlJc w:val="left"/>
      <w:lvlText w:val="•"/>
      <w:numFmt w:val="bullet"/>
      <w:start w:val="1"/>
    </w:lvl>
  </w:abstractNum>
  <w:abstractNum w:abstractNumId="6">
    <w:nsid w:val="631F1690"/>
    <w:multiLevelType w:val="hybridMultilevel"/>
    <w:lvl w:ilvl="0">
      <w:lvlJc w:val="left"/>
      <w:lvlText w:val="•"/>
      <w:numFmt w:val="bullet"/>
      <w:start w:val="1"/>
    </w:lvl>
  </w:abstractNum>
  <w:abstractNum w:abstractNumId="7">
    <w:nsid w:val="25973E32"/>
    <w:multiLevelType w:val="hybridMultilevel"/>
    <w:lvl w:ilvl="0">
      <w:lvlJc w:val="left"/>
      <w:lvlText w:val="•"/>
      <w:numFmt w:val="bullet"/>
      <w:start w:val="1"/>
    </w:lvl>
  </w:abstractNum>
  <w:abstractNum w:abstractNumId="8">
    <w:nsid w:val="EAD6F57"/>
    <w:multiLevelType w:val="hybridMultilevel"/>
    <w:lvl w:ilvl="0">
      <w:lvlJc w:val="left"/>
      <w:lvlText w:val="•"/>
      <w:numFmt w:val="bullet"/>
      <w:start w:val="1"/>
    </w:lvl>
  </w:abstractNum>
  <w:abstractNum w:abstractNumId="9">
    <w:nsid w:val="6EC9D844"/>
    <w:multiLevelType w:val="hybridMultilevel"/>
    <w:lvl w:ilvl="0">
      <w:lvlJc w:val="left"/>
      <w:lvlText w:val="•"/>
      <w:numFmt w:val="bullet"/>
      <w:start w:val="1"/>
    </w:lvl>
    <w:lvl w:ilvl="1">
      <w:lvlJc w:val="left"/>
      <w:lvlText w:val="•"/>
      <w:numFmt w:val="bullet"/>
      <w:start w:val="1"/>
    </w:lvl>
  </w:abstractNum>
  <w:abstractNum w:abstractNumId="10">
    <w:nsid w:val="5C49EAEE"/>
    <w:multiLevelType w:val="hybridMultilevel"/>
    <w:lvl w:ilvl="0">
      <w:lvlJc w:val="left"/>
      <w:lvlText w:val="•"/>
      <w:numFmt w:val="bullet"/>
      <w:start w:val="1"/>
    </w:lvl>
  </w:abstractNum>
  <w:abstractNum w:abstractNumId="11">
    <w:nsid w:val="64AF49B"/>
    <w:multiLevelType w:val="hybridMultilevel"/>
    <w:lvl w:ilvl="0">
      <w:lvlJc w:val="left"/>
      <w:lvlText w:val="•"/>
      <w:numFmt w:val="bullet"/>
      <w:start w:val="1"/>
    </w:lvl>
  </w:abstractNum>
  <w:abstractNum w:abstractNumId="12">
    <w:nsid w:val="397C46BC"/>
    <w:multiLevelType w:val="hybridMultilevel"/>
    <w:lvl w:ilvl="0">
      <w:lvlJc w:val="left"/>
      <w:lvlText w:val="(%1)"/>
      <w:numFmt w:val="lowerRoman"/>
      <w:start w:val="2"/>
    </w:lvl>
  </w:abstractNum>
  <w:abstractNum w:abstractNumId="13">
    <w:nsid w:val="7E448DE9"/>
    <w:multiLevelType w:val="hybridMultilevel"/>
    <w:lvl w:ilvl="0">
      <w:lvlJc w:val="left"/>
      <w:lvlText w:val="•"/>
      <w:numFmt w:val="bullet"/>
      <w:start w:val="1"/>
    </w:lvl>
  </w:abstractNum>
  <w:abstractNum w:abstractNumId="14">
    <w:nsid w:val="5A9CC3E5"/>
    <w:multiLevelType w:val="hybridMultilevel"/>
    <w:lvl w:ilvl="0">
      <w:lvlJc w:val="left"/>
      <w:lvlText w:val="•"/>
      <w:numFmt w:val="bullet"/>
      <w:start w:val="1"/>
    </w:lvl>
    <w:lvl w:ilvl="1">
      <w:lvlJc w:val="left"/>
      <w:lvlText w:val="•"/>
      <w:numFmt w:val="bullet"/>
      <w:start w:val="1"/>
    </w:lvl>
  </w:abstractNum>
  <w:abstractNum w:abstractNumId="15">
    <w:nsid w:val="1AFE3625"/>
    <w:multiLevelType w:val="hybridMultilevel"/>
    <w:lvl w:ilvl="0">
      <w:lvlJc w:val="left"/>
      <w:lvlText w:val="•"/>
      <w:numFmt w:val="bullet"/>
      <w:start w:val="1"/>
    </w:lvl>
  </w:abstractNum>
  <w:abstractNum w:abstractNumId="16">
    <w:nsid w:val="3CA88ECF"/>
    <w:multiLevelType w:val="hybridMultilevel"/>
    <w:lvl w:ilvl="0">
      <w:lvlJc w:val="left"/>
      <w:lvlText w:val="•"/>
      <w:numFmt w:val="bullet"/>
      <w:start w:val="1"/>
    </w:lvl>
  </w:abstractNum>
  <w:abstractNum w:abstractNumId="17">
    <w:nsid w:val="6EBE4208"/>
    <w:multiLevelType w:val="hybridMultilevel"/>
    <w:lvl w:ilvl="0">
      <w:lvlJc w:val="left"/>
      <w:lvlText w:val="•"/>
      <w:numFmt w:val="bullet"/>
      <w:start w:val="1"/>
    </w:lvl>
  </w:abstractNum>
  <w:abstractNum w:abstractNumId="18">
    <w:nsid w:val="C058DF5"/>
    <w:multiLevelType w:val="hybridMultilevel"/>
    <w:lvl w:ilvl="0">
      <w:lvlJc w:val="left"/>
      <w:lvlText w:val="•"/>
      <w:numFmt w:val="bullet"/>
      <w:start w:val="1"/>
    </w:lvl>
    <w:lvl w:ilvl="1">
      <w:lvlJc w:val="left"/>
      <w:lvlText w:val="•"/>
      <w:numFmt w:val="bullet"/>
      <w:start w:val="1"/>
    </w:lvl>
  </w:abstractNum>
  <w:abstractNum w:abstractNumId="19">
    <w:nsid w:val="CBE5BE9"/>
    <w:multiLevelType w:val="hybridMultilevel"/>
    <w:lvl w:ilvl="0">
      <w:lvlJc w:val="left"/>
      <w:lvlText w:val="•"/>
      <w:numFmt w:val="bullet"/>
      <w:start w:val="1"/>
    </w:lvl>
  </w:abstractNum>
  <w:abstractNum w:abstractNumId="20">
    <w:nsid w:val="3102BBE2"/>
    <w:multiLevelType w:val="hybridMultilevel"/>
    <w:lvl w:ilvl="0">
      <w:lvlJc w:val="left"/>
      <w:lvlText w:val="•"/>
      <w:numFmt w:val="bullet"/>
      <w:start w:val="1"/>
    </w:lvl>
  </w:abstractNum>
  <w:abstractNum w:abstractNumId="21">
    <w:nsid w:val="26A02C5E"/>
    <w:multiLevelType w:val="hybridMultilevel"/>
    <w:lvl w:ilvl="0">
      <w:lvlJc w:val="left"/>
      <w:lvlText w:val="(%1)"/>
      <w:numFmt w:val="decimal"/>
      <w:start w:val="1"/>
    </w:lvl>
  </w:abstractNum>
  <w:abstractNum w:abstractNumId="22">
    <w:nsid w:val="541C8153"/>
    <w:multiLevelType w:val="hybridMultilevel"/>
    <w:lvl w:ilvl="0">
      <w:lvlJc w:val="left"/>
      <w:lvlText w:val="•"/>
      <w:numFmt w:val="bullet"/>
      <w:start w:val="1"/>
    </w:lvl>
  </w:abstractNum>
  <w:abstractNum w:abstractNumId="23">
    <w:nsid w:val="67906F60"/>
    <w:multiLevelType w:val="hybridMultilevel"/>
    <w:lvl w:ilvl="0">
      <w:lvlJc w:val="left"/>
      <w:lvlText w:val="(%1)"/>
      <w:numFmt w:val="decimal"/>
      <w:start w:val="1"/>
    </w:lvl>
  </w:abstractNum>
  <w:abstractNum w:abstractNumId="24">
    <w:nsid w:val="10DB9DAA"/>
    <w:multiLevelType w:val="hybridMultilevel"/>
    <w:lvl w:ilvl="0">
      <w:lvlJc w:val="left"/>
      <w:lvlText w:val="(%1)"/>
      <w:numFmt w:val="decimal"/>
      <w:start w:val="1"/>
    </w:lvl>
  </w:abstractNum>
  <w:abstractNum w:abstractNumId="25">
    <w:nsid w:val="697D2D2"/>
    <w:multiLevelType w:val="hybridMultilevel"/>
    <w:lvl w:ilvl="0">
      <w:lvlJc w:val="left"/>
      <w:lvlText w:val="•"/>
      <w:numFmt w:val="bullet"/>
      <w:start w:val="1"/>
    </w:lvl>
  </w:abstractNum>
  <w:abstractNum w:abstractNumId="26">
    <w:nsid w:val="6D68AB2"/>
    <w:multiLevelType w:val="hybridMultilevel"/>
    <w:lvl w:ilvl="0">
      <w:lvlJc w:val="left"/>
      <w:lvlText w:val="•"/>
      <w:numFmt w:val="bullet"/>
      <w:start w:val="1"/>
    </w:lvl>
  </w:abstractNum>
  <w:abstractNum w:abstractNumId="27">
    <w:nsid w:val="3A966CD0"/>
    <w:multiLevelType w:val="hybridMultilevel"/>
    <w:lvl w:ilvl="0">
      <w:lvlJc w:val="left"/>
      <w:lvlText w:val="•"/>
      <w:numFmt w:val="bullet"/>
      <w:start w:val="1"/>
    </w:lvl>
  </w:abstractNum>
  <w:abstractNum w:abstractNumId="28">
    <w:nsid w:val="63F37E85"/>
    <w:multiLevelType w:val="hybridMultilevel"/>
    <w:lvl w:ilvl="0">
      <w:lvlJc w:val="left"/>
      <w:lvlText w:val="•"/>
      <w:numFmt w:val="bullet"/>
      <w:start w:val="1"/>
    </w:lvl>
  </w:abstractNum>
  <w:abstractNum w:abstractNumId="29">
    <w:nsid w:val="5895F5FA"/>
    <w:multiLevelType w:val="hybridMultilevel"/>
    <w:lvl w:ilvl="0">
      <w:lvlJc w:val="left"/>
      <w:lvlText w:val="(%1)"/>
      <w:numFmt w:val="decimal"/>
      <w:start w:val="1"/>
    </w:lvl>
  </w:abstractNum>
  <w:abstractNum w:abstractNumId="30">
    <w:nsid w:val="38A5D054"/>
    <w:multiLevelType w:val="hybridMultilevel"/>
    <w:lvl w:ilvl="0">
      <w:lvlJc w:val="left"/>
      <w:lvlText w:val="%1"/>
      <w:numFmt w:val="upperLetter"/>
      <w:start w:val="53"/>
    </w:lvl>
  </w:abstractNum>
  <w:abstractNum w:abstractNumId="31">
    <w:nsid w:val="F3F09D8"/>
    <w:multiLevelType w:val="hybridMultilevel"/>
    <w:lvl w:ilvl="0">
      <w:lvlJc w:val="left"/>
      <w:lvlText w:val="•"/>
      <w:numFmt w:val="bullet"/>
      <w:start w:val="1"/>
    </w:lvl>
  </w:abstractNum>
  <w:abstractNum w:abstractNumId="32">
    <w:nsid w:val="4B793735"/>
    <w:multiLevelType w:val="hybridMultilevel"/>
    <w:lvl w:ilvl="0">
      <w:lvlJc w:val="left"/>
      <w:lvlText w:val="•"/>
      <w:numFmt w:val="bullet"/>
      <w:start w:val="1"/>
    </w:lvl>
  </w:abstractNum>
  <w:abstractNum w:abstractNumId="33">
    <w:nsid w:val="4A10B4E8"/>
    <w:multiLevelType w:val="hybridMultilevel"/>
    <w:lvl w:ilvl="0">
      <w:lvlJc w:val="left"/>
      <w:lvlText w:val="•"/>
      <w:numFmt w:val="bullet"/>
      <w:start w:val="1"/>
    </w:lvl>
  </w:abstractNum>
  <w:abstractNum w:abstractNumId="34">
    <w:nsid w:val="43D3BCD4"/>
    <w:multiLevelType w:val="hybridMultilevel"/>
    <w:lvl w:ilvl="0">
      <w:lvlJc w:val="left"/>
      <w:lvlText w:val="•"/>
      <w:numFmt w:val="bullet"/>
      <w:start w:val="1"/>
    </w:lvl>
  </w:abstractNum>
  <w:abstractNum w:abstractNumId="35">
    <w:nsid w:val="4C2A7166"/>
    <w:multiLevelType w:val="hybridMultilevel"/>
    <w:lvl w:ilvl="0">
      <w:lvlJc w:val="left"/>
      <w:lvlText w:val="•"/>
      <w:numFmt w:val="bullet"/>
      <w:start w:val="1"/>
    </w:lvl>
  </w:abstractNum>
  <w:abstractNum w:abstractNumId="36">
    <w:nsid w:val="2E534A82"/>
    <w:multiLevelType w:val="hybridMultilevel"/>
    <w:lvl w:ilvl="0">
      <w:lvlJc w:val="left"/>
      <w:lvlText w:val="•"/>
      <w:numFmt w:val="bullet"/>
      <w:start w:val="1"/>
    </w:lvl>
  </w:abstractNum>
  <w:abstractNum w:abstractNumId="37">
    <w:nsid w:val="26F2D364"/>
    <w:multiLevelType w:val="hybridMultilevel"/>
    <w:lvl w:ilvl="0">
      <w:lvlJc w:val="left"/>
      <w:lvlText w:val="•"/>
      <w:numFmt w:val="bullet"/>
      <w:start w:val="1"/>
    </w:lvl>
  </w:abstractNum>
  <w:abstractNum w:abstractNumId="38">
    <w:nsid w:val="71C1AF98"/>
    <w:multiLevelType w:val="hybridMultilevel"/>
    <w:lvl w:ilvl="0">
      <w:lvlJc w:val="left"/>
      <w:lvlText w:val="(%1)"/>
      <w:numFmt w:val="decimal"/>
      <w:start w:val="1"/>
    </w:lvl>
    <w:lvl w:ilvl="1">
      <w:lvlJc w:val="left"/>
      <w:lvlText w:val="(%2)"/>
      <w:numFmt w:val="lowerRoman"/>
      <w:start w:val="1"/>
    </w:lvl>
  </w:abstractNum>
  <w:abstractNum w:abstractNumId="39">
    <w:nsid w:val="3D00B9D9"/>
    <w:multiLevelType w:val="hybridMultilevel"/>
    <w:lvl w:ilvl="0">
      <w:lvlJc w:val="left"/>
      <w:lvlText w:val="(%1)"/>
      <w:numFmt w:val="decimal"/>
      <w:start w:val="4"/>
    </w:lvl>
  </w:abstractNum>
  <w:abstractNum w:abstractNumId="40">
    <w:nsid w:val="15BCABA8"/>
    <w:multiLevelType w:val="hybridMultilevel"/>
    <w:lvl w:ilvl="0">
      <w:lvlJc w:val="left"/>
      <w:lvlText w:val="(%1)"/>
      <w:numFmt w:val="decimal"/>
      <w:start w:val="1"/>
    </w:lvl>
    <w:lvl w:ilvl="1">
      <w:lvlJc w:val="left"/>
      <w:lvlText w:val="(%2)"/>
      <w:numFmt w:val="lowerRoman"/>
      <w:start w:val="1"/>
    </w:lvl>
  </w:abstractNum>
  <w:abstractNum w:abstractNumId="41">
    <w:nsid w:val="4E0B9A87"/>
    <w:multiLevelType w:val="hybridMultilevel"/>
    <w:lvl w:ilvl="0">
      <w:lvlJc w:val="left"/>
      <w:lvlText w:val="(%1)"/>
      <w:numFmt w:val="lowerRoman"/>
      <w:start w:val="1"/>
    </w:lvl>
  </w:abstractNum>
  <w:abstractNum w:abstractNumId="42">
    <w:nsid w:val="434BAE75"/>
    <w:multiLevelType w:val="hybridMultilevel"/>
    <w:lvl w:ilvl="0">
      <w:lvlJc w:val="left"/>
      <w:lvlText w:val="(%1)"/>
      <w:numFmt w:val="lowerRoman"/>
      <w:start w:val="1"/>
    </w:lvl>
  </w:abstractNum>
  <w:abstractNum w:abstractNumId="43">
    <w:nsid w:val="4F38F265"/>
    <w:multiLevelType w:val="hybridMultilevel"/>
    <w:lvl w:ilvl="0">
      <w:lvlJc w:val="left"/>
      <w:lvlText w:val="(%1)"/>
      <w:numFmt w:val="lowerRoman"/>
      <w:start w:val="1"/>
    </w:lvl>
  </w:abstractNum>
  <w:abstractNum w:abstractNumId="44">
    <w:nsid w:val="4C502870"/>
    <w:multiLevelType w:val="hybridMultilevel"/>
    <w:lvl w:ilvl="0">
      <w:lvlJc w:val="left"/>
      <w:lvlText w:val="(%1)"/>
      <w:numFmt w:val="lowerRoman"/>
      <w:start w:val="1"/>
    </w:lvl>
  </w:abstractNum>
  <w:abstractNum w:abstractNumId="45">
    <w:nsid w:val="1DE8725A"/>
    <w:multiLevelType w:val="hybridMultilevel"/>
    <w:lvl w:ilvl="0">
      <w:lvlJc w:val="left"/>
      <w:lvlText w:val="(%1)"/>
      <w:numFmt w:val="decimal"/>
      <w:start w:val="1"/>
    </w:lvl>
  </w:abstractNum>
  <w:abstractNum w:abstractNumId="46">
    <w:nsid w:val="6A37288A"/>
    <w:multiLevelType w:val="hybridMultilevel"/>
    <w:lvl w:ilvl="0">
      <w:lvlJc w:val="left"/>
      <w:lvlText w:val="(%1)"/>
      <w:numFmt w:val="decimal"/>
      <w:start w:val="1"/>
    </w:lvl>
    <w:lvl w:ilvl="1">
      <w:lvlJc w:val="left"/>
      <w:lvlText w:val="%2."/>
      <w:numFmt w:val="lowerLetter"/>
      <w:start w:val="1"/>
    </w:lvl>
  </w:abstractNum>
  <w:abstractNum w:abstractNumId="47">
    <w:nsid w:val="8F8B73F"/>
    <w:multiLevelType w:val="hybridMultilevel"/>
    <w:lvl w:ilvl="0">
      <w:lvlJc w:val="left"/>
      <w:lvlText w:val="(%1)"/>
      <w:numFmt w:val="decimal"/>
      <w:start w:val="3"/>
    </w:lvl>
    <w:lvl w:ilvl="1">
      <w:lvlJc w:val="left"/>
      <w:lvlText w:val="%2."/>
      <w:numFmt w:val="lowerLetter"/>
      <w:start w:val="1"/>
    </w:lvl>
  </w:abstractNum>
  <w:abstractNum w:abstractNumId="48">
    <w:nsid w:val="CA6B462"/>
    <w:multiLevelType w:val="hybridMultilevel"/>
    <w:lvl w:ilvl="0">
      <w:lvlJc w:val="left"/>
      <w:lvlText w:val="(%1)"/>
      <w:numFmt w:val="lowerRoman"/>
      <w:start w:val="3"/>
    </w:lvl>
  </w:abstractNum>
  <w:abstractNum w:abstractNumId="49">
    <w:nsid w:val="763CB680"/>
    <w:multiLevelType w:val="hybridMultilevel"/>
    <w:lvl w:ilvl="0">
      <w:lvlJc w:val="left"/>
      <w:lvlText w:val="(%1)"/>
      <w:numFmt w:val="decimal"/>
      <w:start w:val="1"/>
    </w:lvl>
  </w:abstractNum>
  <w:abstractNum w:abstractNumId="50">
    <w:nsid w:val="15B71329"/>
    <w:multiLevelType w:val="hybridMultilevel"/>
    <w:lvl w:ilvl="0">
      <w:lvlJc w:val="left"/>
      <w:lvlText w:val="(%1)"/>
      <w:numFmt w:val="decimal"/>
      <w:start w:val="1"/>
    </w:lvl>
  </w:abstractNum>
  <w:abstractNum w:abstractNumId="51">
    <w:nsid w:val="3DA97044"/>
    <w:multiLevelType w:val="hybridMultilevel"/>
    <w:lvl w:ilvl="0">
      <w:lvlJc w:val="left"/>
      <w:lvlText w:val="(%1)"/>
      <w:numFmt w:val="decimal"/>
      <w:start w:val="1"/>
    </w:lvl>
  </w:abstractNum>
  <w:abstractNum w:abstractNumId="52">
    <w:nsid w:val="1CDCE2DE"/>
    <w:multiLevelType w:val="hybridMultilevel"/>
    <w:lvl w:ilvl="0">
      <w:lvlJc w:val="left"/>
      <w:lvlText w:val="(%1)"/>
      <w:numFmt w:val="decimal"/>
      <w:start w:val="1"/>
    </w:lvl>
  </w:abstractNum>
  <w:abstractNum w:abstractNumId="53">
    <w:nsid w:val="69D3947C"/>
    <w:multiLevelType w:val="hybridMultilevel"/>
    <w:lvl w:ilvl="0">
      <w:lvlJc w:val="left"/>
      <w:lvlText w:val="(%1)"/>
      <w:numFmt w:val="decimal"/>
      <w:start w:val="2"/>
    </w:lvl>
  </w:abstractNum>
  <w:abstractNum w:abstractNumId="54">
    <w:nsid w:val="2539DFA5"/>
    <w:multiLevelType w:val="hybridMultilevel"/>
    <w:lvl w:ilvl="0">
      <w:lvlJc w:val="left"/>
      <w:lvlText w:val="(%1)"/>
      <w:numFmt w:val="decimal"/>
      <w:start w:val="1"/>
    </w:lvl>
  </w:abstractNum>
  <w:abstractNum w:abstractNumId="55">
    <w:nsid w:val="2DB88089"/>
    <w:multiLevelType w:val="hybridMultilevel"/>
    <w:lvl w:ilvl="0">
      <w:lvlJc w:val="left"/>
      <w:lvlText w:val="(%1)"/>
      <w:numFmt w:val="decimal"/>
      <w:start w:val="1"/>
    </w:lvl>
  </w:abstractNum>
  <w:abstractNum w:abstractNumId="56">
    <w:nsid w:val="706B674E"/>
    <w:multiLevelType w:val="hybridMultilevel"/>
    <w:lvl w:ilvl="0">
      <w:lvlJc w:val="left"/>
      <w:lvlText w:val="*"/>
      <w:numFmt w:val="bullet"/>
      <w:start w:val="1"/>
    </w:lvl>
  </w:abstractNum>
  <w:abstractNum w:abstractNumId="57">
    <w:nsid w:val="2C106A57"/>
    <w:multiLevelType w:val="hybridMultilevel"/>
    <w:lvl w:ilvl="0">
      <w:lvlJc w:val="left"/>
      <w:lvlText w:val="(%1)"/>
      <w:numFmt w:val="decimal"/>
      <w:start w:val="1"/>
    </w:lvl>
  </w:abstractNum>
  <w:abstractNum w:abstractNumId="58">
    <w:nsid w:val="684EED59"/>
    <w:multiLevelType w:val="hybridMultilevel"/>
    <w:lvl w:ilvl="0">
      <w:lvlJc w:val="left"/>
      <w:lvlText w:val="(%1)"/>
      <w:numFmt w:val="decimal"/>
      <w:start w:val="2"/>
    </w:lvl>
  </w:abstractNum>
  <w:abstractNum w:abstractNumId="59">
    <w:nsid w:val="545EE5D3"/>
    <w:multiLevelType w:val="hybridMultilevel"/>
    <w:lvl w:ilvl="0">
      <w:lvlJc w:val="left"/>
      <w:lvlText w:val="(%1)"/>
      <w:numFmt w:val="decimal"/>
      <w:start w:val="14"/>
    </w:lvl>
  </w:abstractNum>
  <w:abstractNum w:abstractNumId="60">
    <w:nsid w:val="4A66051"/>
    <w:multiLevelType w:val="hybridMultilevel"/>
    <w:lvl w:ilvl="0">
      <w:lvlJc w:val="left"/>
      <w:lvlText w:val="(%1)"/>
      <w:numFmt w:val="lowerLetter"/>
      <w:start w:val="2"/>
    </w:lvl>
  </w:abstractNum>
  <w:abstractNum w:abstractNumId="61">
    <w:nsid w:val="20F4BDAD"/>
    <w:multiLevelType w:val="hybridMultilevel"/>
    <w:lvl w:ilvl="0">
      <w:lvlJc w:val="left"/>
      <w:lvlText w:val="(%1)"/>
      <w:numFmt w:val="lowerLetter"/>
      <w:start w:val="2"/>
    </w:lvl>
  </w:abstractNum>
  <w:abstractNum w:abstractNumId="62">
    <w:nsid w:val="639DEFAC"/>
    <w:multiLevelType w:val="hybridMultilevel"/>
    <w:lvl w:ilvl="0">
      <w:lvlJc w:val="left"/>
      <w:lvlText w:val="•"/>
      <w:numFmt w:val="bullet"/>
      <w:start w:val="1"/>
    </w:lvl>
  </w:abstractNum>
  <w:abstractNum w:abstractNumId="63">
    <w:nsid w:val="501F9786"/>
    <w:multiLevelType w:val="hybridMultilevel"/>
    <w:lvl w:ilvl="0">
      <w:lvlJc w:val="left"/>
      <w:lvlText w:val="•"/>
      <w:numFmt w:val="bullet"/>
      <w:start w:val="1"/>
    </w:lvl>
  </w:abstractNum>
  <w:abstractNum w:abstractNumId="64">
    <w:nsid w:val="6B057295"/>
    <w:multiLevelType w:val="hybridMultilevel"/>
    <w:lvl w:ilvl="0">
      <w:lvlJc w:val="left"/>
      <w:lvlText w:val="•"/>
      <w:numFmt w:val="bullet"/>
      <w:start w:val="1"/>
    </w:lvl>
  </w:abstractNum>
  <w:abstractNum w:abstractNumId="65">
    <w:nsid w:val="2771AC80"/>
    <w:multiLevelType w:val="hybridMultilevel"/>
    <w:lvl w:ilvl="0">
      <w:lvlJc w:val="left"/>
      <w:lvlText w:val="•"/>
      <w:numFmt w:val="bullet"/>
      <w:start w:val="1"/>
    </w:lvl>
  </w:abstractNum>
  <w:abstractNum w:abstractNumId="66">
    <w:nsid w:val="1C4A08EC"/>
    <w:multiLevelType w:val="hybridMultilevel"/>
    <w:lvl w:ilvl="0">
      <w:lvlJc w:val="left"/>
      <w:lvlText w:val="•"/>
      <w:numFmt w:val="bullet"/>
      <w:start w:val="1"/>
    </w:lvl>
  </w:abstractNum>
  <w:abstractNum w:abstractNumId="67">
    <w:nsid w:val="1958BD17"/>
    <w:multiLevelType w:val="hybridMultilevel"/>
    <w:lvl w:ilvl="0">
      <w:lvlJc w:val="left"/>
      <w:lvlText w:val="•"/>
      <w:numFmt w:val="bullet"/>
      <w:start w:val="1"/>
    </w:lvl>
  </w:abstractNum>
  <w:abstractNum w:abstractNumId="68">
    <w:nsid w:val="4E647FE4"/>
    <w:multiLevelType w:val="hybridMultilevel"/>
    <w:lvl w:ilvl="0">
      <w:lvlJc w:val="left"/>
      <w:lvlText w:val="•"/>
      <w:numFmt w:val="bullet"/>
      <w:start w:val="1"/>
    </w:lvl>
  </w:abstractNum>
  <w:abstractNum w:abstractNumId="69">
    <w:nsid w:val="E0BB885"/>
    <w:multiLevelType w:val="hybridMultilevel"/>
    <w:lvl w:ilvl="0">
      <w:lvlJc w:val="left"/>
      <w:lvlText w:val="•"/>
      <w:numFmt w:val="bullet"/>
      <w:start w:val="1"/>
    </w:lvl>
  </w:abstractNum>
  <w:abstractNum w:abstractNumId="70">
    <w:nsid w:val="565976F1"/>
    <w:multiLevelType w:val="hybridMultilevel"/>
    <w:lvl w:ilvl="0">
      <w:lvlJc w:val="left"/>
      <w:lvlText w:val="•"/>
      <w:numFmt w:val="bullet"/>
      <w:start w:val="1"/>
    </w:lvl>
  </w:abstractNum>
  <w:abstractNum w:abstractNumId="71">
    <w:nsid w:val="64212B8C"/>
    <w:multiLevelType w:val="hybridMultilevel"/>
    <w:lvl w:ilvl="0">
      <w:lvlJc w:val="left"/>
      <w:lvlText w:val="•"/>
      <w:numFmt w:val="bullet"/>
      <w:start w:val="1"/>
    </w:lvl>
  </w:abstractNum>
  <w:abstractNum w:abstractNumId="72">
    <w:nsid w:val="5C17530C"/>
    <w:multiLevelType w:val="hybridMultilevel"/>
    <w:lvl w:ilvl="0">
      <w:lvlJc w:val="left"/>
      <w:lvlText w:val="•"/>
      <w:numFmt w:val="bullet"/>
      <w:start w:val="1"/>
    </w:lvl>
  </w:abstractNum>
  <w:abstractNum w:abstractNumId="73">
    <w:nsid w:val="19A52566"/>
    <w:multiLevelType w:val="hybridMultilevel"/>
    <w:lvl w:ilvl="0">
      <w:lvlJc w:val="left"/>
      <w:lvlText w:val="•"/>
      <w:numFmt w:val="bullet"/>
      <w:start w:val="1"/>
    </w:lvl>
  </w:abstractNum>
  <w:abstractNum w:abstractNumId="74">
    <w:nsid w:val="335A1DF1"/>
    <w:multiLevelType w:val="hybridMultilevel"/>
    <w:lvl w:ilvl="0">
      <w:lvlJc w:val="left"/>
      <w:lvlText w:val="•"/>
      <w:numFmt w:val="bullet"/>
      <w:start w:val="1"/>
    </w:lvl>
  </w:abstractNum>
  <w:abstractNum w:abstractNumId="75">
    <w:nsid w:val="28677B7C"/>
    <w:multiLevelType w:val="hybridMultilevel"/>
    <w:lvl w:ilvl="0">
      <w:lvlJc w:val="left"/>
      <w:lvlText w:val="•"/>
      <w:numFmt w:val="bullet"/>
      <w:start w:val="1"/>
    </w:lvl>
  </w:abstractNum>
  <w:abstractNum w:abstractNumId="76">
    <w:nsid w:val="378D97C0"/>
    <w:multiLevelType w:val="hybridMultilevel"/>
    <w:lvl w:ilvl="0">
      <w:lvlJc w:val="left"/>
      <w:lvlText w:val="•"/>
      <w:numFmt w:val="bullet"/>
      <w:start w:val="1"/>
    </w:lvl>
  </w:abstractNum>
  <w:abstractNum w:abstractNumId="77">
    <w:nsid w:val="1D91467C"/>
    <w:multiLevelType w:val="hybridMultilevel"/>
    <w:lvl w:ilvl="0">
      <w:lvlJc w:val="left"/>
      <w:lvlText w:val="•"/>
      <w:numFmt w:val="bullet"/>
      <w:start w:val="1"/>
    </w:lvl>
  </w:abstractNum>
  <w:abstractNum w:abstractNumId="78">
    <w:nsid w:val="316032BB"/>
    <w:multiLevelType w:val="hybridMultilevel"/>
    <w:lvl w:ilvl="0">
      <w:lvlJc w:val="left"/>
      <w:lvlText w:val="•"/>
      <w:numFmt w:val="bullet"/>
      <w:start w:val="1"/>
    </w:lvl>
  </w:abstractNum>
  <w:abstractNum w:abstractNumId="79">
    <w:nsid w:val="44344C22"/>
    <w:multiLevelType w:val="hybridMultilevel"/>
    <w:lvl w:ilvl="0">
      <w:lvlJc w:val="left"/>
      <w:lvlText w:val="(%1)"/>
      <w:numFmt w:val="decimal"/>
      <w:start w:val="1"/>
    </w:lvl>
    <w:lvl w:ilvl="1">
      <w:lvlJc w:val="left"/>
      <w:lvlText w:val="(%2)"/>
      <w:numFmt w:val="lowerLetter"/>
      <w:start w:val="1"/>
    </w:lvl>
  </w:abstractNum>
  <w:abstractNum w:abstractNumId="80">
    <w:nsid w:val="13CDFCFC"/>
    <w:multiLevelType w:val="hybridMultilevel"/>
    <w:lvl w:ilvl="0">
      <w:lvlJc w:val="left"/>
      <w:lvlText w:val="(%1)"/>
      <w:numFmt w:val="decimal"/>
      <w:start w:val="1"/>
    </w:lvl>
  </w:abstractNum>
  <w:abstractNum w:abstractNumId="81">
    <w:nsid w:val="471745E4"/>
    <w:multiLevelType w:val="hybridMultilevel"/>
    <w:lvl w:ilvl="0">
      <w:lvlJc w:val="left"/>
      <w:lvlText w:val="(%1)"/>
      <w:numFmt w:val="decimal"/>
      <w:start w:val="1"/>
    </w:lvl>
  </w:abstractNum>
  <w:abstractNum w:abstractNumId="82">
    <w:nsid w:val="1DDBC66"/>
    <w:multiLevelType w:val="hybridMultilevel"/>
    <w:lvl w:ilvl="0">
      <w:lvlJc w:val="left"/>
      <w:lvlText w:val="(%1)"/>
      <w:numFmt w:val="decimal"/>
      <w:start w:val="2"/>
    </w:lvl>
  </w:abstractNum>
  <w:abstractNum w:abstractNumId="83">
    <w:nsid w:val="30AADFDA"/>
    <w:multiLevelType w:val="hybridMultilevel"/>
    <w:lvl w:ilvl="0">
      <w:lvlJc w:val="left"/>
      <w:lvlText w:val="(%1)"/>
      <w:numFmt w:val="decimal"/>
      <w:start w:val="1"/>
    </w:lvl>
  </w:abstractNum>
  <w:abstractNum w:abstractNumId="84">
    <w:nsid w:val="30EADA61"/>
    <w:multiLevelType w:val="hybridMultilevel"/>
    <w:lvl w:ilvl="0">
      <w:lvlJc w:val="left"/>
      <w:lvlText w:val="(%1)"/>
      <w:numFmt w:val="decimal"/>
      <w:start w:val="1"/>
    </w:lvl>
  </w:abstractNum>
  <w:abstractNum w:abstractNumId="85">
    <w:nsid w:val="27179C0B"/>
    <w:multiLevelType w:val="hybridMultilevel"/>
    <w:lvl w:ilvl="0">
      <w:lvlJc w:val="left"/>
      <w:lvlText w:val="(%1)"/>
      <w:numFmt w:val="decimal"/>
      <w:start w:val="3"/>
    </w:lvl>
  </w:abstractNum>
  <w:abstractNum w:abstractNumId="86">
    <w:nsid w:val="5E636063"/>
    <w:multiLevelType w:val="hybridMultilevel"/>
    <w:lvl w:ilvl="0">
      <w:lvlJc w:val="left"/>
      <w:lvlText w:val="(%1)"/>
      <w:numFmt w:val="decimal"/>
      <w:start w:val="1"/>
    </w:lvl>
  </w:abstractNum>
  <w:abstractNum w:abstractNumId="87">
    <w:nsid w:val="215641AF"/>
    <w:multiLevelType w:val="hybridMultilevel"/>
    <w:lvl w:ilvl="0">
      <w:lvlJc w:val="left"/>
      <w:lvlText w:val="(%1)"/>
      <w:numFmt w:val="decimal"/>
      <w:start w:val="1"/>
    </w:lvl>
  </w:abstractNum>
  <w:abstractNum w:abstractNumId="88">
    <w:nsid w:val="53280662"/>
    <w:multiLevelType w:val="hybridMultilevel"/>
    <w:lvl w:ilvl="0">
      <w:lvlJc w:val="left"/>
      <w:lvlText w:val="%1"/>
      <w:numFmt w:val="upperLetter"/>
      <w:start w:val="1"/>
    </w:lvl>
    <w:lvl w:ilvl="1">
      <w:lvlJc w:val="left"/>
      <w:lvlText w:val="(%2)"/>
      <w:numFmt w:val="decimal"/>
      <w:start w:val="6"/>
    </w:lvl>
  </w:abstractNum>
  <w:abstractNum w:abstractNumId="89">
    <w:nsid w:val="46B24DBC"/>
    <w:multiLevelType w:val="hybridMultilevel"/>
    <w:lvl w:ilvl="0">
      <w:lvlJc w:val="left"/>
      <w:lvlText w:val="(%1)"/>
      <w:numFmt w:val="upperLetter"/>
      <w:start w:val="1"/>
    </w:lvl>
    <w:lvl w:ilvl="1">
      <w:lvlJc w:val="left"/>
      <w:lvlText w:val="(%2)"/>
      <w:numFmt w:val="decimal"/>
      <w:start w:val="7"/>
    </w:lvl>
  </w:abstractNum>
  <w:abstractNum w:abstractNumId="90">
    <w:nsid w:val="75B527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1">
    <w:nsid w:val="57CE66B4"/>
    <w:multiLevelType w:val="hybridMultilevel"/>
    <w:lvl w:ilvl="0">
      <w:lvlJc w:val="left"/>
      <w:lvlText w:val="(%1)"/>
      <w:numFmt w:val="decimal"/>
      <w:start w:val="1"/>
    </w:lvl>
  </w:abstractNum>
  <w:abstractNum w:abstractNumId="92">
    <w:nsid w:val="67A70B69"/>
    <w:multiLevelType w:val="hybridMultilevel"/>
    <w:lvl w:ilvl="0">
      <w:lvlJc w:val="left"/>
      <w:lvlText w:val="(%1)"/>
      <w:numFmt w:val="decimal"/>
      <w:start w:val="1"/>
    </w:lvl>
  </w:abstractNum>
  <w:abstractNum w:abstractNumId="93">
    <w:nsid w:val="5953172F"/>
    <w:multiLevelType w:val="hybridMultilevel"/>
    <w:lvl w:ilvl="0">
      <w:lvlJc w:val="left"/>
      <w:lvlText w:val="(%1)"/>
      <w:numFmt w:val="decimal"/>
      <w:start w:val="1"/>
    </w:lvl>
  </w:abstractNum>
  <w:abstractNum w:abstractNumId="94">
    <w:nsid w:val="27EDFE3A"/>
    <w:multiLevelType w:val="hybridMultilevel"/>
    <w:lvl w:ilvl="0">
      <w:lvlJc w:val="left"/>
      <w:lvlText w:val="(%1)"/>
      <w:numFmt w:val="decimal"/>
      <w:start w:val="3"/>
    </w:lvl>
    <w:lvl w:ilvl="1">
      <w:lvlJc w:val="left"/>
      <w:lvlText w:val="(%2)"/>
      <w:numFmt w:val="lowerLetter"/>
      <w:start w:val="1"/>
    </w:lvl>
  </w:abstractNum>
  <w:abstractNum w:abstractNumId="95">
    <w:nsid w:val="52AC7DFF"/>
    <w:multiLevelType w:val="hybridMultilevel"/>
    <w:lvl w:ilvl="0">
      <w:lvlJc w:val="left"/>
      <w:lvlText w:val="(%1)"/>
      <w:numFmt w:val="decimal"/>
      <w:start w:val="1"/>
    </w:lvl>
  </w:abstractNum>
  <w:abstractNum w:abstractNumId="96">
    <w:nsid w:val="C4C3AF"/>
    <w:multiLevelType w:val="hybridMultilevel"/>
    <w:lvl w:ilvl="0">
      <w:lvlJc w:val="left"/>
      <w:lvlText w:val="(%1)"/>
      <w:numFmt w:val="decimal"/>
      <w:start w:val="1"/>
    </w:lvl>
  </w:abstractNum>
  <w:abstractNum w:abstractNumId="97">
    <w:nsid w:val="44380727"/>
    <w:multiLevelType w:val="hybridMultilevel"/>
    <w:lvl w:ilvl="0">
      <w:lvlJc w:val="left"/>
      <w:lvlText w:val="%1"/>
      <w:numFmt w:val="lowerLetter"/>
      <w:start w:val="1"/>
    </w:lvl>
    <w:lvl w:ilvl="1">
      <w:lvlJc w:val="left"/>
      <w:lvlText w:val="(%2)"/>
      <w:numFmt w:val="decimal"/>
      <w:start w:val="1"/>
    </w:lvl>
  </w:abstractNum>
  <w:abstractNum w:abstractNumId="98">
    <w:nsid w:val="6C053B16"/>
    <w:multiLevelType w:val="hybridMultilevel"/>
    <w:lvl w:ilvl="0">
      <w:lvlJc w:val="left"/>
      <w:lvlText w:val="(%1)"/>
      <w:numFmt w:val="lowerLetter"/>
      <w:start w:val="2"/>
    </w:lvl>
    <w:lvl w:ilvl="1">
      <w:lvlJc w:val="left"/>
      <w:lvlText w:val="(%2)"/>
      <w:numFmt w:val="decimal"/>
      <w:start w:val="2"/>
    </w:lvl>
  </w:abstractNum>
  <w:abstractNum w:abstractNumId="99">
    <w:nsid w:val="4F294393"/>
    <w:multiLevelType w:val="hybridMultilevel"/>
    <w:lvl w:ilvl="0">
      <w:lvlJc w:val="left"/>
      <w:lvlText w:val="(%1)"/>
      <w:numFmt w:val="decimal"/>
      <w:start w:val="3"/>
    </w:lvl>
  </w:abstractNum>
  <w:abstractNum w:abstractNumId="100">
    <w:nsid w:val="5243BFAC"/>
    <w:multiLevelType w:val="hybridMultilevel"/>
    <w:lvl w:ilvl="0">
      <w:lvlJc w:val="left"/>
      <w:lvlText w:val="(%1)"/>
      <w:numFmt w:val="decimal"/>
      <w:start w:val="1"/>
    </w:lvl>
  </w:abstractNum>
  <w:abstractNum w:abstractNumId="101">
    <w:nsid w:val="425EB207"/>
    <w:multiLevelType w:val="hybridMultilevel"/>
    <w:lvl w:ilvl="0">
      <w:lvlJc w:val="left"/>
      <w:lvlText w:val="(%1)"/>
      <w:numFmt w:val="decimal"/>
      <w:start w:val="3"/>
    </w:lvl>
    <w:lvl w:ilvl="1">
      <w:lvlJc w:val="left"/>
      <w:lvlText w:val="(%2)"/>
      <w:numFmt w:val="lowerLetter"/>
      <w:start w:val="34"/>
    </w:lvl>
    <w:lvl w:ilvl="2">
      <w:lvlJc w:val="left"/>
      <w:lvlText w:val="(%3)"/>
      <w:numFmt w:val="lowerLetter"/>
      <w:start w:val="1"/>
    </w:lvl>
  </w:abstractNum>
  <w:abstractNum w:abstractNumId="102">
    <w:nsid w:val="334A6F1F"/>
    <w:multiLevelType w:val="hybridMultilevel"/>
    <w:lvl w:ilvl="0">
      <w:lvlJc w:val="left"/>
      <w:lvlText w:val="(%1)"/>
      <w:numFmt w:val="lowerLetter"/>
      <w:start w:val="25"/>
    </w:lvl>
    <w:lvl w:ilvl="1">
      <w:lvlJc w:val="left"/>
      <w:lvlText w:val="(%2)"/>
      <w:numFmt w:val="lowerLetter"/>
      <w:start w:val="4"/>
    </w:lvl>
  </w:abstractNum>
  <w:abstractNum w:abstractNumId="103">
    <w:nsid w:val="2E5B12B8"/>
    <w:multiLevelType w:val="hybridMultilevel"/>
    <w:lvl w:ilvl="0">
      <w:lvlJc w:val="left"/>
      <w:lvlText w:val="(%1)"/>
      <w:numFmt w:val="lowerLetter"/>
      <w:start w:val="5"/>
    </w:lvl>
  </w:abstractNum>
  <w:abstractNum w:abstractNumId="104">
    <w:nsid w:val="5C03D76D"/>
    <w:multiLevelType w:val="hybridMultilevel"/>
    <w:lvl w:ilvl="0">
      <w:lvlJc w:val="left"/>
      <w:lvlText w:val="(%1)"/>
      <w:numFmt w:val="decimal"/>
      <w:start w:val="1"/>
    </w:lvl>
  </w:abstractNum>
  <w:abstractNum w:abstractNumId="105">
    <w:nsid w:val="66A48D11"/>
    <w:multiLevelType w:val="hybridMultilevel"/>
    <w:lvl w:ilvl="0">
      <w:lvlJc w:val="left"/>
      <w:lvlText w:val="(%1)"/>
      <w:numFmt w:val="decimal"/>
      <w:start w:val="7"/>
    </w:lvl>
  </w:abstractNum>
  <w:abstractNum w:abstractNumId="106">
    <w:nsid w:val="56C28E34"/>
    <w:multiLevelType w:val="hybridMultilevel"/>
    <w:lvl w:ilvl="0">
      <w:lvlJc w:val="left"/>
      <w:lvlText w:val="(%1)"/>
      <w:numFmt w:val="decimal"/>
      <w:start w:val="2"/>
    </w:lvl>
  </w:abstractNum>
  <w:abstractNum w:abstractNumId="107">
    <w:nsid w:val="13916F2D"/>
    <w:multiLevelType w:val="hybridMultilevel"/>
    <w:lvl w:ilvl="0">
      <w:lvlJc w:val="left"/>
      <w:lvlText w:val="%1"/>
      <w:numFmt w:val="lowerRoman"/>
      <w:start w:val="1"/>
    </w:lvl>
    <w:lvl w:ilvl="1">
      <w:lvlJc w:val="left"/>
      <w:lvlText w:val="(%2)"/>
      <w:numFmt w:val="decimal"/>
      <w:start w:val="1"/>
    </w:lvl>
  </w:abstractNum>
  <w:abstractNum w:abstractNumId="108">
    <w:nsid w:val="435D38D"/>
    <w:multiLevelType w:val="hybridMultilevel"/>
    <w:lvl w:ilvl="0">
      <w:lvlJc w:val="left"/>
      <w:lvlText w:val="(%1)"/>
      <w:numFmt w:val="lowerRoman"/>
      <w:start w:val="2"/>
    </w:lvl>
    <w:lvl w:ilvl="1">
      <w:lvlJc w:val="left"/>
      <w:lvlText w:val="(%2)"/>
      <w:numFmt w:val="decimal"/>
      <w:start w:val="2"/>
    </w:lvl>
  </w:abstractNum>
  <w:abstractNum w:abstractNumId="109">
    <w:nsid w:val="822C0EF"/>
    <w:multiLevelType w:val="hybridMultilevel"/>
    <w:lvl w:ilvl="0">
      <w:lvlJc w:val="left"/>
      <w:lvlText w:val="(%1)"/>
      <w:numFmt w:val="decimal"/>
      <w:start w:val="4"/>
    </w:lvl>
    <w:lvl w:ilvl="1">
      <w:lvlJc w:val="left"/>
      <w:lvlText w:val="(%2)"/>
      <w:numFmt w:val="lowerLetter"/>
      <w:start w:val="1"/>
    </w:lvl>
  </w:abstractNum>
  <w:abstractNum w:abstractNumId="110">
    <w:nsid w:val="57C5BB4F"/>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11">
    <w:nsid w:val="1803D089"/>
    <w:multiLevelType w:val="hybridMultilevel"/>
    <w:lvl w:ilvl="0">
      <w:lvlJc w:val="left"/>
      <w:lvlText w:val="%1"/>
      <w:numFmt w:val="decimal"/>
      <w:start w:val="1"/>
    </w:lvl>
    <w:lvl w:ilvl="1">
      <w:lvlJc w:val="left"/>
      <w:lvlText w:val="(%2)"/>
      <w:numFmt w:val="lowerLetter"/>
      <w:start w:val="1"/>
    </w:lvl>
  </w:abstractNum>
  <w:abstractNum w:abstractNumId="112">
    <w:nsid w:val="4F3A06D4"/>
    <w:multiLevelType w:val="hybridMultilevel"/>
    <w:lvl w:ilvl="0">
      <w:lvlJc w:val="left"/>
      <w:lvlText w:val="(%1)"/>
      <w:numFmt w:val="decimal"/>
      <w:start w:val="11"/>
    </w:lvl>
    <w:lvl w:ilvl="1">
      <w:lvlJc w:val="left"/>
      <w:lvlText w:val="%2"/>
      <w:numFmt w:val="lowerLetter"/>
      <w:start w:val="1"/>
    </w:lvl>
  </w:abstractNum>
  <w:abstractNum w:abstractNumId="113">
    <w:nsid w:val="59A377B6"/>
    <w:multiLevelType w:val="hybridMultilevel"/>
    <w:lvl w:ilvl="0">
      <w:lvlJc w:val="left"/>
      <w:lvlText w:val="(%1)"/>
      <w:numFmt w:val="decimal"/>
      <w:start w:val="1"/>
    </w:lvl>
    <w:lvl w:ilvl="1">
      <w:lvlJc w:val="left"/>
      <w:lvlText w:val="(%2)"/>
      <w:numFmt w:val="lowerLetter"/>
      <w:start w:val="1"/>
    </w:lvl>
  </w:abstractNum>
  <w:abstractNum w:abstractNumId="114">
    <w:nsid w:val="48AEB063"/>
    <w:multiLevelType w:val="hybridMultilevel"/>
    <w:lvl w:ilvl="0">
      <w:lvlJc w:val="left"/>
      <w:lvlText w:val="(%1)"/>
      <w:numFmt w:val="decimal"/>
      <w:start w:val="1"/>
    </w:lvl>
  </w:abstractNum>
  <w:abstractNum w:abstractNumId="115">
    <w:nsid w:val="24E135"/>
    <w:multiLevelType w:val="hybridMultilevel"/>
    <w:lvl w:ilvl="0">
      <w:lvlJc w:val="left"/>
      <w:lvlText w:val="(%1)"/>
      <w:numFmt w:val="decimal"/>
      <w:start w:val="1"/>
    </w:lvl>
  </w:abstractNum>
  <w:abstractNum w:abstractNumId="116">
    <w:nsid w:val="BB13C1"/>
    <w:multiLevelType w:val="hybridMultilevel"/>
    <w:lvl w:ilvl="0">
      <w:lvlJc w:val="left"/>
      <w:lvlText w:val="(%1)"/>
      <w:numFmt w:val="decimal"/>
      <w:start w:val="6"/>
    </w:lvl>
  </w:abstractNum>
  <w:abstractNum w:abstractNumId="117">
    <w:nsid w:val="271210C7"/>
    <w:multiLevelType w:val="hybridMultilevel"/>
    <w:lvl w:ilvl="0">
      <w:lvlJc w:val="left"/>
      <w:lvlText w:val="(%1)"/>
      <w:numFmt w:val="decimal"/>
      <w:start w:val="1"/>
    </w:lvl>
    <w:lvl w:ilvl="1">
      <w:lvlJc w:val="left"/>
      <w:lvlText w:val="(%2)"/>
      <w:numFmt w:val="lowerLetter"/>
      <w:start w:val="1"/>
    </w:lvl>
  </w:abstractNum>
  <w:abstractNum w:abstractNumId="118">
    <w:nsid w:val="217B22E4"/>
    <w:multiLevelType w:val="hybridMultilevel"/>
    <w:lvl w:ilvl="0">
      <w:lvlJc w:val="left"/>
      <w:lvlText w:val="(%1)"/>
      <w:numFmt w:val="decimal"/>
      <w:start w:val="1"/>
    </w:lvl>
  </w:abstractNum>
  <w:abstractNum w:abstractNumId="119">
    <w:nsid w:val="53E31A24"/>
    <w:multiLevelType w:val="hybridMultilevel"/>
    <w:lvl w:ilvl="0">
      <w:lvlJc w:val="left"/>
      <w:lvlText w:val="(%1)"/>
      <w:numFmt w:val="decimal"/>
      <w:start w:val="2"/>
    </w:lvl>
    <w:lvl w:ilvl="1">
      <w:lvlJc w:val="left"/>
      <w:lvlText w:val="(%2)"/>
      <w:numFmt w:val="lowerLetter"/>
      <w:start w:val="1"/>
    </w:lvl>
  </w:abstractNum>
  <w:abstractNum w:abstractNumId="120">
    <w:nsid w:val="6DC45E83"/>
    <w:multiLevelType w:val="hybridMultilevel"/>
    <w:lvl w:ilvl="0">
      <w:lvlJc w:val="left"/>
      <w:lvlText w:val="(%1)"/>
      <w:numFmt w:val="decimal"/>
      <w:start w:val="1"/>
    </w:lvl>
  </w:abstractNum>
  <w:abstractNum w:abstractNumId="121">
    <w:nsid w:val="17304A67"/>
    <w:multiLevelType w:val="hybridMultilevel"/>
    <w:lvl w:ilvl="0">
      <w:lvlJc w:val="left"/>
      <w:lvlText w:val="(%1)"/>
      <w:numFmt w:val="decimal"/>
      <w:start w:val="7"/>
    </w:lvl>
  </w:abstractNum>
  <w:abstractNum w:abstractNumId="122">
    <w:nsid w:val="2BB180D8"/>
    <w:multiLevelType w:val="hybridMultilevel"/>
    <w:lvl w:ilvl="0">
      <w:lvlJc w:val="left"/>
      <w:lvlText w:val="(%1)"/>
      <w:numFmt w:val="decimal"/>
      <w:start w:val="1"/>
    </w:lvl>
  </w:abstractNum>
  <w:abstractNum w:abstractNumId="123">
    <w:nsid w:val="556B69ED"/>
    <w:multiLevelType w:val="hybridMultilevel"/>
    <w:lvl w:ilvl="0">
      <w:lvlJc w:val="left"/>
      <w:lvlText w:val="(%1)"/>
      <w:numFmt w:val="decimal"/>
      <w:start w:val="1"/>
    </w:lvl>
  </w:abstractNum>
  <w:abstractNum w:abstractNumId="124">
    <w:nsid w:val="70836196"/>
    <w:multiLevelType w:val="hybridMultilevel"/>
    <w:lvl w:ilvl="0">
      <w:lvlJc w:val="left"/>
      <w:lvlText w:val="(%1)"/>
      <w:numFmt w:val="decimal"/>
      <w:start w:val="3"/>
    </w:lvl>
  </w:abstractNum>
  <w:abstractNum w:abstractNumId="125">
    <w:nsid w:val="539F7F12"/>
    <w:multiLevelType w:val="hybridMultilevel"/>
    <w:lvl w:ilvl="0">
      <w:lvlJc w:val="left"/>
      <w:lvlText w:val="(%1)"/>
      <w:numFmt w:val="decimal"/>
      <w:start w:val="1"/>
    </w:lvl>
  </w:abstractNum>
  <w:abstractNum w:abstractNumId="126">
    <w:nsid w:val="2817E7EC"/>
    <w:multiLevelType w:val="hybridMultilevel"/>
    <w:lvl w:ilvl="0">
      <w:lvlJc w:val="left"/>
      <w:lvlText w:val="(%1)"/>
      <w:numFmt w:val="decimal"/>
      <w:start w:val="1"/>
    </w:lvl>
    <w:lvl w:ilvl="1">
      <w:lvlJc w:val="left"/>
      <w:lvlText w:val="(%2)"/>
      <w:numFmt w:val="lowerLetter"/>
      <w:start w:val="1"/>
    </w:lvl>
  </w:abstractNum>
  <w:abstractNum w:abstractNumId="127">
    <w:nsid w:val="71482545"/>
    <w:multiLevelType w:val="hybridMultilevel"/>
    <w:lvl w:ilvl="0">
      <w:lvlJc w:val="left"/>
      <w:lvlText w:val="(%1)"/>
      <w:numFmt w:val="decimal"/>
      <w:start w:val="1"/>
    </w:lvl>
  </w:abstractNum>
  <w:abstractNum w:abstractNumId="128">
    <w:nsid w:val="17D78639"/>
    <w:multiLevelType w:val="hybridMultilevel"/>
    <w:lvl w:ilvl="0">
      <w:lvlJc w:val="left"/>
      <w:lvlText w:val="(%1)"/>
      <w:numFmt w:val="decimal"/>
      <w:start w:val="1"/>
    </w:lvl>
  </w:abstractNum>
  <w:abstractNum w:abstractNumId="129">
    <w:nsid w:val="141D2302"/>
    <w:multiLevelType w:val="hybridMultilevel"/>
    <w:lvl w:ilvl="0">
      <w:lvlJc w:val="left"/>
      <w:lvlText w:val="(%1)"/>
      <w:numFmt w:val="decimal"/>
      <w:start w:val="1"/>
    </w:lvl>
  </w:abstractNum>
  <w:abstractNum w:abstractNumId="130">
    <w:nsid w:val="407168D8"/>
    <w:multiLevelType w:val="hybridMultilevel"/>
    <w:lvl w:ilvl="0">
      <w:lvlJc w:val="left"/>
      <w:lvlText w:val="(%1)"/>
      <w:numFmt w:val="decimal"/>
      <w:start w:val="1"/>
    </w:lvl>
    <w:lvl w:ilvl="1">
      <w:lvlJc w:val="left"/>
      <w:lvlText w:val="(%2)"/>
      <w:numFmt w:val="lowerLetter"/>
      <w:start w:val="2"/>
    </w:lvl>
  </w:abstractNum>
  <w:abstractNum w:abstractNumId="131">
    <w:nsid w:val="6A1B45E5"/>
    <w:multiLevelType w:val="hybridMultilevel"/>
    <w:lvl w:ilvl="0">
      <w:lvlJc w:val="left"/>
      <w:lvlText w:val="(%1)"/>
      <w:numFmt w:val="decimal"/>
      <w:start w:val="2"/>
    </w:lvl>
    <w:lvl w:ilvl="1">
      <w:lvlJc w:val="left"/>
      <w:lvlText w:val="(%2)"/>
      <w:numFmt w:val="lowerLetter"/>
      <w:start w:val="1"/>
    </w:lvl>
  </w:abstractNum>
  <w:abstractNum w:abstractNumId="132">
    <w:nsid w:val="567BD50A"/>
    <w:multiLevelType w:val="hybridMultilevel"/>
    <w:lvl w:ilvl="0">
      <w:lvlJc w:val="left"/>
      <w:lvlText w:val="(%1)"/>
      <w:numFmt w:val="decimal"/>
      <w:start w:val="1"/>
    </w:lvl>
  </w:abstractNum>
  <w:abstractNum w:abstractNumId="133">
    <w:nsid w:val="73BBD7F8"/>
    <w:multiLevelType w:val="hybridMultilevel"/>
    <w:lvl w:ilvl="0">
      <w:lvlJc w:val="left"/>
      <w:lvlText w:val="(%1)"/>
      <w:numFmt w:val="decimal"/>
      <w:start w:val="2"/>
    </w:lvl>
    <w:lvl w:ilvl="1">
      <w:lvlJc w:val="left"/>
      <w:lvlText w:val="(%2)"/>
      <w:numFmt w:val="lowerLetter"/>
      <w:start w:val="1"/>
    </w:lvl>
  </w:abstractNum>
  <w:abstractNum w:abstractNumId="134">
    <w:nsid w:val="1876589D"/>
    <w:multiLevelType w:val="hybridMultilevel"/>
    <w:lvl w:ilvl="0">
      <w:lvlJc w:val="left"/>
      <w:lvlText w:val="(%1)"/>
      <w:numFmt w:val="decimal"/>
      <w:start w:val="1"/>
    </w:lvl>
  </w:abstractNum>
  <w:abstractNum w:abstractNumId="135">
    <w:nsid w:val="327FAC77"/>
    <w:multiLevelType w:val="hybridMultilevel"/>
    <w:lvl w:ilvl="0">
      <w:lvlJc w:val="left"/>
      <w:lvlText w:val="(%1)"/>
      <w:numFmt w:val="decimal"/>
      <w:start w:val="1"/>
    </w:lvl>
  </w:abstractNum>
  <w:abstractNum w:abstractNumId="136">
    <w:nsid w:val="5A606509"/>
    <w:multiLevelType w:val="hybridMultilevel"/>
    <w:lvl w:ilvl="0">
      <w:lvlJc w:val="left"/>
      <w:lvlText w:val="(%1)"/>
      <w:numFmt w:val="decimal"/>
      <w:start w:val="1"/>
    </w:lvl>
    <w:lvl w:ilvl="1">
      <w:lvlJc w:val="left"/>
      <w:lvlText w:val="(%2)"/>
      <w:numFmt w:val="lowerLetter"/>
      <w:start w:val="1"/>
    </w:lvl>
  </w:abstractNum>
  <w:abstractNum w:abstractNumId="137">
    <w:nsid w:val="6F38E6D1"/>
    <w:multiLevelType w:val="hybridMultilevel"/>
    <w:lvl w:ilvl="0">
      <w:lvlJc w:val="left"/>
      <w:lvlText w:val="%1"/>
      <w:numFmt w:val="decimal"/>
      <w:start w:val="1"/>
    </w:lvl>
    <w:lvl w:ilvl="1">
      <w:lvlJc w:val="left"/>
      <w:lvlText w:val="(%2)"/>
      <w:numFmt w:val="lowerLetter"/>
      <w:start w:val="2"/>
    </w:lvl>
  </w:abstractNum>
  <w:abstractNum w:abstractNumId="138">
    <w:nsid w:val="46111BA5"/>
    <w:multiLevelType w:val="hybridMultilevel"/>
    <w:lvl w:ilvl="0">
      <w:lvlJc w:val="left"/>
      <w:lvlText w:val="(%1)"/>
      <w:numFmt w:val="decimal"/>
      <w:start w:val="4"/>
    </w:lvl>
    <w:lvl w:ilvl="1">
      <w:lvlJc w:val="left"/>
      <w:lvlText w:val="(%2)"/>
      <w:numFmt w:val="lowerLetter"/>
      <w:start w:val="1"/>
    </w:lvl>
  </w:abstractNum>
  <w:abstractNum w:abstractNumId="139">
    <w:nsid w:val="5E963896"/>
    <w:multiLevelType w:val="hybridMultilevel"/>
    <w:lvl w:ilvl="0">
      <w:lvlJc w:val="left"/>
      <w:lvlText w:val="(%1)"/>
      <w:numFmt w:val="decimal"/>
      <w:start w:val="11"/>
    </w:lvl>
  </w:abstractNum>
  <w:abstractNum w:abstractNumId="140">
    <w:nsid w:val="775BA7C1"/>
    <w:multiLevelType w:val="hybridMultilevel"/>
    <w:lvl w:ilvl="0">
      <w:lvlJc w:val="left"/>
      <w:lvlText w:val="(%1)"/>
      <w:numFmt w:val="decimal"/>
      <w:start w:val="1"/>
    </w:lvl>
  </w:abstractNum>
  <w:abstractNum w:abstractNumId="141">
    <w:nsid w:val="1DD6D6F4"/>
    <w:multiLevelType w:val="hybridMultilevel"/>
    <w:lvl w:ilvl="0">
      <w:lvlJc w:val="left"/>
      <w:lvlText w:val="(%1)"/>
      <w:numFmt w:val="decimal"/>
      <w:start w:val="1"/>
    </w:lvl>
  </w:abstractNum>
  <w:abstractNum w:abstractNumId="142">
    <w:nsid w:val="769A091F"/>
    <w:multiLevelType w:val="hybridMultilevel"/>
    <w:lvl w:ilvl="0">
      <w:lvlJc w:val="left"/>
      <w:lvlText w:val="(%1)"/>
      <w:numFmt w:val="decimal"/>
      <w:start w:val="1"/>
    </w:lvl>
  </w:abstractNum>
  <w:abstractNum w:abstractNumId="143">
    <w:nsid w:val="4695AE95"/>
    <w:multiLevelType w:val="hybridMultilevel"/>
    <w:lvl w:ilvl="0">
      <w:lvlJc w:val="left"/>
      <w:lvlText w:val="%1"/>
      <w:numFmt w:val="lowerLetter"/>
      <w:start w:val="1"/>
    </w:lvl>
    <w:lvl w:ilvl="1">
      <w:lvlJc w:val="left"/>
      <w:lvlText w:val="(%2)"/>
      <w:numFmt w:val="decimal"/>
      <w:start w:val="1"/>
    </w:lvl>
  </w:abstractNum>
  <w:abstractNum w:abstractNumId="144">
    <w:nsid w:val="777A4EAA"/>
    <w:multiLevelType w:val="hybridMultilevel"/>
    <w:lvl w:ilvl="0">
      <w:lvlJc w:val="left"/>
      <w:lvlText w:val="(%1)"/>
      <w:numFmt w:val="lowerLetter"/>
      <w:start w:val="1"/>
    </w:lvl>
    <w:lvl w:ilvl="1">
      <w:lvlJc w:val="left"/>
      <w:lvlText w:val="(%2)"/>
      <w:numFmt w:val="decimal"/>
      <w:start w:val="3"/>
    </w:lvl>
  </w:abstractNum>
  <w:abstractNum w:abstractNumId="145">
    <w:nsid w:val="3F48B982"/>
    <w:multiLevelType w:val="hybridMultilevel"/>
    <w:lvl w:ilvl="0">
      <w:lvlJc w:val="left"/>
      <w:lvlText w:val="(%1)"/>
      <w:numFmt w:val="decimal"/>
      <w:start w:val="5"/>
    </w:lvl>
  </w:abstractNum>
  <w:abstractNum w:abstractNumId="146">
    <w:nsid w:val="46BA8FCA"/>
    <w:multiLevelType w:val="hybridMultilevel"/>
    <w:lvl w:ilvl="0">
      <w:lvlJc w:val="left"/>
      <w:lvlText w:val="(%1)"/>
      <w:numFmt w:val="decimal"/>
      <w:start w:val="1"/>
    </w:lvl>
  </w:abstractNum>
  <w:abstractNum w:abstractNumId="147">
    <w:nsid w:val="7835626C"/>
    <w:multiLevelType w:val="hybridMultilevel"/>
    <w:lvl w:ilvl="0">
      <w:lvlJc w:val="left"/>
      <w:lvlText w:val="(%1)"/>
      <w:numFmt w:val="decimal"/>
      <w:start w:val="5"/>
    </w:lvl>
  </w:abstractNum>
  <w:abstractNum w:abstractNumId="148">
    <w:nsid w:val="665ACA49"/>
    <w:multiLevelType w:val="hybridMultilevel"/>
    <w:lvl w:ilvl="0">
      <w:lvlJc w:val="left"/>
      <w:lvlText w:val="%1"/>
      <w:numFmt w:val="lowerLetter"/>
      <w:start w:val="1"/>
    </w:lvl>
    <w:lvl w:ilvl="1">
      <w:lvlJc w:val="left"/>
      <w:lvlText w:val="(%2)"/>
      <w:numFmt w:val="decimal"/>
      <w:start w:val="1"/>
    </w:lvl>
  </w:abstractNum>
  <w:abstractNum w:abstractNumId="149">
    <w:nsid w:val="6835B2AE"/>
    <w:multiLevelType w:val="hybridMultilevel"/>
    <w:lvl w:ilvl="0">
      <w:lvlJc w:val="left"/>
      <w:lvlText w:val="(%1)"/>
      <w:numFmt w:val="lowerLetter"/>
      <w:start w:val="1"/>
    </w:lvl>
    <w:lvl w:ilvl="1">
      <w:lvlJc w:val="left"/>
      <w:lvlText w:val="(%2)"/>
      <w:numFmt w:val="decimal"/>
      <w:start w:val="10"/>
    </w:lvl>
  </w:abstractNum>
  <w:abstractNum w:abstractNumId="150">
    <w:nsid w:val="4C187C90"/>
    <w:multiLevelType w:val="hybridMultilevel"/>
    <w:lvl w:ilvl="0">
      <w:lvlJc w:val="left"/>
      <w:lvlText w:val="(%1)"/>
      <w:numFmt w:val="decimal"/>
      <w:start w:val="1"/>
    </w:lvl>
  </w:abstractNum>
  <w:abstractNum w:abstractNumId="151">
    <w:nsid w:val="541F28CD"/>
    <w:multiLevelType w:val="hybridMultilevel"/>
    <w:lvl w:ilvl="0">
      <w:lvlJc w:val="left"/>
      <w:lvlText w:val="(%1)"/>
      <w:numFmt w:val="decimal"/>
      <w:start w:val="7"/>
    </w:lvl>
  </w:abstractNum>
  <w:abstractNum w:abstractNumId="152">
    <w:nsid w:val="7F65FD16"/>
    <w:multiLevelType w:val="hybridMultilevel"/>
    <w:lvl w:ilvl="0">
      <w:lvlJc w:val="left"/>
      <w:lvlText w:val="(%1)"/>
      <w:numFmt w:val="decimal"/>
      <w:start w:val="1"/>
    </w:lvl>
    <w:lvl w:ilvl="1">
      <w:lvlJc w:val="left"/>
      <w:lvlText w:val="(%2)"/>
      <w:numFmt w:val="lowerLetter"/>
      <w:start w:val="1"/>
    </w:lvl>
  </w:abstractNum>
  <w:abstractNum w:abstractNumId="153">
    <w:nsid w:val="77C9FD68"/>
    <w:multiLevelType w:val="hybridMultilevel"/>
    <w:lvl w:ilvl="0">
      <w:lvlJc w:val="left"/>
      <w:lvlText w:val="(%1)"/>
      <w:numFmt w:val="decimal"/>
      <w:start w:val="1"/>
    </w:lvl>
  </w:abstractNum>
  <w:abstractNum w:abstractNumId="154">
    <w:nsid w:val="298A92BA"/>
    <w:multiLevelType w:val="hybridMultilevel"/>
    <w:lvl w:ilvl="0">
      <w:lvlJc w:val="left"/>
      <w:lvlText w:val="(%1)"/>
      <w:numFmt w:val="decimal"/>
      <w:start w:val="1"/>
    </w:lvl>
  </w:abstractNum>
  <w:abstractNum w:abstractNumId="155">
    <w:nsid w:val="6FE95EAC"/>
    <w:multiLevelType w:val="hybridMultilevel"/>
    <w:lvl w:ilvl="0">
      <w:lvlJc w:val="left"/>
      <w:lvlText w:val="(%1)"/>
      <w:numFmt w:val="decimal"/>
      <w:start w:val="1"/>
    </w:lvl>
  </w:abstractNum>
  <w:abstractNum w:abstractNumId="156">
    <w:nsid w:val="4B697C7A"/>
    <w:multiLevelType w:val="hybridMultilevel"/>
    <w:lvl w:ilvl="0">
      <w:lvlJc w:val="left"/>
      <w:lvlText w:val="(%1)"/>
      <w:numFmt w:val="decimal"/>
      <w:start w:val="1"/>
    </w:lvl>
  </w:abstractNum>
  <w:abstractNum w:abstractNumId="157">
    <w:nsid w:val="51A27AA6"/>
    <w:multiLevelType w:val="hybridMultilevel"/>
    <w:lvl w:ilvl="0">
      <w:lvlJc w:val="left"/>
      <w:lvlText w:val="(%1)"/>
      <w:numFmt w:val="decimal"/>
      <w:start w:val="1"/>
    </w:lvl>
  </w:abstractNum>
  <w:abstractNum w:abstractNumId="158">
    <w:nsid w:val="613183F2"/>
    <w:multiLevelType w:val="hybridMultilevel"/>
    <w:lvl w:ilvl="0">
      <w:lvlJc w:val="left"/>
      <w:lvlText w:val="(%1)"/>
      <w:numFmt w:val="decimal"/>
      <w:start w:val="1"/>
    </w:lvl>
  </w:abstractNum>
  <w:abstractNum w:abstractNumId="159">
    <w:nsid w:val="634102B4"/>
    <w:multiLevelType w:val="hybridMultilevel"/>
    <w:lvl w:ilvl="0">
      <w:lvlJc w:val="left"/>
      <w:lvlText w:val="(%1)"/>
      <w:numFmt w:val="decimal"/>
      <w:start w:val="2"/>
    </w:lvl>
  </w:abstractNum>
  <w:abstractNum w:abstractNumId="160">
    <w:nsid w:val="65BF9D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1">
    <w:nsid w:val="21A2ECCA"/>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62">
    <w:nsid w:val="4D5C4899"/>
    <w:multiLevelType w:val="hybridMultilevel"/>
    <w:lvl w:ilvl="0">
      <w:lvlJc w:val="left"/>
      <w:lvlText w:val="(%1)"/>
      <w:numFmt w:val="decimal"/>
      <w:start w:val="14"/>
    </w:lvl>
  </w:abstractNum>
  <w:abstractNum w:abstractNumId="163">
    <w:nsid w:val="3C3B72B2"/>
    <w:multiLevelType w:val="hybridMultilevel"/>
    <w:lvl w:ilvl="0">
      <w:lvlJc w:val="left"/>
      <w:lvlText w:val="(%1)"/>
      <w:numFmt w:val="decimal"/>
      <w:start w:val="1"/>
    </w:lvl>
  </w:abstractNum>
  <w:abstractNum w:abstractNumId="164">
    <w:nsid w:val="155EC4C2"/>
    <w:multiLevelType w:val="hybridMultilevel"/>
    <w:lvl w:ilvl="0">
      <w:lvlJc w:val="left"/>
      <w:lvlText w:val="(%1)"/>
      <w:numFmt w:val="decimal"/>
      <w:start w:val="1"/>
    </w:lvl>
  </w:abstractNum>
  <w:abstractNum w:abstractNumId="165">
    <w:nsid w:val="65D2A137"/>
    <w:multiLevelType w:val="hybridMultilevel"/>
    <w:lvl w:ilvl="0">
      <w:lvlJc w:val="left"/>
      <w:lvlText w:val="(%1)"/>
      <w:numFmt w:val="decimal"/>
      <w:start w:val="3"/>
    </w:lvl>
  </w:abstractNum>
  <w:abstractNum w:abstractNumId="166">
    <w:nsid w:val="6EBB1F2A"/>
    <w:multiLevelType w:val="hybridMultilevel"/>
    <w:lvl w:ilvl="0">
      <w:lvlJc w:val="left"/>
      <w:lvlText w:val="(%1)"/>
      <w:numFmt w:val="decimal"/>
      <w:start w:val="1"/>
    </w:lvl>
  </w:abstractNum>
  <w:abstractNum w:abstractNumId="167">
    <w:nsid w:val="6FBF29CB"/>
    <w:multiLevelType w:val="hybridMultilevel"/>
    <w:lvl w:ilvl="0">
      <w:lvlJc w:val="left"/>
      <w:lvlText w:val="(%1)"/>
      <w:numFmt w:val="decimal"/>
      <w:start w:val="1"/>
    </w:lvl>
    <w:lvl w:ilvl="1">
      <w:lvlJc w:val="left"/>
      <w:lvlText w:val="(%2)"/>
      <w:numFmt w:val="lowerLetter"/>
      <w:start w:val="1"/>
    </w:lvl>
  </w:abstractNum>
  <w:abstractNum w:abstractNumId="168">
    <w:nsid w:val="550B8808"/>
    <w:multiLevelType w:val="hybridMultilevel"/>
    <w:lvl w:ilvl="0">
      <w:lvlJc w:val="left"/>
      <w:lvlText w:val="(%1)"/>
      <w:numFmt w:val="decimal"/>
      <w:start w:val="4"/>
    </w:lvl>
  </w:abstractNum>
  <w:abstractNum w:abstractNumId="169">
    <w:nsid w:val="34CC3ACF"/>
    <w:multiLevelType w:val="hybridMultilevel"/>
    <w:lvl w:ilvl="0">
      <w:lvlJc w:val="left"/>
      <w:lvlText w:val="(%1)"/>
      <w:numFmt w:val="decimal"/>
      <w:start w:val="1"/>
    </w:lvl>
  </w:abstractNum>
  <w:abstractNum w:abstractNumId="170">
    <w:nsid w:val="4E556261"/>
    <w:multiLevelType w:val="hybridMultilevel"/>
    <w:lvl w:ilvl="0">
      <w:lvlJc w:val="left"/>
      <w:lvlText w:val="(%1)"/>
      <w:numFmt w:val="decimal"/>
      <w:start w:val="1"/>
    </w:lvl>
  </w:abstractNum>
  <w:abstractNum w:abstractNumId="171">
    <w:nsid w:val="4C672FC9"/>
    <w:multiLevelType w:val="hybridMultilevel"/>
    <w:lvl w:ilvl="0">
      <w:lvlJc w:val="left"/>
      <w:lvlText w:val="(%1)"/>
      <w:numFmt w:val="lowerLetter"/>
      <w:start w:val="1"/>
    </w:lvl>
  </w:abstractNum>
  <w:abstractNum w:abstractNumId="172">
    <w:nsid w:val="52A311C3"/>
    <w:multiLevelType w:val="hybridMultilevel"/>
    <w:lvl w:ilvl="0">
      <w:lvlJc w:val="left"/>
      <w:lvlText w:val="(%1)"/>
      <w:numFmt w:val="decimal"/>
      <w:start w:val="1"/>
    </w:lvl>
  </w:abstractNum>
  <w:abstractNum w:abstractNumId="173">
    <w:nsid w:val="44EF6B80"/>
    <w:multiLevelType w:val="hybridMultilevel"/>
    <w:lvl w:ilvl="0">
      <w:lvlJc w:val="left"/>
      <w:lvlText w:val="(%1)"/>
      <w:numFmt w:val="decimal"/>
      <w:start w:val="1"/>
    </w:lvl>
  </w:abstractNum>
  <w:abstractNum w:abstractNumId="174">
    <w:nsid w:val="12FCDE5E"/>
    <w:multiLevelType w:val="hybridMultilevel"/>
    <w:lvl w:ilvl="0">
      <w:lvlJc w:val="left"/>
      <w:lvlText w:val="(%1)"/>
      <w:numFmt w:val="decimal"/>
      <w:start w:val="1"/>
    </w:lvl>
  </w:abstractNum>
  <w:abstractNum w:abstractNumId="175">
    <w:nsid w:val="4A1D606E"/>
    <w:multiLevelType w:val="hybridMultilevel"/>
    <w:lvl w:ilvl="0">
      <w:lvlJc w:val="left"/>
      <w:lvlText w:val="(%1)"/>
      <w:numFmt w:val="decimal"/>
      <w:start w:val="1"/>
    </w:lvl>
  </w:abstractNum>
  <w:abstractNum w:abstractNumId="176">
    <w:nsid w:val="4382503"/>
    <w:multiLevelType w:val="hybridMultilevel"/>
    <w:lvl w:ilvl="0">
      <w:lvlJc w:val="left"/>
      <w:lvlText w:val="(%1)"/>
      <w:numFmt w:val="decimal"/>
      <w:start w:val="2"/>
    </w:lvl>
  </w:abstractNum>
  <w:abstractNum w:abstractNumId="177">
    <w:nsid w:val="59B76E28"/>
    <w:multiLevelType w:val="hybridMultilevel"/>
    <w:lvl w:ilvl="0">
      <w:lvlJc w:val="left"/>
      <w:lvlText w:val="(%1)"/>
      <w:numFmt w:val="decimal"/>
      <w:start w:val="1"/>
    </w:lvl>
  </w:abstractNum>
  <w:abstractNum w:abstractNumId="178">
    <w:nsid w:val="4252C2DA"/>
    <w:multiLevelType w:val="hybridMultilevel"/>
    <w:lvl w:ilvl="0">
      <w:lvlJc w:val="left"/>
      <w:lvlText w:val="(%1)"/>
      <w:numFmt w:val="decimal"/>
      <w:start w:val="1"/>
    </w:lvl>
  </w:abstractNum>
  <w:abstractNum w:abstractNumId="179">
    <w:nsid w:val="6A92EF4C"/>
    <w:multiLevelType w:val="hybridMultilevel"/>
    <w:lvl w:ilvl="0">
      <w:lvlJc w:val="left"/>
      <w:lvlText w:val="(%1)"/>
      <w:numFmt w:val="decimal"/>
      <w:start w:val="1"/>
    </w:lvl>
  </w:abstractNum>
  <w:abstractNum w:abstractNumId="180">
    <w:nsid w:val="41ED20D7"/>
    <w:multiLevelType w:val="hybridMultilevel"/>
    <w:lvl w:ilvl="0">
      <w:lvlJc w:val="left"/>
      <w:lvlText w:val="(%1)"/>
      <w:numFmt w:val="decimal"/>
      <w:start w:val="1"/>
    </w:lvl>
  </w:abstractNum>
  <w:abstractNum w:abstractNumId="181">
    <w:nsid w:val="E6B3F6A"/>
    <w:multiLevelType w:val="hybridMultilevel"/>
    <w:lvl w:ilvl="0">
      <w:lvlJc w:val="left"/>
      <w:lvlText w:val="(%1)"/>
      <w:numFmt w:val="decimal"/>
      <w:start w:val="1"/>
    </w:lvl>
  </w:abstractNum>
  <w:abstractNum w:abstractNumId="182">
    <w:nsid w:val="3EB21819"/>
    <w:multiLevelType w:val="hybridMultilevel"/>
    <w:lvl w:ilvl="0">
      <w:lvlJc w:val="left"/>
      <w:lvlText w:val="(%1)"/>
      <w:numFmt w:val="decimal"/>
      <w:start w:val="1"/>
    </w:lvl>
  </w:abstractNum>
  <w:abstractNum w:abstractNumId="183">
    <w:nsid w:val="41531DED"/>
    <w:multiLevelType w:val="hybridMultilevel"/>
    <w:lvl w:ilvl="0">
      <w:lvlJc w:val="left"/>
      <w:lvlText w:val="(%1)"/>
      <w:numFmt w:val="decimal"/>
      <w:start w:val="1"/>
    </w:lvl>
  </w:abstractNum>
  <w:abstractNum w:abstractNumId="184">
    <w:nsid w:val="6353CD2"/>
    <w:multiLevelType w:val="hybridMultilevel"/>
    <w:lvl w:ilvl="0">
      <w:lvlJc w:val="left"/>
      <w:lvlText w:val="(%1)"/>
      <w:numFmt w:val="decimal"/>
      <w:start w:val="1"/>
    </w:lvl>
  </w:abstractNum>
  <w:abstractNum w:abstractNumId="185">
    <w:nsid w:val="683CAAD3"/>
    <w:multiLevelType w:val="hybridMultilevel"/>
    <w:lvl w:ilvl="0">
      <w:lvlJc w:val="left"/>
      <w:lvlText w:val="(%1)"/>
      <w:numFmt w:val="decimal"/>
      <w:start w:val="3"/>
    </w:lvl>
    <w:lvl w:ilvl="1">
      <w:lvlJc w:val="left"/>
      <w:lvlText w:val="(%2)"/>
      <w:numFmt w:val="lowerLetter"/>
      <w:start w:val="1"/>
    </w:lvl>
  </w:abstractNum>
  <w:abstractNum w:abstractNumId="186">
    <w:nsid w:val="313C7C99"/>
    <w:multiLevelType w:val="hybridMultilevel"/>
    <w:lvl w:ilvl="0">
      <w:lvlJc w:val="left"/>
      <w:lvlText w:val="(%1)"/>
      <w:numFmt w:val="decimal"/>
      <w:start w:val="1"/>
    </w:lvl>
  </w:abstractNum>
  <w:abstractNum w:abstractNumId="187">
    <w:nsid w:val="519EB94C"/>
    <w:multiLevelType w:val="hybridMultilevel"/>
    <w:lvl w:ilvl="0">
      <w:lvlJc w:val="left"/>
      <w:lvlText w:val="(%1)"/>
      <w:numFmt w:val="decimal"/>
      <w:start w:val="1"/>
    </w:lvl>
  </w:abstractNum>
  <w:abstractNum w:abstractNumId="188">
    <w:nsid w:val="39DF2579"/>
    <w:multiLevelType w:val="hybridMultilevel"/>
    <w:lvl w:ilvl="0">
      <w:lvlJc w:val="left"/>
      <w:lvlText w:val="(%1)"/>
      <w:numFmt w:val="decimal"/>
      <w:start w:val="1"/>
    </w:lvl>
  </w:abstractNum>
  <w:abstractNum w:abstractNumId="189">
    <w:nsid w:val="126E008B"/>
    <w:multiLevelType w:val="hybridMultilevel"/>
    <w:lvl w:ilvl="0">
      <w:lvlJc w:val="left"/>
      <w:lvlText w:val="(%1)"/>
      <w:numFmt w:val="decimal"/>
      <w:start w:val="1"/>
    </w:lvl>
  </w:abstractNum>
  <w:abstractNum w:abstractNumId="190">
    <w:nsid w:val="34DFBC00"/>
    <w:multiLevelType w:val="hybridMultilevel"/>
    <w:lvl w:ilvl="0">
      <w:lvlJc w:val="left"/>
      <w:lvlText w:val="%1"/>
      <w:numFmt w:val="lowerRoman"/>
      <w:start w:val="1"/>
    </w:lvl>
    <w:lvl w:ilvl="1">
      <w:lvlJc w:val="left"/>
      <w:lvlText w:val="(%2)"/>
      <w:numFmt w:val="decimal"/>
      <w:start w:val="1"/>
    </w:lvl>
  </w:abstractNum>
  <w:abstractNum w:abstractNumId="191">
    <w:nsid w:val="1F9EC322"/>
    <w:multiLevelType w:val="hybridMultilevel"/>
    <w:lvl w:ilvl="0">
      <w:lvlJc w:val="left"/>
      <w:lvlText w:val="(%1)"/>
      <w:numFmt w:val="lowerRoman"/>
      <w:start w:val="2"/>
    </w:lvl>
    <w:lvl w:ilvl="1">
      <w:lvlJc w:val="left"/>
      <w:lvlText w:val="(%2)"/>
      <w:numFmt w:val="decimal"/>
      <w:start w:val="4"/>
    </w:lvl>
  </w:abstractNum>
  <w:abstractNum w:abstractNumId="192">
    <w:nsid w:val="3410ED56"/>
    <w:multiLevelType w:val="hybridMultilevel"/>
    <w:lvl w:ilvl="0">
      <w:lvlJc w:val="left"/>
      <w:lvlText w:val="%1"/>
      <w:numFmt w:val="lowerLetter"/>
      <w:start w:val="1"/>
    </w:lvl>
    <w:lvl w:ilvl="1">
      <w:lvlJc w:val="left"/>
      <w:lvlText w:val="(%2)"/>
      <w:numFmt w:val="decimal"/>
      <w:start w:val="1"/>
    </w:lvl>
  </w:abstractNum>
  <w:abstractNum w:abstractNumId="193">
    <w:nsid w:val="23C049A"/>
    <w:multiLevelType w:val="hybridMultilevel"/>
    <w:lvl w:ilvl="0">
      <w:lvlJc w:val="left"/>
      <w:lvlText w:val="(%1)"/>
      <w:numFmt w:val="lowerLetter"/>
      <w:start w:val="1"/>
    </w:lvl>
    <w:lvl w:ilvl="1">
      <w:lvlJc w:val="left"/>
      <w:lvlText w:val="%2"/>
      <w:numFmt w:val="decimal"/>
      <w:start w:val="1"/>
    </w:lvl>
  </w:abstractNum>
  <w:abstractNum w:abstractNumId="194">
    <w:nsid w:val="5BDA35D4"/>
    <w:multiLevelType w:val="hybridMultilevel"/>
    <w:lvl w:ilvl="0">
      <w:lvlJc w:val="left"/>
      <w:lvlText w:val="(%1)"/>
      <w:numFmt w:val="decimal"/>
      <w:start w:val="3"/>
    </w:lvl>
  </w:abstractNum>
  <w:abstractNum w:abstractNumId="195">
    <w:nsid w:val="496FB218"/>
    <w:multiLevelType w:val="hybridMultilevel"/>
    <w:lvl w:ilvl="0">
      <w:lvlJc w:val="left"/>
      <w:lvlText w:val="(%1)"/>
      <w:numFmt w:val="decimal"/>
      <w:start w:val="1"/>
    </w:lvl>
    <w:lvl w:ilvl="1">
      <w:lvlJc w:val="left"/>
      <w:lvlText w:val="(%2)"/>
      <w:numFmt w:val="lowerLetter"/>
      <w:start w:val="1"/>
    </w:lvl>
  </w:abstractNum>
  <w:abstractNum w:abstractNumId="196">
    <w:nsid w:val="680EA5D1"/>
    <w:multiLevelType w:val="hybridMultilevel"/>
    <w:lvl w:ilvl="0">
      <w:lvlJc w:val="left"/>
      <w:lvlText w:val="(%1)"/>
      <w:numFmt w:val="decimal"/>
      <w:start w:val="8"/>
    </w:lvl>
  </w:abstractNum>
  <w:abstractNum w:abstractNumId="197">
    <w:nsid w:val="4A9554FE"/>
    <w:multiLevelType w:val="hybridMultilevel"/>
    <w:lvl w:ilvl="0">
      <w:lvlJc w:val="left"/>
      <w:lvlText w:val="(%1)"/>
      <w:numFmt w:val="decimal"/>
      <w:start w:val="1"/>
    </w:lvl>
    <w:lvl w:ilvl="1">
      <w:lvlJc w:val="left"/>
      <w:lvlText w:val="(%2)"/>
      <w:numFmt w:val="lowerLetter"/>
      <w:start w:val="1"/>
    </w:lvl>
  </w:abstractNum>
  <w:abstractNum w:abstractNumId="198">
    <w:nsid w:val="392EDBE4"/>
    <w:multiLevelType w:val="hybridMultilevel"/>
    <w:lvl w:ilvl="0">
      <w:lvlJc w:val="left"/>
      <w:lvlText w:val="(%1)"/>
      <w:numFmt w:val="decimal"/>
      <w:start w:val="4"/>
    </w:lvl>
  </w:abstractNum>
  <w:abstractNum w:abstractNumId="199">
    <w:nsid w:val="3D1A2DD9"/>
    <w:multiLevelType w:val="hybridMultilevel"/>
    <w:lvl w:ilvl="0">
      <w:lvlJc w:val="left"/>
      <w:lvlText w:val="(%1)"/>
      <w:numFmt w:val="decimal"/>
      <w:start w:val="14"/>
    </w:lvl>
    <w:lvl w:ilvl="1">
      <w:lvlJc w:val="left"/>
      <w:lvlText w:val="(%2)"/>
      <w:numFmt w:val="lowerLetter"/>
      <w:start w:val="1"/>
    </w:lvl>
  </w:abstractNum>
  <w:abstractNum w:abstractNumId="200">
    <w:nsid w:val="7F618FCD"/>
    <w:multiLevelType w:val="hybridMultilevel"/>
    <w:lvl w:ilvl="0">
      <w:lvlJc w:val="left"/>
      <w:lvlText w:val="%1"/>
      <w:numFmt w:val="decimal"/>
      <w:start w:val="1"/>
    </w:lvl>
    <w:lvl w:ilvl="1">
      <w:lvlJc w:val="left"/>
      <w:lvlText w:val="(%2)"/>
      <w:numFmt w:val="lowerLetter"/>
      <w:start w:val="1"/>
    </w:lvl>
  </w:abstractNum>
  <w:abstractNum w:abstractNumId="201">
    <w:nsid w:val="7843E45"/>
    <w:multiLevelType w:val="hybridMultilevel"/>
    <w:lvl w:ilvl="0">
      <w:lvlJc w:val="left"/>
      <w:lvlText w:val="(%1)"/>
      <w:numFmt w:val="decimal"/>
      <w:start w:val="23"/>
    </w:lvl>
    <w:lvl w:ilvl="1">
      <w:lvlJc w:val="left"/>
      <w:lvlText w:val="%2"/>
      <w:numFmt w:val="lowerLetter"/>
      <w:start w:val="1"/>
    </w:lvl>
  </w:abstractNum>
  <w:abstractNum w:abstractNumId="202">
    <w:nsid w:val="9815DA3"/>
    <w:multiLevelType w:val="hybridMultilevel"/>
    <w:lvl w:ilvl="0">
      <w:lvlJc w:val="left"/>
      <w:lvlText w:val="(%1)"/>
      <w:numFmt w:val="decimal"/>
      <w:start w:val="1"/>
    </w:lvl>
  </w:abstractNum>
  <w:abstractNum w:abstractNumId="203">
    <w:nsid w:val="5204A191"/>
    <w:multiLevelType w:val="hybridMultilevel"/>
    <w:lvl w:ilvl="0">
      <w:lvlJc w:val="left"/>
      <w:lvlText w:val="(%1)"/>
      <w:numFmt w:val="decimal"/>
      <w:start w:val="2"/>
    </w:lvl>
  </w:abstractNum>
  <w:abstractNum w:abstractNumId="204">
    <w:nsid w:val="4C73A9C6"/>
    <w:multiLevelType w:val="hybridMultilevel"/>
    <w:lvl w:ilvl="0">
      <w:lvlJc w:val="left"/>
      <w:lvlText w:val="(%1)"/>
      <w:numFmt w:val="decimal"/>
      <w:start w:val="1"/>
    </w:lvl>
  </w:abstractNum>
  <w:abstractNum w:abstractNumId="205">
    <w:nsid w:val="1C7E3C01"/>
    <w:multiLevelType w:val="hybridMultilevel"/>
    <w:lvl w:ilvl="0">
      <w:lvlJc w:val="left"/>
      <w:lvlText w:val="(%1)"/>
      <w:numFmt w:val="decimal"/>
      <w:start w:val="1"/>
    </w:lvl>
  </w:abstractNum>
  <w:abstractNum w:abstractNumId="206">
    <w:nsid w:val="1C2201FF"/>
    <w:multiLevelType w:val="hybridMultilevel"/>
    <w:lvl w:ilvl="0">
      <w:lvlJc w:val="left"/>
      <w:lvlText w:val="(%1)"/>
      <w:numFmt w:val="decimal"/>
      <w:start w:val="1"/>
    </w:lvl>
  </w:abstractNum>
  <w:abstractNum w:abstractNumId="207">
    <w:nsid w:val="50ABCEC9"/>
    <w:multiLevelType w:val="hybridMultilevel"/>
    <w:lvl w:ilvl="0">
      <w:lvlJc w:val="left"/>
      <w:lvlText w:val="(%1)"/>
      <w:numFmt w:val="decimal"/>
      <w:start w:val="1"/>
    </w:lvl>
  </w:abstractNum>
  <w:abstractNum w:abstractNumId="208">
    <w:nsid w:val="7635AA2A"/>
    <w:multiLevelType w:val="hybridMultilevel"/>
    <w:lvl w:ilvl="0">
      <w:lvlJc w:val="left"/>
      <w:lvlText w:val="(%1)"/>
      <w:numFmt w:val="decimal"/>
      <w:start w:val="1"/>
    </w:lvl>
  </w:abstractNum>
  <w:abstractNum w:abstractNumId="209">
    <w:nsid w:val="5E74C4D9"/>
    <w:multiLevelType w:val="hybridMultilevel"/>
    <w:lvl w:ilvl="0">
      <w:lvlJc w:val="left"/>
      <w:lvlText w:val="(%1)"/>
      <w:numFmt w:val="decimal"/>
      <w:start w:val="1"/>
    </w:lvl>
  </w:abstractNum>
  <w:abstractNum w:abstractNumId="210">
    <w:nsid w:val="3B3EBE15"/>
    <w:multiLevelType w:val="hybridMultilevel"/>
    <w:lvl w:ilvl="0">
      <w:lvlJc w:val="left"/>
      <w:lvlText w:val="(%1)"/>
      <w:numFmt w:val="decimal"/>
      <w:start w:val="1"/>
    </w:lvl>
  </w:abstractNum>
  <w:abstractNum w:abstractNumId="211">
    <w:nsid w:val="3822CB01"/>
    <w:multiLevelType w:val="hybridMultilevel"/>
    <w:lvl w:ilvl="0">
      <w:lvlJc w:val="left"/>
      <w:lvlText w:val="•"/>
      <w:numFmt w:val="bullet"/>
      <w:start w:val="1"/>
    </w:lvl>
  </w:abstractNum>
  <w:abstractNum w:abstractNumId="212">
    <w:nsid w:val="6CE00443"/>
    <w:multiLevelType w:val="hybridMultilevel"/>
    <w:lvl w:ilvl="0">
      <w:lvlJc w:val="left"/>
      <w:lvlText w:val="•"/>
      <w:numFmt w:val="bullet"/>
      <w:start w:val="1"/>
    </w:lvl>
  </w:abstractNum>
  <w:abstractNum w:abstractNumId="213">
    <w:nsid w:val="79F0D62F"/>
    <w:multiLevelType w:val="hybridMultilevel"/>
    <w:lvl w:ilvl="0">
      <w:lvlJc w:val="left"/>
      <w:lvlText w:val="•"/>
      <w:numFmt w:val="bullet"/>
      <w:start w:val="1"/>
    </w:lvl>
  </w:abstractNum>
  <w:abstractNum w:abstractNumId="214">
    <w:nsid w:val="7975E8EE"/>
    <w:multiLevelType w:val="hybridMultilevel"/>
    <w:lvl w:ilvl="0">
      <w:lvlJc w:val="left"/>
      <w:lvlText w:val="(%1)"/>
      <w:numFmt w:val="decimal"/>
      <w:start w:val="1"/>
    </w:lvl>
    <w:lvl w:ilvl="1">
      <w:lvlJc w:val="left"/>
      <w:lvlText w:val="(%2)"/>
      <w:numFmt w:val="lowerLetter"/>
      <w:start w:val="1"/>
    </w:lvl>
  </w:abstractNum>
  <w:abstractNum w:abstractNumId="215">
    <w:nsid w:val="73154115"/>
    <w:multiLevelType w:val="hybridMultilevel"/>
    <w:lvl w:ilvl="0">
      <w:lvlJc w:val="left"/>
      <w:lvlText w:val="(%1)"/>
      <w:numFmt w:val="decimal"/>
      <w:start w:val="1"/>
    </w:lvl>
  </w:abstractNum>
  <w:abstractNum w:abstractNumId="216">
    <w:nsid w:val="622D8102"/>
    <w:multiLevelType w:val="hybridMultilevel"/>
    <w:lvl w:ilvl="0">
      <w:lvlJc w:val="left"/>
      <w:lvlText w:val="(%1)"/>
      <w:numFmt w:val="decimal"/>
      <w:start w:val="3"/>
    </w:lvl>
  </w:abstractNum>
  <w:abstractNum w:abstractNumId="217">
    <w:nsid w:val="2AB26587"/>
    <w:multiLevelType w:val="hybridMultilevel"/>
    <w:lvl w:ilvl="0">
      <w:lvlJc w:val="left"/>
      <w:lvlText w:val="(%1)"/>
      <w:numFmt w:val="decimal"/>
      <w:start w:val="1"/>
    </w:lvl>
  </w:abstractNum>
  <w:abstractNum w:abstractNumId="218">
    <w:nsid w:val="44B3FA61"/>
    <w:multiLevelType w:val="hybridMultilevel"/>
    <w:lvl w:ilvl="0">
      <w:lvlJc w:val="left"/>
      <w:lvlText w:val="(%1)"/>
      <w:numFmt w:val="decimal"/>
      <w:start w:val="1"/>
    </w:lvl>
  </w:abstractNum>
  <w:abstractNum w:abstractNumId="219">
    <w:nsid w:val="1C0CA67C"/>
    <w:multiLevelType w:val="hybridMultilevel"/>
    <w:lvl w:ilvl="0">
      <w:lvlJc w:val="left"/>
      <w:lvlText w:val="(%1)"/>
      <w:numFmt w:val="decimal"/>
      <w:start w:val="1"/>
    </w:lvl>
  </w:abstractNum>
  <w:abstractNum w:abstractNumId="220">
    <w:nsid w:val="3D206613"/>
    <w:multiLevelType w:val="hybridMultilevel"/>
    <w:lvl w:ilvl="0">
      <w:lvlJc w:val="left"/>
      <w:lvlText w:val="(%1)"/>
      <w:numFmt w:val="decimal"/>
      <w:start w:val="3"/>
    </w:lvl>
  </w:abstractNum>
  <w:abstractNum w:abstractNumId="221">
    <w:nsid w:val="7993B662"/>
    <w:multiLevelType w:val="hybridMultilevel"/>
    <w:lvl w:ilvl="0">
      <w:lvlJc w:val="left"/>
      <w:lvlText w:val="%1"/>
      <w:numFmt w:val="decimal"/>
      <w:start w:val="1"/>
    </w:lvl>
    <w:lvl w:ilvl="1">
      <w:lvlJc w:val="left"/>
      <w:lvlText w:val="(%2)"/>
      <w:numFmt w:val="decimal"/>
      <w:start w:val="1"/>
    </w:lvl>
  </w:abstractNum>
  <w:abstractNum w:abstractNumId="222">
    <w:nsid w:val="3BAB699E"/>
    <w:multiLevelType w:val="hybridMultilevel"/>
    <w:lvl w:ilvl="0">
      <w:lvlJc w:val="left"/>
      <w:lvlText w:val="(%1)"/>
      <w:numFmt w:val="decimal"/>
      <w:start w:val="6"/>
    </w:lvl>
    <w:lvl w:ilvl="1">
      <w:lvlJc w:val="left"/>
      <w:lvlText w:val="(%2)"/>
      <w:numFmt w:val="decimal"/>
      <w:start w:val="8"/>
    </w:lvl>
  </w:abstractNum>
  <w:abstractNum w:abstractNumId="223">
    <w:nsid w:val="71315369"/>
    <w:multiLevelType w:val="hybridMultilevel"/>
    <w:lvl w:ilvl="0">
      <w:lvlJc w:val="left"/>
      <w:lvlText w:val="(%1)"/>
      <w:numFmt w:val="decimal"/>
      <w:start w:val="6"/>
    </w:lvl>
    <w:lvl w:ilvl="1">
      <w:lvlJc w:val="left"/>
      <w:lvlText w:val="%2"/>
      <w:numFmt w:val="decimal"/>
      <w:start w:val="1"/>
    </w:lvl>
  </w:abstractNum>
  <w:abstractNum w:abstractNumId="224">
    <w:nsid w:val="7BCFBA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5">
    <w:nsid w:val="17859F72"/>
    <w:multiLevelType w:val="hybridMultilevel"/>
    <w:lvl w:ilvl="0">
      <w:lvlJc w:val="left"/>
      <w:lvlText w:val="(%1)"/>
      <w:numFmt w:val="decimal"/>
      <w:start w:val="1"/>
    </w:lvl>
  </w:abstractNum>
  <w:abstractNum w:abstractNumId="226">
    <w:nsid w:val="3AA10581"/>
    <w:multiLevelType w:val="hybridMultilevel"/>
    <w:lvl w:ilvl="0">
      <w:lvlJc w:val="left"/>
      <w:lvlText w:val="(%1)"/>
      <w:numFmt w:val="decimal"/>
      <w:start w:val="1"/>
    </w:lvl>
  </w:abstractNum>
  <w:abstractNum w:abstractNumId="227">
    <w:nsid w:val="63DE60CD"/>
    <w:multiLevelType w:val="hybridMultilevel"/>
    <w:lvl w:ilvl="0">
      <w:lvlJc w:val="left"/>
      <w:lvlText w:val="(%1)"/>
      <w:numFmt w:val="decimal"/>
      <w:start w:val="1"/>
    </w:lvl>
    <w:lvl w:ilvl="1">
      <w:lvlJc w:val="left"/>
      <w:lvlText w:val="(%2)"/>
      <w:numFmt w:val="lowerLetter"/>
      <w:start w:val="1"/>
    </w:lvl>
  </w:abstractNum>
  <w:abstractNum w:abstractNumId="228">
    <w:nsid w:val="621AF471"/>
    <w:multiLevelType w:val="hybridMultilevel"/>
    <w:lvl w:ilvl="0">
      <w:lvlJc w:val="left"/>
      <w:lvlText w:val="(%1)"/>
      <w:numFmt w:val="decimal"/>
      <w:start w:val="1"/>
    </w:lvl>
  </w:abstractNum>
  <w:abstractNum w:abstractNumId="229">
    <w:nsid w:val="73CFE165"/>
    <w:multiLevelType w:val="hybridMultilevel"/>
    <w:lvl w:ilvl="0">
      <w:lvlJc w:val="left"/>
      <w:lvlText w:val="(%1)"/>
      <w:numFmt w:val="decimal"/>
      <w:start w:val="3"/>
    </w:lvl>
  </w:abstractNum>
  <w:abstractNum w:abstractNumId="230">
    <w:nsid w:val="20F88EA6"/>
    <w:multiLevelType w:val="hybridMultilevel"/>
    <w:lvl w:ilvl="0">
      <w:lvlJc w:val="left"/>
      <w:lvlText w:val="(%1)"/>
      <w:numFmt w:val="decimal"/>
      <w:start w:val="2"/>
    </w:lvl>
  </w:abstractNum>
  <w:abstractNum w:abstractNumId="231">
    <w:nsid w:val="617C843E"/>
    <w:multiLevelType w:val="hybridMultilevel"/>
    <w:lvl w:ilvl="0">
      <w:lvlJc w:val="left"/>
      <w:lvlText w:val="(%1)"/>
      <w:numFmt w:val="decimal"/>
      <w:start w:val="1"/>
    </w:lvl>
  </w:abstractNum>
  <w:abstractNum w:abstractNumId="232">
    <w:nsid w:val="7B541FAB"/>
    <w:multiLevelType w:val="hybridMultilevel"/>
    <w:lvl w:ilvl="0">
      <w:lvlJc w:val="left"/>
      <w:lvlText w:val="%1"/>
      <w:numFmt w:val="lowerLetter"/>
      <w:start w:val="1"/>
    </w:lvl>
    <w:lvl w:ilvl="1">
      <w:lvlJc w:val="left"/>
      <w:lvlText w:val="(%2)"/>
      <w:numFmt w:val="decimal"/>
      <w:start w:val="1"/>
    </w:lvl>
  </w:abstractNum>
  <w:abstractNum w:abstractNumId="233">
    <w:nsid w:val="2A79EC49"/>
    <w:multiLevelType w:val="hybridMultilevel"/>
    <w:lvl w:ilvl="0">
      <w:lvlJc w:val="left"/>
      <w:lvlText w:val="(%1)"/>
      <w:numFmt w:val="lowerLetter"/>
      <w:start w:val="2"/>
    </w:lvl>
    <w:lvl w:ilvl="1">
      <w:lvlJc w:val="left"/>
      <w:lvlText w:val="(%2)"/>
      <w:numFmt w:val="decimal"/>
      <w:start w:val="2"/>
    </w:lvl>
  </w:abstractNum>
  <w:abstractNum w:abstractNumId="234">
    <w:nsid w:val="338125CF"/>
    <w:multiLevelType w:val="hybridMultilevel"/>
    <w:lvl w:ilvl="0">
      <w:lvlJc w:val="left"/>
      <w:lvlText w:val="(%1)"/>
      <w:numFmt w:val="decimal"/>
      <w:start w:val="1"/>
    </w:lvl>
  </w:abstractNum>
  <w:abstractNum w:abstractNumId="235">
    <w:nsid w:val="47C7C971"/>
    <w:multiLevelType w:val="hybridMultilevel"/>
    <w:lvl w:ilvl="0">
      <w:lvlJc w:val="left"/>
      <w:lvlText w:val="(%1)"/>
      <w:numFmt w:val="decimal"/>
      <w:start w:val="3"/>
    </w:lvl>
    <w:lvl w:ilvl="1">
      <w:lvlJc w:val="left"/>
      <w:lvlText w:val="(%2)"/>
      <w:numFmt w:val="lowerLetter"/>
      <w:start w:val="1"/>
    </w:lvl>
  </w:abstractNum>
  <w:abstractNum w:abstractNumId="236">
    <w:nsid w:val="46F8284B"/>
    <w:multiLevelType w:val="hybridMultilevel"/>
    <w:lvl w:ilvl="0">
      <w:lvlJc w:val="left"/>
      <w:lvlText w:val="%1"/>
      <w:numFmt w:val="lowerLetter"/>
      <w:start w:val="1"/>
    </w:lvl>
    <w:lvl w:ilvl="1">
      <w:lvlJc w:val="left"/>
      <w:lvlText w:val="(%2)"/>
      <w:numFmt w:val="lowerLetter"/>
      <w:start w:val="2"/>
    </w:lvl>
  </w:abstractNum>
  <w:abstractNum w:abstractNumId="237">
    <w:nsid w:val="4FA327CE"/>
    <w:multiLevelType w:val="hybridMultilevel"/>
    <w:lvl w:ilvl="0">
      <w:lvlJc w:val="left"/>
      <w:lvlText w:val="(%1)"/>
      <w:numFmt w:val="lowerLetter"/>
      <w:start w:val="35"/>
    </w:lvl>
    <w:lvl w:ilvl="1">
      <w:lvlJc w:val="left"/>
      <w:lvlText w:val="%2"/>
      <w:numFmt w:val="lowerLetter"/>
      <w:start w:val="1"/>
    </w:lvl>
  </w:abstractNum>
  <w:abstractNum w:abstractNumId="238">
    <w:nsid w:val="1873983A"/>
    <w:multiLevelType w:val="hybridMultilevel"/>
    <w:lvl w:ilvl="0">
      <w:lvlJc w:val="left"/>
      <w:lvlText w:val="(%1)"/>
      <w:numFmt w:val="lowerLetter"/>
      <w:start w:val="4"/>
    </w:lvl>
  </w:abstractNum>
  <w:abstractNum w:abstractNumId="239">
    <w:nsid w:val="3D2DD275"/>
    <w:multiLevelType w:val="hybridMultilevel"/>
    <w:lvl w:ilvl="0">
      <w:lvlJc w:val="left"/>
      <w:lvlText w:val="(%1)"/>
      <w:numFmt w:val="decimal"/>
      <w:start w:val="1"/>
    </w:lvl>
  </w:abstractNum>
  <w:abstractNum w:abstractNumId="240">
    <w:nsid w:val="2E17ECA7"/>
    <w:multiLevelType w:val="hybridMultilevel"/>
    <w:lvl w:ilvl="0">
      <w:lvlJc w:val="left"/>
      <w:lvlText w:val="(%1)"/>
      <w:numFmt w:val="decimal"/>
      <w:start w:val="4"/>
    </w:lvl>
  </w:abstractNum>
  <w:abstractNum w:abstractNumId="241">
    <w:nsid w:val="53B2564F"/>
    <w:multiLevelType w:val="hybridMultilevel"/>
    <w:lvl w:ilvl="0">
      <w:lvlJc w:val="left"/>
      <w:lvlText w:val="(%1)"/>
      <w:numFmt w:val="decimal"/>
      <w:start w:val="7"/>
    </w:lvl>
  </w:abstractNum>
  <w:abstractNum w:abstractNumId="242">
    <w:nsid w:val="75509D76"/>
    <w:multiLevelType w:val="hybridMultilevel"/>
    <w:lvl w:ilvl="0">
      <w:lvlJc w:val="left"/>
      <w:lvlText w:val="(%1)"/>
      <w:numFmt w:val="decimal"/>
      <w:start w:val="2"/>
    </w:lvl>
  </w:abstractNum>
  <w:abstractNum w:abstractNumId="243">
    <w:nsid w:val="1AF7F0E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4">
    <w:nsid w:val="4DA32C7E"/>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245">
    <w:nsid w:val="6EC68664"/>
    <w:multiLevelType w:val="hybridMultilevel"/>
    <w:lvl w:ilvl="0">
      <w:lvlJc w:val="left"/>
      <w:lvlText w:val="(%1)"/>
      <w:numFmt w:val="decimal"/>
      <w:start w:val="5"/>
    </w:lvl>
  </w:abstractNum>
  <w:abstractNum w:abstractNumId="246">
    <w:nsid w:val="E0D31FF"/>
    <w:multiLevelType w:val="hybridMultilevel"/>
    <w:lvl w:ilvl="0">
      <w:lvlJc w:val="left"/>
      <w:lvlText w:val="%1"/>
      <w:numFmt w:val="upperLetter"/>
      <w:start w:val="1"/>
    </w:lvl>
    <w:lvl w:ilvl="1">
      <w:lvlJc w:val="left"/>
      <w:lvlText w:val="(%2)"/>
      <w:numFmt w:val="decimal"/>
      <w:start w:val="8"/>
    </w:lvl>
  </w:abstractNum>
  <w:abstractNum w:abstractNumId="247">
    <w:nsid w:val="2FD0AD81"/>
    <w:multiLevelType w:val="hybridMultilevel"/>
    <w:lvl w:ilvl="0">
      <w:lvlJc w:val="left"/>
      <w:lvlText w:val="(%1)"/>
      <w:numFmt w:val="decimal"/>
      <w:start w:val="1"/>
    </w:lvl>
    <w:lvl w:ilvl="1">
      <w:lvlJc w:val="left"/>
      <w:lvlText w:val="(%2)"/>
      <w:numFmt w:val="lowerLetter"/>
      <w:start w:val="1"/>
    </w:lvl>
  </w:abstractNum>
  <w:abstractNum w:abstractNumId="248">
    <w:nsid w:val="1978EBEB"/>
    <w:multiLevelType w:val="hybridMultilevel"/>
    <w:lvl w:ilvl="0">
      <w:lvlJc w:val="left"/>
      <w:lvlText w:val="(%1)"/>
      <w:numFmt w:val="decimal"/>
      <w:start w:val="1"/>
    </w:lvl>
  </w:abstractNum>
  <w:abstractNum w:abstractNumId="249">
    <w:nsid w:val="52C12C61"/>
    <w:multiLevelType w:val="hybridMultilevel"/>
    <w:lvl w:ilvl="0">
      <w:lvlJc w:val="left"/>
      <w:lvlText w:val="(%1)"/>
      <w:numFmt w:val="decimal"/>
      <w:start w:val="1"/>
    </w:lvl>
  </w:abstractNum>
  <w:abstractNum w:abstractNumId="250">
    <w:nsid w:val="4BDD53FD"/>
    <w:multiLevelType w:val="hybridMultilevel"/>
    <w:lvl w:ilvl="0">
      <w:lvlJc w:val="left"/>
      <w:lvlText w:val="(%1)"/>
      <w:numFmt w:val="decimal"/>
      <w:start w:val="3"/>
    </w:lvl>
  </w:abstractNum>
  <w:abstractNum w:abstractNumId="251">
    <w:nsid w:val="569951FE"/>
    <w:multiLevelType w:val="hybridMultilevel"/>
    <w:lvl w:ilvl="0">
      <w:lvlJc w:val="left"/>
      <w:lvlText w:val="(%1)"/>
      <w:numFmt w:val="decimal"/>
      <w:start w:val="1"/>
    </w:lvl>
  </w:abstractNum>
  <w:abstractNum w:abstractNumId="252">
    <w:nsid w:val="4C54E2C3"/>
    <w:multiLevelType w:val="hybridMultilevel"/>
    <w:lvl w:ilvl="0">
      <w:lvlJc w:val="left"/>
      <w:lvlText w:val="(%1)"/>
      <w:numFmt w:val="decimal"/>
      <w:start w:val="5"/>
    </w:lvl>
    <w:lvl w:ilvl="1">
      <w:lvlJc w:val="left"/>
      <w:lvlText w:val="(%2)"/>
      <w:numFmt w:val="lowerLetter"/>
      <w:start w:val="1"/>
    </w:lvl>
  </w:abstractNum>
  <w:abstractNum w:abstractNumId="253">
    <w:nsid w:val="788BD9B"/>
    <w:multiLevelType w:val="hybridMultilevel"/>
    <w:lvl w:ilvl="0">
      <w:lvlJc w:val="left"/>
      <w:lvlText w:val="(%1)"/>
      <w:numFmt w:val="decimal"/>
      <w:start w:val="1"/>
    </w:lvl>
    <w:lvl w:ilvl="1">
      <w:lvlJc w:val="left"/>
      <w:lvlText w:val="(%2)"/>
      <w:numFmt w:val="lowerLetter"/>
      <w:start w:val="1"/>
    </w:lvl>
  </w:abstractNum>
  <w:abstractNum w:abstractNumId="254">
    <w:nsid w:val="47CAA567"/>
    <w:multiLevelType w:val="hybridMultilevel"/>
    <w:lvl w:ilvl="0">
      <w:lvlJc w:val="left"/>
      <w:lvlText w:val="(%1)"/>
      <w:numFmt w:val="decimal"/>
      <w:start w:val="1"/>
    </w:lvl>
  </w:abstractNum>
  <w:abstractNum w:abstractNumId="255">
    <w:nsid w:val="48249DBF"/>
    <w:multiLevelType w:val="hybridMultilevel"/>
    <w:lvl w:ilvl="0">
      <w:lvlJc w:val="left"/>
      <w:lvlText w:val="(%1)"/>
      <w:numFmt w:val="decimal"/>
      <w:start w:val="7"/>
    </w:lvl>
  </w:abstractNum>
  <w:abstractNum w:abstractNumId="256">
    <w:nsid w:val="1F0E5D0D"/>
    <w:multiLevelType w:val="hybridMultilevel"/>
    <w:lvl w:ilvl="0">
      <w:lvlJc w:val="left"/>
      <w:lvlText w:val="(%1)"/>
      <w:numFmt w:val="decimal"/>
      <w:start w:val="1"/>
    </w:lvl>
  </w:abstractNum>
  <w:abstractNum w:abstractNumId="257">
    <w:nsid w:val="26BAAE9"/>
    <w:multiLevelType w:val="hybridMultilevel"/>
    <w:lvl w:ilvl="0">
      <w:lvlJc w:val="left"/>
      <w:lvlText w:val="(%1)"/>
      <w:numFmt w:val="decimal"/>
      <w:start w:val="1"/>
    </w:lvl>
    <w:lvl w:ilvl="1">
      <w:lvlJc w:val="left"/>
      <w:lvlText w:val="(%2)"/>
      <w:numFmt w:val="lowerLetter"/>
      <w:start w:val="1"/>
    </w:lvl>
  </w:abstractNum>
  <w:abstractNum w:abstractNumId="258">
    <w:nsid w:val="2C02FE8C"/>
    <w:multiLevelType w:val="hybridMultilevel"/>
    <w:lvl w:ilvl="0">
      <w:lvlJc w:val="left"/>
      <w:lvlText w:val="(%1)"/>
      <w:numFmt w:val="decimal"/>
      <w:start w:val="1"/>
    </w:lvl>
  </w:abstractNum>
  <w:abstractNum w:abstractNumId="259">
    <w:nsid w:val="129517E"/>
    <w:multiLevelType w:val="hybridMultilevel"/>
    <w:lvl w:ilvl="0">
      <w:lvlJc w:val="left"/>
      <w:lvlText w:val="(%1)"/>
      <w:numFmt w:val="decimal"/>
      <w:start w:val="1"/>
    </w:lvl>
  </w:abstractNum>
  <w:abstractNum w:abstractNumId="260">
    <w:nsid w:val="763B8C4E"/>
    <w:multiLevelType w:val="hybridMultilevel"/>
    <w:lvl w:ilvl="0">
      <w:lvlJc w:val="left"/>
      <w:lvlText w:val="(%1)"/>
      <w:numFmt w:val="decimal"/>
      <w:start w:val="1"/>
    </w:lvl>
  </w:abstractNum>
  <w:abstractNum w:abstractNumId="261">
    <w:nsid w:val="4CFB8D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62">
    <w:nsid w:val="62A5D5B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63">
    <w:nsid w:val="718FABF9"/>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64">
    <w:nsid w:val="7775797C"/>
    <w:multiLevelType w:val="hybridMultilevel"/>
    <w:lvl w:ilvl="0">
      <w:lvlJc w:val="left"/>
      <w:lvlText w:val="(%1)"/>
      <w:numFmt w:val="lowerLetter"/>
      <w:start w:val="1"/>
    </w:lvl>
  </w:abstractNum>
  <w:abstractNum w:abstractNumId="265">
    <w:nsid w:val="1626FB8C"/>
    <w:multiLevelType w:val="hybridMultilevel"/>
    <w:lvl w:ilvl="0">
      <w:lvlJc w:val="left"/>
      <w:lvlText w:val="(%1)"/>
      <w:numFmt w:val="decimal"/>
      <w:start w:val="4"/>
    </w:lvl>
  </w:abstractNum>
  <w:abstractNum w:abstractNumId="266">
    <w:nsid w:val="3957756A"/>
    <w:multiLevelType w:val="hybridMultilevel"/>
    <w:lvl w:ilvl="0">
      <w:lvlJc w:val="left"/>
      <w:lvlText w:val="(%1)"/>
      <w:numFmt w:val="decimal"/>
      <w:start w:val="1"/>
    </w:lvl>
    <w:lvl w:ilvl="1">
      <w:lvlJc w:val="left"/>
      <w:lvlText w:val="(%2)"/>
      <w:numFmt w:val="lowerLetter"/>
      <w:start w:val="1"/>
    </w:lvl>
  </w:abstractNum>
  <w:abstractNum w:abstractNumId="267">
    <w:nsid w:val="3E6DA1C7"/>
    <w:multiLevelType w:val="hybridMultilevel"/>
    <w:lvl w:ilvl="0">
      <w:lvlJc w:val="left"/>
      <w:lvlText w:val="(%1)"/>
      <w:numFmt w:val="decimal"/>
      <w:start w:val="1"/>
    </w:lvl>
  </w:abstractNum>
  <w:abstractNum w:abstractNumId="268">
    <w:nsid w:val="65CA235B"/>
    <w:multiLevelType w:val="hybridMultilevel"/>
    <w:lvl w:ilvl="0">
      <w:lvlJc w:val="left"/>
      <w:lvlText w:val="(%1)"/>
      <w:numFmt w:val="decimal"/>
      <w:start w:val="2"/>
    </w:lvl>
  </w:abstractNum>
  <w:abstractNum w:abstractNumId="269">
    <w:nsid w:val="51CB0DA4"/>
    <w:multiLevelType w:val="hybridMultilevel"/>
    <w:lvl w:ilvl="0">
      <w:lvlJc w:val="left"/>
      <w:lvlText w:val="(%1)"/>
      <w:numFmt w:val="decimal"/>
      <w:start w:val="1"/>
    </w:lvl>
  </w:abstractNum>
  <w:abstractNum w:abstractNumId="270">
    <w:nsid w:val="7B9B743C"/>
    <w:multiLevelType w:val="hybridMultilevel"/>
    <w:lvl w:ilvl="0">
      <w:lvlJc w:val="left"/>
      <w:lvlText w:val="(%1)"/>
      <w:numFmt w:val="decimal"/>
      <w:start w:val="1"/>
    </w:lvl>
    <w:lvl w:ilvl="1">
      <w:lvlJc w:val="left"/>
      <w:lvlText w:val="(%2)"/>
      <w:numFmt w:val="lowerLetter"/>
      <w:start w:val="1"/>
    </w:lvl>
  </w:abstractNum>
  <w:abstractNum w:abstractNumId="271">
    <w:nsid w:val="13E21002"/>
    <w:multiLevelType w:val="hybridMultilevel"/>
    <w:lvl w:ilvl="0">
      <w:lvlJc w:val="left"/>
      <w:lvlText w:val="(%1)"/>
      <w:numFmt w:val="decimal"/>
      <w:start w:val="6"/>
    </w:lvl>
    <w:lvl w:ilvl="1">
      <w:lvlJc w:val="left"/>
      <w:lvlText w:val="(%2)"/>
      <w:numFmt w:val="lowerLetter"/>
      <w:start w:val="1"/>
    </w:lvl>
  </w:abstractNum>
  <w:abstractNum w:abstractNumId="272">
    <w:nsid w:val="257D63F4"/>
    <w:multiLevelType w:val="hybridMultilevel"/>
    <w:lvl w:ilvl="0">
      <w:lvlJc w:val="left"/>
      <w:lvlText w:val="(%1)"/>
      <w:numFmt w:val="decimal"/>
      <w:start w:val="1"/>
    </w:lvl>
  </w:abstractNum>
  <w:abstractNum w:abstractNumId="273">
    <w:nsid w:val="70EC11B2"/>
    <w:multiLevelType w:val="hybridMultilevel"/>
    <w:lvl w:ilvl="0">
      <w:lvlJc w:val="left"/>
      <w:lvlText w:val="(%1)"/>
      <w:numFmt w:val="decimal"/>
      <w:start w:val="1"/>
    </w:lvl>
  </w:abstractNum>
  <w:abstractNum w:abstractNumId="274">
    <w:nsid w:val="2EDA00ED"/>
    <w:multiLevelType w:val="hybridMultilevel"/>
    <w:lvl w:ilvl="0">
      <w:lvlJc w:val="left"/>
      <w:lvlText w:val="(%1)"/>
      <w:numFmt w:val="decimal"/>
      <w:start w:val="1"/>
    </w:lvl>
  </w:abstractNum>
  <w:abstractNum w:abstractNumId="275">
    <w:nsid w:val="73209072"/>
    <w:multiLevelType w:val="hybridMultilevel"/>
    <w:lvl w:ilvl="0">
      <w:lvlJc w:val="left"/>
      <w:lvlText w:val="%1"/>
      <w:numFmt w:val="lowerLetter"/>
      <w:start w:val="1"/>
    </w:lvl>
    <w:lvl w:ilvl="1">
      <w:lvlJc w:val="left"/>
      <w:lvlText w:val="(%2)"/>
      <w:numFmt w:val="decimal"/>
      <w:start w:val="1"/>
    </w:lvl>
  </w:abstractNum>
  <w:abstractNum w:abstractNumId="276">
    <w:nsid w:val="5FB29816"/>
    <w:multiLevelType w:val="hybridMultilevel"/>
    <w:lvl w:ilvl="0">
      <w:lvlJc w:val="left"/>
      <w:lvlText w:val="(%1)"/>
      <w:numFmt w:val="lowerLetter"/>
      <w:start w:val="1"/>
    </w:lvl>
    <w:lvl w:ilvl="1">
      <w:lvlJc w:val="left"/>
      <w:lvlText w:val="(%2)"/>
      <w:numFmt w:val="decimal"/>
      <w:start w:val="3"/>
    </w:lvl>
  </w:abstractNum>
  <w:abstractNum w:abstractNumId="277">
    <w:nsid w:val="3CE732EC"/>
    <w:multiLevelType w:val="hybridMultilevel"/>
    <w:lvl w:ilvl="0">
      <w:lvlJc w:val="left"/>
      <w:lvlText w:val="(%1)"/>
      <w:numFmt w:val="decimal"/>
      <w:start w:val="5"/>
    </w:lvl>
  </w:abstractNum>
  <w:abstractNum w:abstractNumId="278">
    <w:nsid w:val="22F13DF3"/>
    <w:multiLevelType w:val="hybridMultilevel"/>
    <w:lvl w:ilvl="0">
      <w:lvlJc w:val="left"/>
      <w:lvlText w:val="(%1)"/>
      <w:numFmt w:val="decimal"/>
      <w:start w:val="1"/>
    </w:lvl>
  </w:abstractNum>
  <w:abstractNum w:abstractNumId="279">
    <w:nsid w:val="792B8401"/>
    <w:multiLevelType w:val="hybridMultilevel"/>
    <w:lvl w:ilvl="0">
      <w:lvlJc w:val="left"/>
      <w:lvlText w:val="(%1)"/>
      <w:numFmt w:val="decimal"/>
      <w:start w:val="5"/>
    </w:lvl>
  </w:abstractNum>
  <w:abstractNum w:abstractNumId="280">
    <w:nsid w:val="FA85F4D"/>
    <w:multiLevelType w:val="hybridMultilevel"/>
    <w:lvl w:ilvl="0">
      <w:lvlJc w:val="left"/>
      <w:lvlText w:val="%1"/>
      <w:numFmt w:val="lowerLetter"/>
      <w:start w:val="1"/>
    </w:lvl>
    <w:lvl w:ilvl="1">
      <w:lvlJc w:val="left"/>
      <w:lvlText w:val="(%2)"/>
      <w:numFmt w:val="decimal"/>
      <w:start w:val="1"/>
    </w:lvl>
  </w:abstractNum>
  <w:abstractNum w:abstractNumId="281">
    <w:nsid w:val="6ECE91F0"/>
    <w:multiLevelType w:val="hybridMultilevel"/>
    <w:lvl w:ilvl="0">
      <w:lvlJc w:val="left"/>
      <w:lvlText w:val="(%1)"/>
      <w:numFmt w:val="lowerLetter"/>
      <w:start w:val="1"/>
    </w:lvl>
    <w:lvl w:ilvl="1">
      <w:lvlJc w:val="left"/>
      <w:lvlText w:val="(%2)"/>
      <w:numFmt w:val="decimal"/>
      <w:start w:val="10"/>
    </w:lvl>
  </w:abstractNum>
  <w:abstractNum w:abstractNumId="282">
    <w:nsid w:val="4FC4D600"/>
    <w:multiLevelType w:val="hybridMultilevel"/>
    <w:lvl w:ilvl="0">
      <w:lvlJc w:val="left"/>
      <w:lvlText w:val="(%1)"/>
      <w:numFmt w:val="decimal"/>
      <w:start w:val="1"/>
    </w:lvl>
  </w:abstractNum>
  <w:abstractNum w:abstractNumId="283">
    <w:nsid w:val="5BFD4210"/>
    <w:multiLevelType w:val="hybridMultilevel"/>
    <w:lvl w:ilvl="0">
      <w:lvlJc w:val="left"/>
      <w:lvlText w:val="(%1)"/>
      <w:numFmt w:val="decimal"/>
      <w:start w:val="5"/>
    </w:lvl>
  </w:abstractNum>
  <w:abstractNum w:abstractNumId="284">
    <w:nsid w:val="76574F8B"/>
    <w:multiLevelType w:val="hybridMultilevel"/>
    <w:lvl w:ilvl="0">
      <w:lvlJc w:val="left"/>
      <w:lvlText w:val="(%1)"/>
      <w:numFmt w:val="decimal"/>
      <w:start w:val="1"/>
    </w:lvl>
    <w:lvl w:ilvl="1">
      <w:lvlJc w:val="left"/>
      <w:lvlText w:val="(%2)"/>
      <w:numFmt w:val="lowerLetter"/>
      <w:start w:val="1"/>
    </w:lvl>
  </w:abstractNum>
  <w:abstractNum w:abstractNumId="285">
    <w:nsid w:val="178F7B67"/>
    <w:multiLevelType w:val="hybridMultilevel"/>
    <w:lvl w:ilvl="0">
      <w:lvlJc w:val="left"/>
      <w:lvlText w:val="(%1)"/>
      <w:numFmt w:val="decimal"/>
      <w:start w:val="1"/>
    </w:lvl>
  </w:abstractNum>
  <w:abstractNum w:abstractNumId="286">
    <w:nsid w:val="2421DFCF"/>
    <w:multiLevelType w:val="hybridMultilevel"/>
    <w:lvl w:ilvl="0">
      <w:lvlJc w:val="left"/>
      <w:lvlText w:val="(%1)"/>
      <w:numFmt w:val="decimal"/>
      <w:start w:val="1"/>
    </w:lvl>
  </w:abstractNum>
  <w:abstractNum w:abstractNumId="287">
    <w:nsid w:val="1565AC99"/>
    <w:multiLevelType w:val="hybridMultilevel"/>
    <w:lvl w:ilvl="0">
      <w:lvlJc w:val="left"/>
      <w:lvlText w:val="(%1)"/>
      <w:numFmt w:val="decimal"/>
      <w:start w:val="1"/>
    </w:lvl>
  </w:abstractNum>
  <w:abstractNum w:abstractNumId="288">
    <w:nsid w:val="19FB2650"/>
    <w:multiLevelType w:val="hybridMultilevel"/>
    <w:lvl w:ilvl="0">
      <w:lvlJc w:val="left"/>
      <w:lvlText w:val="(%1)"/>
      <w:numFmt w:val="decimal"/>
      <w:start w:val="2"/>
    </w:lvl>
  </w:abstractNum>
  <w:abstractNum w:abstractNumId="289">
    <w:nsid w:val="5024DE5B"/>
    <w:multiLevelType w:val="hybridMultilevel"/>
    <w:lvl w:ilvl="0">
      <w:lvlJc w:val="left"/>
      <w:lvlText w:val="\ldblquote"/>
      <w:numFmt w:val="bullet"/>
      <w:start w:val="1"/>
    </w:lvl>
    <w:lvl w:ilvl="1">
      <w:lvlJc w:val="left"/>
      <w:lvlText w:val="(%2)"/>
      <w:numFmt w:val="decimal"/>
      <w:start w:val="1"/>
    </w:lvl>
  </w:abstractNum>
  <w:abstractNum w:abstractNumId="290">
    <w:nsid w:val="168EFE17"/>
    <w:multiLevelType w:val="hybridMultilevel"/>
    <w:lvl w:ilvl="0">
      <w:lvlJc w:val="left"/>
      <w:lvlText w:val="(%1)"/>
      <w:numFmt w:val="decimal"/>
      <w:start w:val="2"/>
    </w:lvl>
  </w:abstractNum>
  <w:abstractNum w:abstractNumId="291">
    <w:nsid w:val="1036B29F"/>
    <w:multiLevelType w:val="hybridMultilevel"/>
    <w:lvl w:ilvl="0">
      <w:lvlJc w:val="left"/>
      <w:lvlText w:val="\ldblquote"/>
      <w:numFmt w:val="bullet"/>
      <w:start w:val="1"/>
    </w:lvl>
    <w:lvl w:ilvl="1">
      <w:lvlJc w:val="left"/>
      <w:lvlText w:val="(%2)"/>
      <w:numFmt w:val="decimal"/>
      <w:start w:val="1"/>
    </w:lvl>
  </w:abstractNum>
  <w:abstractNum w:abstractNumId="292">
    <w:nsid w:val="1D206B8E"/>
    <w:multiLevelType w:val="hybridMultilevel"/>
    <w:lvl w:ilvl="0">
      <w:lvlJc w:val="left"/>
      <w:lvlText w:val="(%1)"/>
      <w:numFmt w:val="decimal"/>
      <w:start w:val="1"/>
    </w:lvl>
  </w:abstractNum>
  <w:abstractNum w:abstractNumId="293">
    <w:nsid w:val="7934D3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94">
    <w:nsid w:val="1C65E9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95">
    <w:nsid w:val="1495E50A"/>
    <w:multiLevelType w:val="hybridMultilevel"/>
    <w:lvl w:ilvl="0">
      <w:lvlJc w:val="left"/>
      <w:lvlText w:val="(%1)"/>
      <w:numFmt w:val="decimal"/>
      <w:start w:val="12"/>
    </w:lvl>
  </w:abstractNum>
  <w:abstractNum w:abstractNumId="296">
    <w:nsid w:val="F5BCF61"/>
    <w:multiLevelType w:val="hybridMultilevel"/>
    <w:lvl w:ilvl="0">
      <w:lvlJc w:val="left"/>
      <w:lvlText w:val="(%1)"/>
      <w:numFmt w:val="decimal"/>
      <w:start w:val="1"/>
    </w:lvl>
  </w:abstractNum>
  <w:abstractNum w:abstractNumId="297">
    <w:nsid w:val="3B1DD403"/>
    <w:multiLevelType w:val="hybridMultilevel"/>
    <w:lvl w:ilvl="0">
      <w:lvlJc w:val="left"/>
      <w:lvlText w:val="(%1)"/>
      <w:numFmt w:val="decimal"/>
      <w:start w:val="1"/>
    </w:lvl>
  </w:abstractNum>
  <w:abstractNum w:abstractNumId="298">
    <w:nsid w:val="530386D1"/>
    <w:multiLevelType w:val="hybridMultilevel"/>
    <w:lvl w:ilvl="0">
      <w:lvlJc w:val="left"/>
      <w:lvlText w:val="(%1)"/>
      <w:numFmt w:val="decimal"/>
      <w:start w:val="1"/>
    </w:lvl>
  </w:abstractNum>
  <w:abstractNum w:abstractNumId="299">
    <w:nsid w:val="7525F2BC"/>
    <w:multiLevelType w:val="hybridMultilevel"/>
    <w:lvl w:ilvl="0">
      <w:lvlJc w:val="left"/>
      <w:lvlText w:val="(%1)"/>
      <w:numFmt w:val="decimal"/>
      <w:start w:val="1"/>
    </w:lvl>
    <w:lvl w:ilvl="1">
      <w:lvlJc w:val="left"/>
      <w:lvlText w:val="(%2)"/>
      <w:numFmt w:val="lowerLetter"/>
      <w:start w:val="1"/>
    </w:lvl>
  </w:abstractNum>
  <w:abstractNum w:abstractNumId="300">
    <w:nsid w:val="CE8E1A7"/>
    <w:multiLevelType w:val="hybridMultilevel"/>
    <w:lvl w:ilvl="0">
      <w:lvlJc w:val="left"/>
      <w:lvlText w:val="%1"/>
      <w:numFmt w:val="decimal"/>
      <w:start w:val="1"/>
    </w:lvl>
    <w:lvl w:ilvl="1">
      <w:lvlJc w:val="left"/>
      <w:lvlText w:val="(%2)"/>
      <w:numFmt w:val="lowerLetter"/>
      <w:start w:val="2"/>
    </w:lvl>
  </w:abstractNum>
  <w:abstractNum w:abstractNumId="301">
    <w:nsid w:val="4E9EFB0D"/>
    <w:multiLevelType w:val="hybridMultilevel"/>
    <w:lvl w:ilvl="0">
      <w:lvlJc w:val="left"/>
      <w:lvlText w:val="(%1)"/>
      <w:numFmt w:val="decimal"/>
      <w:start w:val="4"/>
    </w:lvl>
    <w:lvl w:ilvl="1">
      <w:lvlJc w:val="left"/>
      <w:lvlText w:val="%2"/>
      <w:numFmt w:val="lowerLetter"/>
      <w:start w:val="1"/>
    </w:lvl>
  </w:abstractNum>
  <w:abstractNum w:abstractNumId="302">
    <w:nsid w:val="90802BE"/>
    <w:multiLevelType w:val="hybridMultilevel"/>
    <w:lvl w:ilvl="0">
      <w:lvlJc w:val="left"/>
      <w:lvlText w:val="(%1)"/>
      <w:numFmt w:val="decimal"/>
      <w:start w:val="1"/>
    </w:lvl>
  </w:abstractNum>
  <w:abstractNum w:abstractNumId="303">
    <w:nsid w:val="3266459B"/>
    <w:multiLevelType w:val="hybridMultilevel"/>
    <w:lvl w:ilvl="0">
      <w:lvlJc w:val="left"/>
      <w:lvlText w:val="(%1)"/>
      <w:numFmt w:val="decimal"/>
      <w:start w:val="6"/>
    </w:lvl>
  </w:abstractNum>
  <w:abstractNum w:abstractNumId="304">
    <w:nsid w:val="3F8B0CBF"/>
    <w:multiLevelType w:val="hybridMultilevel"/>
    <w:lvl w:ilvl="0">
      <w:lvlJc w:val="left"/>
      <w:lvlText w:val="\ldblquote"/>
      <w:numFmt w:val="bullet"/>
      <w:start w:val="1"/>
    </w:lvl>
    <w:lvl w:ilvl="1">
      <w:lvlJc w:val="left"/>
      <w:lvlText w:val="(%2)"/>
      <w:numFmt w:val="decimal"/>
      <w:start w:val="1"/>
    </w:lvl>
  </w:abstractNum>
  <w:abstractNum w:abstractNumId="305">
    <w:nsid w:val="37E203AB"/>
    <w:multiLevelType w:val="hybridMultilevel"/>
    <w:lvl w:ilvl="0">
      <w:lvlJc w:val="left"/>
      <w:lvlText w:val="(%1)"/>
      <w:numFmt w:val="lowerLetter"/>
      <w:start w:val="1"/>
    </w:lvl>
  </w:abstractNum>
  <w:abstractNum w:abstractNumId="306">
    <w:nsid w:val="2586D60E"/>
    <w:multiLevelType w:val="hybridMultilevel"/>
    <w:lvl w:ilvl="0">
      <w:lvlJc w:val="left"/>
      <w:lvlText w:val="\ldblquote"/>
      <w:numFmt w:val="bullet"/>
      <w:start w:val="1"/>
    </w:lvl>
    <w:lvl w:ilvl="1">
      <w:lvlJc w:val="left"/>
      <w:lvlText w:val="(%2)"/>
      <w:numFmt w:val="decimal"/>
      <w:start w:val="1"/>
    </w:lvl>
  </w:abstractNum>
  <w:abstractNum w:abstractNumId="307">
    <w:nsid w:val="1F3DA4D5"/>
    <w:multiLevelType w:val="hybridMultilevel"/>
    <w:lvl w:ilvl="0">
      <w:lvlJc w:val="left"/>
      <w:lvlText w:val="(%1)"/>
      <w:numFmt w:val="decimal"/>
      <w:start w:val="1"/>
    </w:lvl>
  </w:abstractNum>
  <w:abstractNum w:abstractNumId="308">
    <w:nsid w:val="74C93698"/>
    <w:multiLevelType w:val="hybridMultilevel"/>
    <w:lvl w:ilvl="0">
      <w:lvlJc w:val="left"/>
      <w:lvlText w:val="(%1)"/>
      <w:numFmt w:val="decimal"/>
      <w:start w:val="2"/>
    </w:lvl>
  </w:abstractNum>
  <w:abstractNum w:abstractNumId="309">
    <w:nsid w:val="48781401"/>
    <w:multiLevelType w:val="hybridMultilevel"/>
    <w:lvl w:ilvl="0">
      <w:lvlJc w:val="left"/>
      <w:lvlText w:val="(%1)"/>
      <w:numFmt w:val="decimal"/>
      <w:start w:val="1"/>
    </w:lvl>
  </w:abstractNum>
  <w:abstractNum w:abstractNumId="310">
    <w:nsid w:val="186928D6"/>
    <w:multiLevelType w:val="hybridMultilevel"/>
    <w:lvl w:ilvl="0">
      <w:lvlJc w:val="left"/>
      <w:lvlText w:val="(%1)"/>
      <w:numFmt w:val="decimal"/>
      <w:start w:val="1"/>
    </w:lvl>
  </w:abstractNum>
  <w:abstractNum w:abstractNumId="311">
    <w:nsid w:val="47195E5"/>
    <w:multiLevelType w:val="hybridMultilevel"/>
    <w:lvl w:ilvl="0">
      <w:lvlJc w:val="left"/>
      <w:lvlText w:val="(%1)"/>
      <w:numFmt w:val="decimal"/>
      <w:start w:val="2"/>
    </w:lvl>
  </w:abstractNum>
  <w:abstractNum w:abstractNumId="312">
    <w:nsid w:val="3746A5F2"/>
    <w:multiLevelType w:val="hybridMultilevel"/>
    <w:lvl w:ilvl="0">
      <w:lvlJc w:val="left"/>
      <w:lvlText w:val="(%1)"/>
      <w:numFmt w:val="decimal"/>
      <w:start w:val="1"/>
    </w:lvl>
  </w:abstractNum>
  <w:abstractNum w:abstractNumId="313">
    <w:nsid w:val="682DFED6"/>
    <w:multiLevelType w:val="hybridMultilevel"/>
    <w:lvl w:ilvl="0">
      <w:lvlJc w:val="left"/>
      <w:lvlText w:val="(%1)"/>
      <w:numFmt w:val="decimal"/>
      <w:start w:val="1"/>
    </w:lvl>
  </w:abstractNum>
  <w:abstractNum w:abstractNumId="314">
    <w:nsid w:val="606ED7F6"/>
    <w:multiLevelType w:val="hybridMultilevel"/>
    <w:lvl w:ilvl="0">
      <w:lvlJc w:val="left"/>
      <w:lvlText w:val="(%1)"/>
      <w:numFmt w:val="decimal"/>
      <w:start w:val="1"/>
    </w:lvl>
  </w:abstractNum>
  <w:abstractNum w:abstractNumId="315">
    <w:nsid w:val="2D9DF57D"/>
    <w:multiLevelType w:val="hybridMultilevel"/>
    <w:lvl w:ilvl="0">
      <w:lvlJc w:val="left"/>
      <w:lvlText w:val="(%1)"/>
      <w:numFmt w:val="decimal"/>
      <w:start w:val="1"/>
    </w:lvl>
  </w:abstractNum>
  <w:abstractNum w:abstractNumId="316">
    <w:nsid w:val="7FBD7A3E"/>
    <w:multiLevelType w:val="hybridMultilevel"/>
    <w:lvl w:ilvl="0">
      <w:lvlJc w:val="left"/>
      <w:lvlText w:val="(%1)"/>
      <w:numFmt w:val="decimal"/>
      <w:start w:val="1"/>
    </w:lvl>
  </w:abstractNum>
  <w:abstractNum w:abstractNumId="317">
    <w:nsid w:val="490B7C5"/>
    <w:multiLevelType w:val="hybridMultilevel"/>
    <w:lvl w:ilvl="0">
      <w:lvlJc w:val="left"/>
      <w:lvlText w:val="(%1)"/>
      <w:numFmt w:val="decimal"/>
      <w:start w:val="1"/>
    </w:lvl>
  </w:abstractNum>
  <w:abstractNum w:abstractNumId="318">
    <w:nsid w:val="4303A216"/>
    <w:multiLevelType w:val="hybridMultilevel"/>
    <w:lvl w:ilvl="0">
      <w:lvlJc w:val="left"/>
      <w:lvlText w:val="(%1)"/>
      <w:numFmt w:val="decimal"/>
      <w:start w:val="1"/>
    </w:lvl>
  </w:abstractNum>
  <w:abstractNum w:abstractNumId="319">
    <w:nsid w:val="19B8A08E"/>
    <w:multiLevelType w:val="hybridMultilevel"/>
    <w:lvl w:ilvl="0">
      <w:lvlJc w:val="left"/>
      <w:lvlText w:val="(%1)"/>
      <w:numFmt w:val="decimal"/>
      <w:start w:val="1"/>
    </w:lvl>
  </w:abstractNum>
  <w:abstractNum w:abstractNumId="320">
    <w:nsid w:val="54B59621"/>
    <w:multiLevelType w:val="hybridMultilevel"/>
    <w:lvl w:ilvl="0">
      <w:lvlJc w:val="left"/>
      <w:lvlText w:val="(%1)"/>
      <w:numFmt w:val="decimal"/>
      <w:start w:val="3"/>
    </w:lvl>
    <w:lvl w:ilvl="1">
      <w:lvlJc w:val="left"/>
      <w:lvlText w:val="(%2)"/>
      <w:numFmt w:val="lowerLetter"/>
      <w:start w:val="1"/>
    </w:lvl>
  </w:abstractNum>
  <w:abstractNum w:abstractNumId="321">
    <w:nsid w:val="5992A02E"/>
    <w:multiLevelType w:val="hybridMultilevel"/>
    <w:lvl w:ilvl="0">
      <w:lvlJc w:val="left"/>
      <w:lvlText w:val="(%1)"/>
      <w:numFmt w:val="decimal"/>
      <w:start w:val="1"/>
    </w:lvl>
  </w:abstractNum>
  <w:abstractNum w:abstractNumId="322">
    <w:nsid w:val="29EF532D"/>
    <w:multiLevelType w:val="hybridMultilevel"/>
    <w:lvl w:ilvl="0">
      <w:lvlJc w:val="left"/>
      <w:lvlText w:val="(%1)"/>
      <w:numFmt w:val="decimal"/>
      <w:start w:val="1"/>
    </w:lvl>
  </w:abstractNum>
  <w:abstractNum w:abstractNumId="323">
    <w:nsid w:val="71D601AF"/>
    <w:multiLevelType w:val="hybridMultilevel"/>
    <w:lvl w:ilvl="0">
      <w:lvlJc w:val="left"/>
      <w:lvlText w:val="(%1)"/>
      <w:numFmt w:val="decimal"/>
      <w:start w:val="1"/>
    </w:lvl>
  </w:abstractNum>
  <w:abstractNum w:abstractNumId="324">
    <w:nsid w:val="52C77402"/>
    <w:multiLevelType w:val="hybridMultilevel"/>
    <w:lvl w:ilvl="0">
      <w:lvlJc w:val="left"/>
      <w:lvlText w:val="(%1)"/>
      <w:numFmt w:val="decimal"/>
      <w:start w:val="1"/>
    </w:lvl>
  </w:abstractNum>
  <w:abstractNum w:abstractNumId="325">
    <w:nsid w:val="2BB5B1C6"/>
    <w:multiLevelType w:val="hybridMultilevel"/>
    <w:lvl w:ilvl="0">
      <w:lvlJc w:val="left"/>
      <w:lvlText w:val="%1"/>
      <w:numFmt w:val="lowerRoman"/>
      <w:start w:val="1"/>
    </w:lvl>
    <w:lvl w:ilvl="1">
      <w:lvlJc w:val="left"/>
      <w:lvlText w:val="(%2)"/>
      <w:numFmt w:val="decimal"/>
      <w:start w:val="1"/>
    </w:lvl>
  </w:abstractNum>
  <w:abstractNum w:abstractNumId="326">
    <w:nsid w:val="66BE6B9"/>
    <w:multiLevelType w:val="hybridMultilevel"/>
    <w:lvl w:ilvl="0">
      <w:lvlJc w:val="left"/>
      <w:lvlText w:val="(%1)"/>
      <w:numFmt w:val="lowerRoman"/>
      <w:start w:val="2"/>
    </w:lvl>
    <w:lvl w:ilvl="1">
      <w:lvlJc w:val="left"/>
      <w:lvlText w:val="(%2)"/>
      <w:numFmt w:val="decimal"/>
      <w:start w:val="4"/>
    </w:lvl>
  </w:abstractNum>
  <w:abstractNum w:abstractNumId="327">
    <w:nsid w:val="62234363"/>
    <w:multiLevelType w:val="hybridMultilevel"/>
    <w:lvl w:ilvl="0">
      <w:lvlJc w:val="left"/>
      <w:lvlText w:val="%1"/>
      <w:numFmt w:val="lowerLetter"/>
      <w:start w:val="1"/>
    </w:lvl>
    <w:lvl w:ilvl="1">
      <w:lvlJc w:val="left"/>
      <w:lvlText w:val="(%2)"/>
      <w:numFmt w:val="decimal"/>
      <w:start w:val="1"/>
    </w:lvl>
  </w:abstractNum>
  <w:abstractNum w:abstractNumId="328">
    <w:nsid w:val="66D385C9"/>
    <w:multiLevelType w:val="hybridMultilevel"/>
    <w:lvl w:ilvl="0">
      <w:lvlJc w:val="left"/>
      <w:lvlText w:val="(%1)"/>
      <w:numFmt w:val="lowerLetter"/>
      <w:start w:val="1"/>
    </w:lvl>
    <w:lvl w:ilvl="1">
      <w:lvlJc w:val="left"/>
      <w:lvlText w:val="(%2)"/>
      <w:numFmt w:val="decimal"/>
      <w:start w:val="3"/>
    </w:lvl>
  </w:abstractNum>
  <w:abstractNum w:abstractNumId="329">
    <w:nsid w:val="596F6D8A"/>
    <w:multiLevelType w:val="hybridMultilevel"/>
    <w:lvl w:ilvl="0">
      <w:lvlJc w:val="left"/>
      <w:lvlText w:val="(%1)"/>
      <w:numFmt w:val="decimal"/>
      <w:start w:val="5"/>
    </w:lvl>
  </w:abstractNum>
  <w:abstractNum w:abstractNumId="330">
    <w:nsid w:val="5749361F"/>
    <w:multiLevelType w:val="hybridMultilevel"/>
    <w:lvl w:ilvl="0">
      <w:lvlJc w:val="left"/>
      <w:lvlText w:val="(%1)"/>
      <w:numFmt w:val="decimal"/>
      <w:start w:val="1"/>
    </w:lvl>
    <w:lvl w:ilvl="1">
      <w:lvlJc w:val="left"/>
      <w:lvlText w:val="(%2)"/>
      <w:numFmt w:val="lowerLetter"/>
      <w:start w:val="1"/>
    </w:lvl>
  </w:abstractNum>
  <w:abstractNum w:abstractNumId="331">
    <w:nsid w:val="73BC6770"/>
    <w:multiLevelType w:val="hybridMultilevel"/>
    <w:lvl w:ilvl="0">
      <w:lvlJc w:val="left"/>
      <w:lvlText w:val="(%1)"/>
      <w:numFmt w:val="decimal"/>
      <w:start w:val="11"/>
    </w:lvl>
  </w:abstractNum>
  <w:abstractNum w:abstractNumId="332">
    <w:nsid w:val="280E6897"/>
    <w:multiLevelType w:val="hybridMultilevel"/>
    <w:lvl w:ilvl="0">
      <w:lvlJc w:val="left"/>
      <w:lvlText w:val="(%1)"/>
      <w:numFmt w:val="decimal"/>
      <w:start w:val="1"/>
    </w:lvl>
    <w:lvl w:ilvl="1">
      <w:lvlJc w:val="left"/>
      <w:lvlText w:val="(%2)"/>
      <w:numFmt w:val="lowerLetter"/>
      <w:start w:val="1"/>
    </w:lvl>
  </w:abstractNum>
  <w:abstractNum w:abstractNumId="333">
    <w:nsid w:val="605138DE"/>
    <w:multiLevelType w:val="hybridMultilevel"/>
    <w:lvl w:ilvl="0">
      <w:lvlJc w:val="left"/>
      <w:lvlText w:val="(%1)"/>
      <w:numFmt w:val="decimal"/>
      <w:start w:val="7"/>
    </w:lvl>
    <w:lvl w:ilvl="1">
      <w:lvlJc w:val="left"/>
      <w:lvlText w:val="(%2)"/>
      <w:numFmt w:val="lowerLetter"/>
      <w:start w:val="1"/>
    </w:lvl>
  </w:abstractNum>
  <w:abstractNum w:abstractNumId="334">
    <w:nsid w:val="2622AD0C"/>
    <w:multiLevelType w:val="hybridMultilevel"/>
    <w:lvl w:ilvl="0">
      <w:lvlJc w:val="left"/>
      <w:lvlText w:val="%1"/>
      <w:numFmt w:val="decimal"/>
      <w:start w:val="1"/>
    </w:lvl>
    <w:lvl w:ilvl="1">
      <w:lvlJc w:val="left"/>
      <w:lvlText w:val="(%2)"/>
      <w:numFmt w:val="lowerLetter"/>
      <w:start w:val="2"/>
    </w:lvl>
  </w:abstractNum>
  <w:abstractNum w:abstractNumId="335">
    <w:nsid w:val="67997556"/>
    <w:multiLevelType w:val="hybridMultilevel"/>
    <w:lvl w:ilvl="0">
      <w:lvlJc w:val="left"/>
      <w:lvlText w:val="(%1)"/>
      <w:numFmt w:val="decimal"/>
      <w:start w:val="16"/>
    </w:lvl>
    <w:lvl w:ilvl="1">
      <w:lvlJc w:val="left"/>
      <w:lvlText w:val="(%2)"/>
      <w:numFmt w:val="lowerLetter"/>
      <w:start w:val="1"/>
    </w:lvl>
  </w:abstractNum>
  <w:abstractNum w:abstractNumId="336">
    <w:nsid w:val="18333C89"/>
    <w:multiLevelType w:val="hybridMultilevel"/>
    <w:lvl w:ilvl="0">
      <w:lvlJc w:val="left"/>
      <w:lvlText w:val="(%1)"/>
      <w:numFmt w:val="decimal"/>
      <w:start w:val="24"/>
    </w:lvl>
  </w:abstractNum>
  <w:abstractNum w:abstractNumId="337">
    <w:nsid w:val="4BA9831A"/>
    <w:multiLevelType w:val="hybridMultilevel"/>
    <w:lvl w:ilvl="0">
      <w:lvlJc w:val="left"/>
      <w:lvlText w:val="(%1)"/>
      <w:numFmt w:val="decimal"/>
      <w:start w:val="1"/>
    </w:lvl>
  </w:abstractNum>
  <w:abstractNum w:abstractNumId="338">
    <w:nsid w:val="6D71A2B"/>
    <w:multiLevelType w:val="hybridMultilevel"/>
    <w:lvl w:ilvl="0">
      <w:lvlJc w:val="left"/>
      <w:lvlText w:val="(%1)"/>
      <w:numFmt w:val="decimal"/>
      <w:start w:val="1"/>
    </w:lvl>
  </w:abstractNum>
  <w:abstractNum w:abstractNumId="339">
    <w:nsid w:val="CFC7321"/>
    <w:multiLevelType w:val="hybridMultilevel"/>
    <w:lvl w:ilvl="0">
      <w:lvlJc w:val="left"/>
      <w:lvlText w:val="(%1)"/>
      <w:numFmt w:val="decimal"/>
      <w:start w:val="1"/>
    </w:lvl>
  </w:abstractNum>
  <w:abstractNum w:abstractNumId="340">
    <w:nsid w:val="1421971B"/>
    <w:multiLevelType w:val="hybridMultilevel"/>
    <w:lvl w:ilvl="0">
      <w:lvlJc w:val="left"/>
      <w:lvlText w:val="(%1)"/>
      <w:numFmt w:val="decimal"/>
      <w:start w:val="1"/>
    </w:lvl>
  </w:abstractNum>
  <w:abstractNum w:abstractNumId="341">
    <w:nsid w:val="1F404301"/>
    <w:multiLevelType w:val="hybridMultilevel"/>
    <w:lvl w:ilvl="0">
      <w:lvlJc w:val="left"/>
      <w:lvlText w:val="(%1)"/>
      <w:numFmt w:val="decimal"/>
      <w:start w:val="1"/>
    </w:lvl>
  </w:abstractNum>
  <w:abstractNum w:abstractNumId="342">
    <w:nsid w:val="116E0907"/>
    <w:multiLevelType w:val="hybridMultilevel"/>
    <w:lvl w:ilvl="0">
      <w:lvlJc w:val="left"/>
      <w:lvlText w:val="(%1)"/>
      <w:numFmt w:val="decimal"/>
      <w:start w:val="1"/>
    </w:lvl>
  </w:abstractNum>
  <w:abstractNum w:abstractNumId="343">
    <w:nsid w:val="4B683D0D"/>
    <w:multiLevelType w:val="hybridMultilevel"/>
    <w:lvl w:ilvl="0">
      <w:lvlJc w:val="left"/>
      <w:lvlText w:val="(%1)"/>
      <w:numFmt w:val="decimal"/>
      <w:start w:val="1"/>
    </w:lvl>
  </w:abstractNum>
  <w:abstractNum w:abstractNumId="344">
    <w:nsid w:val="76E41D8"/>
    <w:multiLevelType w:val="hybridMultilevel"/>
    <w:lvl w:ilvl="0">
      <w:lvlJc w:val="left"/>
      <w:lvlText w:val="(%1)"/>
      <w:numFmt w:val="decimal"/>
      <w:start w:val="1"/>
    </w:lvl>
  </w:abstractNum>
  <w:abstractNum w:abstractNumId="345">
    <w:nsid w:val="71DCE0FD"/>
    <w:multiLevelType w:val="hybridMultilevel"/>
    <w:lvl w:ilvl="0">
      <w:lvlJc w:val="left"/>
      <w:lvlText w:val="•"/>
      <w:numFmt w:val="bullet"/>
      <w:start w:val="1"/>
    </w:lvl>
  </w:abstractNum>
  <w:abstractNum w:abstractNumId="346">
    <w:nsid w:val="7906328B"/>
    <w:multiLevelType w:val="hybridMultilevel"/>
    <w:lvl w:ilvl="0">
      <w:lvlJc w:val="left"/>
      <w:lvlText w:val="•"/>
      <w:numFmt w:val="bullet"/>
      <w:start w:val="1"/>
    </w:lvl>
    <w:lvl w:ilvl="1">
      <w:lvlJc w:val="left"/>
      <w:lvlText w:val="•"/>
      <w:numFmt w:val="bullet"/>
      <w:start w:val="1"/>
    </w:lvl>
  </w:abstractNum>
  <w:abstractNum w:abstractNumId="347">
    <w:nsid w:val="72BBC16"/>
    <w:multiLevelType w:val="hybridMultilevel"/>
    <w:lvl w:ilvl="0">
      <w:lvlJc w:val="left"/>
      <w:lvlText w:val="•"/>
      <w:numFmt w:val="bullet"/>
      <w:start w:val="1"/>
    </w:lvl>
    <w:lvl w:ilvl="1">
      <w:lvlJc w:val="left"/>
      <w:lvlText w:val="(%2)"/>
      <w:numFmt w:val="lowerRoman"/>
      <w:start w:val="2"/>
    </w:lvl>
  </w:abstractNum>
  <w:abstractNum w:abstractNumId="348">
    <w:nsid w:val="766D98C2"/>
    <w:multiLevelType w:val="hybridMultilevel"/>
    <w:lvl w:ilvl="0">
      <w:lvlJc w:val="left"/>
      <w:lvlText w:val="•"/>
      <w:numFmt w:val="bullet"/>
      <w:start w:val="1"/>
    </w:lvl>
  </w:abstractNum>
  <w:abstractNum w:abstractNumId="349">
    <w:nsid w:val="3C09D4A1"/>
    <w:multiLevelType w:val="hybridMultilevel"/>
    <w:lvl w:ilvl="0">
      <w:lvlJc w:val="left"/>
      <w:lvlText w:val="•"/>
      <w:numFmt w:val="bullet"/>
      <w:start w:val="1"/>
    </w:lvl>
  </w:abstractNum>
  <w:abstractNum w:abstractNumId="350">
    <w:nsid w:val="20E45CA4"/>
    <w:multiLevelType w:val="hybridMultilevel"/>
    <w:lvl w:ilvl="0">
      <w:lvlJc w:val="left"/>
      <w:lvlText w:val="•"/>
      <w:numFmt w:val="bullet"/>
      <w:start w:val="1"/>
    </w:lvl>
  </w:abstractNum>
  <w:abstractNum w:abstractNumId="351">
    <w:nsid w:val="4B232EE3"/>
    <w:multiLevelType w:val="hybridMultilevel"/>
    <w:lvl w:ilvl="0">
      <w:lvlJc w:val="left"/>
      <w:lvlText w:val="•"/>
      <w:numFmt w:val="bullet"/>
      <w:start w:val="1"/>
    </w:lvl>
  </w:abstractNum>
  <w:abstractNum w:abstractNumId="352">
    <w:nsid w:val="159C74CF"/>
    <w:multiLevelType w:val="hybridMultilevel"/>
    <w:lvl w:ilvl="0">
      <w:lvlJc w:val="left"/>
      <w:lvlText w:val="•"/>
      <w:numFmt w:val="bullet"/>
      <w:start w:val="1"/>
    </w:lvl>
  </w:abstractNum>
  <w:abstractNum w:abstractNumId="353">
    <w:nsid w:val="4AD3AFD2"/>
    <w:multiLevelType w:val="hybridMultilevel"/>
    <w:lvl w:ilvl="0">
      <w:lvlJc w:val="left"/>
      <w:lvlText w:val="•"/>
      <w:numFmt w:val="bullet"/>
      <w:start w:val="1"/>
    </w:lvl>
    <w:lvl w:ilvl="1">
      <w:lvlJc w:val="left"/>
      <w:lvlText w:val="•"/>
      <w:numFmt w:val="bullet"/>
      <w:start w:val="1"/>
    </w:lvl>
  </w:abstractNum>
  <w:abstractNum w:abstractNumId="354">
    <w:nsid w:val="3CF93092"/>
    <w:multiLevelType w:val="hybridMultilevel"/>
    <w:lvl w:ilvl="0">
      <w:lvlJc w:val="left"/>
      <w:lvlText w:val="•"/>
      <w:numFmt w:val="bullet"/>
      <w:start w:val="1"/>
    </w:lvl>
    <w:lvl w:ilvl="1">
      <w:lvlJc w:val="left"/>
      <w:lvlText w:val="•"/>
      <w:numFmt w:val="bullet"/>
      <w:start w:val="1"/>
    </w:lvl>
  </w:abstractNum>
  <w:abstractNum w:abstractNumId="355">
    <w:nsid w:val="6863E8D2"/>
    <w:multiLevelType w:val="hybridMultilevel"/>
    <w:lvl w:ilvl="0">
      <w:lvlJc w:val="left"/>
      <w:lvlText w:val="•"/>
      <w:numFmt w:val="bullet"/>
      <w:start w:val="1"/>
    </w:lvl>
  </w:abstractNum>
  <w:abstractNum w:abstractNumId="356">
    <w:nsid w:val="76896198"/>
    <w:multiLevelType w:val="hybridMultilevel"/>
    <w:lvl w:ilvl="0">
      <w:lvlJc w:val="left"/>
      <w:lvlText w:val="•"/>
      <w:numFmt w:val="bullet"/>
      <w:start w:val="1"/>
    </w:lvl>
  </w:abstractNum>
  <w:abstractNum w:abstractNumId="357">
    <w:nsid w:val="4365174B"/>
    <w:multiLevelType w:val="hybridMultilevel"/>
    <w:lvl w:ilvl="0">
      <w:lvlJc w:val="left"/>
      <w:lvlText w:val="*"/>
      <w:numFmt w:val="bullet"/>
      <w:start w:val="1"/>
    </w:lvl>
  </w:abstractNum>
  <w:abstractNum w:abstractNumId="358">
    <w:nsid w:val="4A872C35"/>
    <w:multiLevelType w:val="hybridMultilevel"/>
    <w:lvl w:ilvl="0">
      <w:lvlJc w:val="left"/>
      <w:lvlText w:val="%1."/>
      <w:numFmt w:val="decimal"/>
      <w:start w:val="1"/>
    </w:lvl>
  </w:abstractNum>
  <w:abstractNum w:abstractNumId="359">
    <w:nsid w:val="5D5CE761"/>
    <w:multiLevelType w:val="hybridMultilevel"/>
    <w:lvl w:ilvl="0">
      <w:lvlJc w:val="left"/>
      <w:lvlText w:val="%1."/>
      <w:numFmt w:val="decimal"/>
      <w:start w:val="2"/>
    </w:lvl>
  </w:abstractNum>
  <w:abstractNum w:abstractNumId="360">
    <w:nsid w:val="1CD484D5"/>
    <w:multiLevelType w:val="hybridMultilevel"/>
    <w:lvl w:ilvl="0">
      <w:lvlJc w:val="left"/>
      <w:lvlText w:val="%1."/>
      <w:numFmt w:val="decimal"/>
      <w:start w:val="10"/>
    </w:lvl>
  </w:abstractNum>
  <w:abstractNum w:abstractNumId="361">
    <w:nsid w:val="21D06255"/>
    <w:multiLevelType w:val="hybridMultilevel"/>
    <w:lvl w:ilvl="0">
      <w:lvlJc w:val="left"/>
      <w:lvlText w:val="%1."/>
      <w:numFmt w:val="decimal"/>
      <w:start w:val="2"/>
    </w:lvl>
  </w:abstractNum>
  <w:abstractNum w:abstractNumId="362">
    <w:nsid w:val="51194ED1"/>
    <w:multiLevelType w:val="hybridMultilevel"/>
    <w:lvl w:ilvl="0">
      <w:lvlJc w:val="left"/>
      <w:lvlText w:val="(%1)"/>
      <w:numFmt w:val="lowerLetter"/>
      <w:start w:val="4"/>
    </w:lvl>
  </w:abstractNum>
  <w:abstractNum w:abstractNumId="363">
    <w:nsid w:val="44E2ED6C"/>
    <w:multiLevelType w:val="hybridMultilevel"/>
    <w:lvl w:ilvl="0">
      <w:lvlJc w:val="left"/>
      <w:lvlText w:val="(%1)"/>
      <w:numFmt w:val="lowerRoman"/>
      <w:start w:val="3"/>
    </w:lvl>
  </w:abstractNum>
  <w:abstractNum w:abstractNumId="364">
    <w:nsid w:val="2219B33"/>
    <w:multiLevelType w:val="hybridMultilevel"/>
    <w:lvl w:ilvl="0">
      <w:lvlJc w:val="left"/>
      <w:lvlText w:val="%1."/>
      <w:numFmt w:val="decimal"/>
      <w:start w:val="9"/>
    </w:lvl>
  </w:abstractNum>
  <w:abstractNum w:abstractNumId="365">
    <w:nsid w:val="773BFBDD"/>
    <w:multiLevelType w:val="hybridMultilevel"/>
    <w:lvl w:ilvl="0">
      <w:lvlJc w:val="left"/>
      <w:lvlText w:val="%1."/>
      <w:numFmt w:val="decimal"/>
      <w:start w:val="11"/>
    </w:lvl>
  </w:abstractNum>
  <w:abstractNum w:abstractNumId="366">
    <w:nsid w:val="2C7C62C2"/>
    <w:multiLevelType w:val="hybridMultilevel"/>
    <w:lvl w:ilvl="0">
      <w:lvlJc w:val="left"/>
      <w:lvlText w:val="%1."/>
      <w:numFmt w:val="decimal"/>
      <w:start w:val="12"/>
    </w:lvl>
  </w:abstractNum>
  <w:abstractNum w:abstractNumId="367">
    <w:nsid w:val="1A54D7BC"/>
    <w:multiLevelType w:val="hybridMultilevel"/>
    <w:lvl w:ilvl="0">
      <w:lvlJc w:val="left"/>
      <w:lvlText w:val="7"/>
      <w:numFmt w:val="bullet"/>
      <w:start w:val="1"/>
    </w:lvl>
  </w:abstractNum>
  <w:abstractNum w:abstractNumId="368">
    <w:nsid w:val="42E57EF7"/>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2019-12-20T20:37:49Z</dcterms:created>
  <dcterms:modified xsi:type="dcterms:W3CDTF">2019-12-20T20:37:49Z</dcterms:modified>
</cp:coreProperties>
</file>