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Mulroy Patricia</w:t>
              </w:r>
            </w:hyperlink>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307</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4,773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3,082.34</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Ms. Mulroy voluntarily reduced a portion of her cash retainer compensation for the remainder of 2020 in exchange for a grant of an equivalent value of restricted shares of the Company's common stock. Such restricted stock will vest in full on December 31, 2020. Should Ms. Mulroy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Patricia</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0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02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6005"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2020-03-25T18:45:28Z</dcterms:created>
  <dcterms:modified xsi:type="dcterms:W3CDTF">2020-03-25T18:45:28Z</dcterms:modified>
</cp:coreProperties>
</file>