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May 27, 2004)</w:t>
      </w:r>
    </w:p>
    <w:p>
      <w:pPr>
        <w:spacing w:after="0" w:line="20" w:lineRule="exact"/>
        <w:rPr>
          <w:sz w:val="24"/>
          <w:szCs w:val="24"/>
          <w:color w:val="auto"/>
        </w:rPr>
      </w:pPr>
      <w:r>
        <w:rPr>
          <w:sz w:val="24"/>
          <w:szCs w:val="24"/>
          <w:color w:val="auto"/>
        </w:rPr>
        <w:br w:type="column"/>
      </w:r>
    </w:p>
    <w:p>
      <w:pPr>
        <w:ind w:left="9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Nos. 333-111064, 333-111064-01</w:t>
      </w:r>
    </w:p>
    <w:p>
      <w:pPr>
        <w:spacing w:after="0" w:line="179" w:lineRule="exact"/>
        <w:rPr>
          <w:sz w:val="24"/>
          <w:szCs w:val="24"/>
          <w:color w:val="auto"/>
        </w:rPr>
      </w:pPr>
    </w:p>
    <w:p>
      <w:pPr>
        <w:sectPr>
          <w:pgSz w:w="11900" w:h="16838" w:orient="portrait"/>
          <w:cols w:equalWidth="0" w:num="2">
            <w:col w:w="7380" w:space="720"/>
            <w:col w:w="3320"/>
          </w:cols>
          <w:pgMar w:left="240" w:top="233" w:right="239" w:bottom="1440" w:gutter="0" w:footer="0" w:header="0"/>
        </w:sect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Convertible Subordinated Debentures due 2015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118745</wp:posOffset>
            </wp:positionV>
            <wp:extent cx="1397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supplement supplements the prospectus dated May 27, 2004, relating to the resale by certain of our securityholders of up to $250,000,000 aggregate principal amount at maturity of our 6% Convertible Subordinated Debentures due 2015 and the shares of our common stock issuable upon conversion of the debentures. You should read this prospectus supplement in conjunction with the prospectus. This prospectus supplement is qualified by reference to the prospectus, except to the extent that the information in this prospectus supplement supersedes the information contained in the prospectus.</w:t>
      </w:r>
    </w:p>
    <w:p>
      <w:pPr>
        <w:spacing w:after="0" w:line="9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information appearing under the heading “Selling Securityholders” in the prospectus is hereby amended by the substitution of the following:</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Amount at</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Amount of</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Maturity of</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Offered</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Stock Out-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60" w:type="dxa"/>
            <w:vAlign w:val="bottom"/>
            <w:gridSpan w:val="2"/>
          </w:tcPr>
          <w:p>
            <w:pPr>
              <w:ind w:left="280"/>
              <w:spacing w:after="0"/>
              <w:rPr>
                <w:sz w:val="20"/>
                <w:szCs w:val="20"/>
                <w:color w:val="auto"/>
              </w:rPr>
            </w:pPr>
            <w:r>
              <w:rPr>
                <w:rFonts w:ascii="Arial" w:cs="Arial" w:eastAsia="Arial" w:hAnsi="Arial"/>
                <w:sz w:val="14"/>
                <w:szCs w:val="14"/>
                <w:b w:val="1"/>
                <w:bCs w:val="1"/>
                <w:color w:val="auto"/>
              </w:rPr>
              <w:t>Name of Selling Security Holder</w:t>
            </w:r>
          </w:p>
        </w:tc>
        <w:tc>
          <w:tcPr>
            <w:tcW w:w="112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Owned(1)</w:t>
            </w: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Hereby(1)</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Owned(2)</w:t>
            </w:r>
          </w:p>
        </w:tc>
        <w:tc>
          <w:tcPr>
            <w:tcW w:w="4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Be Sold(2)</w:t>
            </w:r>
          </w:p>
        </w:tc>
        <w:tc>
          <w:tcPr>
            <w:tcW w:w="4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Polygon Global Opportunities Master Fund</w:t>
            </w:r>
          </w:p>
        </w:tc>
        <w:tc>
          <w:tcPr>
            <w:tcW w:w="2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$ 22,500,000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$ 22,500,000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978,259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ind w:left="460" w:right="2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Amounts may include debentures purchased in one or more transactions pursuant to Rule 144 of the Securities Act from a group of unidentifiable sellers, which may include one or more of the selling securityholders previously, or currently, listed in this table.</w:t>
      </w:r>
    </w:p>
    <w:p>
      <w:pPr>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in the accompanying prospectus. As a result, the number of shares of common stock issuable upon conversion of the debentures may increase or decrease in the future.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89,168,484 common shares outstanding as of August 2, 2004. In calculating this amount for each holder, we treated as outstanding the number of shares of common stock issuable upon conversion of all that holder’s debentures, but we did not assume conversion of any other holder’s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156845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Investing in the debentures and our common stock issuable upon conversion of the debentures involves risks. See “Risk Factors” in the accompanying prospectus, beginning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145415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5"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supplement or the investment merits of the debentures offered hereby or the shares of our common stock issuable upon conversion of the debentures.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154305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October 6, 2004.</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2019-12-12T02:58:22Z</dcterms:created>
  <dcterms:modified xsi:type="dcterms:W3CDTF">2019-12-12T02:58:22Z</dcterms:modified>
</cp:coreProperties>
</file>