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23, 2017</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On October 23, 2017, Wynn Macau, Limited ("WML"), an indirect subsidiary of Wynn Resorts, Limited (the "Registrant") with its ordinary shares of common stock listed on The Stock Exchange of Hong Kong Limited (the "HKSE"), filed with the HKSE an announcement that on October 20, 2017, WML redeemed all of the outstanding $1.35 billion aggregate principal amount of 5.25% Senior Notes due 2021, issued by WML (the "Redemption Completion Announcement"). The Registrant owns approximately 72% of WML’s ordinary shares of common stock. The Redemption Completion Announcement is furnished herewith as Exhibit 99.1. The information in this Form 8-K and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80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20"/>
              <w:spacing w:after="0"/>
              <w:rPr>
                <w:sz w:val="20"/>
                <w:szCs w:val="20"/>
                <w:color w:val="auto"/>
              </w:rPr>
            </w:pPr>
            <w:r>
              <w:rPr>
                <w:rFonts w:ascii="Arial" w:cs="Arial" w:eastAsia="Arial" w:hAnsi="Arial"/>
                <w:sz w:val="18"/>
                <w:szCs w:val="18"/>
                <w:color w:val="auto"/>
              </w:rPr>
              <w:t>(d) Exhibits.</w:t>
            </w:r>
          </w:p>
        </w:tc>
        <w:tc>
          <w:tcPr>
            <w:tcW w:w="14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59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8020" w:type="dxa"/>
            <w:vAlign w:val="bottom"/>
            <w:gridSpan w:val="2"/>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20" w:type="dxa"/>
            <w:vAlign w:val="bottom"/>
          </w:tcPr>
          <w:p>
            <w:pPr>
              <w:spacing w:after="0"/>
              <w:rPr>
                <w:sz w:val="19"/>
                <w:szCs w:val="19"/>
                <w:color w:val="auto"/>
              </w:rPr>
            </w:pPr>
          </w:p>
        </w:tc>
        <w:tc>
          <w:tcPr>
            <w:tcW w:w="6600" w:type="dxa"/>
            <w:vAlign w:val="bottom"/>
            <w:tcBorders>
              <w:bottom w:val="single" w:sz="8" w:color="0000FF"/>
            </w:tcBorders>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Redemption Completion Announcement of Wynn Macau, Limited, dated October 23, 2017.</w:t>
              </w:r>
            </w:hyperlink>
          </w:p>
        </w:tc>
      </w:tr>
    </w:tbl>
    <w:p>
      <w:pPr>
        <w:sectPr>
          <w:pgSz w:w="11900" w:h="16838" w:orient="portrait"/>
          <w:cols w:equalWidth="0" w:num="1">
            <w:col w:w="11400"/>
          </w:cols>
          <w:pgMar w:left="240" w:top="1229" w:right="25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October 23,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9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00"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2019-12-29T03:38:06Z</dcterms:created>
  <dcterms:modified xsi:type="dcterms:W3CDTF">2019-12-29T03:38:06Z</dcterms:modified>
</cp:coreProperties>
</file>