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WYNN STEPHEN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jc w:val="center"/>
        <w:ind w:right="97"/>
        <w:spacing w:after="0"/>
        <w:rPr>
          <w:sz w:val="20"/>
          <w:szCs w:val="20"/>
          <w:color w:val="auto"/>
        </w:rPr>
      </w:pPr>
      <w:r>
        <w:rPr>
          <w:rFonts w:ascii="Arial" w:cs="Arial" w:eastAsia="Arial" w:hAnsi="Arial"/>
          <w:sz w:val="16"/>
          <w:szCs w:val="16"/>
          <w:color w:val="0000FF"/>
        </w:rPr>
        <w:t xml:space="preserve">Chief Executive Officer </w:t>
      </w:r>
      <w:r>
        <w:rPr>
          <w:rFonts w:ascii="Arial" w:cs="Arial" w:eastAsia="Arial" w:hAnsi="Arial"/>
          <w:sz w:val="19"/>
          <w:szCs w:val="19"/>
          <w:color w:val="000000"/>
        </w:rPr>
        <w:t>/</w:t>
      </w:r>
      <w:r>
        <w:rPr>
          <w:rFonts w:ascii="Arial" w:cs="Arial" w:eastAsia="Arial" w:hAnsi="Arial"/>
          <w:sz w:val="16"/>
          <w:szCs w:val="16"/>
          <w:color w:val="0000FF"/>
        </w:rPr>
        <w:t xml:space="preserve"> WFLP is member</w:t>
      </w:r>
    </w:p>
    <w:p>
      <w:pPr>
        <w:spacing w:after="0" w:line="52" w:lineRule="exact"/>
        <w:rPr>
          <w:sz w:val="24"/>
          <w:szCs w:val="24"/>
          <w:color w:val="auto"/>
        </w:rPr>
      </w:pPr>
    </w:p>
    <w:p>
      <w:pPr>
        <w:jc w:val="center"/>
        <w:ind w:right="97"/>
        <w:spacing w:after="0"/>
        <w:rPr>
          <w:sz w:val="20"/>
          <w:szCs w:val="20"/>
          <w:color w:val="auto"/>
        </w:rPr>
      </w:pPr>
      <w:r>
        <w:rPr>
          <w:rFonts w:ascii="Arial" w:cs="Arial" w:eastAsia="Arial" w:hAnsi="Arial"/>
          <w:sz w:val="18"/>
          <w:szCs w:val="18"/>
          <w:color w:val="0000FF"/>
        </w:rPr>
        <w:t>of 10% owner</w:t>
      </w:r>
    </w:p>
    <w:p>
      <w:pPr>
        <w:spacing w:after="0" w:line="25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gridSpan w:val="9"/>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9"/>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gridSpan w:val="3"/>
            <w:vMerge w:val="restart"/>
          </w:tcPr>
          <w:p>
            <w:pPr>
              <w:ind w:left="520"/>
              <w:spacing w:after="0"/>
              <w:rPr>
                <w:sz w:val="20"/>
                <w:szCs w:val="20"/>
                <w:color w:val="auto"/>
              </w:rPr>
            </w:pPr>
            <w:r>
              <w:rPr>
                <w:rFonts w:ascii="Arial" w:cs="Arial" w:eastAsia="Arial" w:hAnsi="Arial"/>
                <w:sz w:val="14"/>
                <w:szCs w:val="14"/>
                <w:color w:val="auto"/>
              </w:rPr>
              <w:t>Line)</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1300" w:type="dxa"/>
            <w:vAlign w:val="bottom"/>
            <w:gridSpan w:val="3"/>
            <w:vMerge w:val="restart"/>
          </w:tcPr>
          <w:p>
            <w:pPr>
              <w:ind w:left="40"/>
              <w:spacing w:after="0"/>
              <w:rPr>
                <w:sz w:val="20"/>
                <w:szCs w:val="20"/>
                <w:color w:val="auto"/>
              </w:rPr>
            </w:pPr>
            <w:r>
              <w:rPr>
                <w:rFonts w:ascii="Arial" w:cs="Arial" w:eastAsia="Arial" w:hAnsi="Arial"/>
                <w:sz w:val="18"/>
                <w:szCs w:val="18"/>
                <w:color w:val="0000FF"/>
              </w:rPr>
              <w:t>NV</w:t>
            </w:r>
          </w:p>
        </w:tc>
        <w:tc>
          <w:tcPr>
            <w:tcW w:w="1200" w:type="dxa"/>
            <w:vAlign w:val="bottom"/>
            <w:gridSpan w:val="3"/>
            <w:vMerge w:val="restart"/>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20" w:type="dxa"/>
            <w:vAlign w:val="bottom"/>
            <w:gridSpan w:val="6"/>
            <w:vMerge w:val="restart"/>
          </w:tcPr>
          <w:p>
            <w:pPr>
              <w:ind w:left="2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0000FF"/>
                <w:w w:val="99"/>
              </w:rPr>
              <w:t>X</w:t>
            </w:r>
          </w:p>
        </w:tc>
        <w:tc>
          <w:tcPr>
            <w:tcW w:w="3020" w:type="dxa"/>
            <w:vAlign w:val="bottom"/>
            <w:gridSpan w:val="6"/>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30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9"/>
                <w:szCs w:val="9"/>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38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gridSpan w:val="3"/>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740" w:type="dxa"/>
            <w:vAlign w:val="bottom"/>
            <w:tcBorders>
              <w:bottom w:val="single" w:sz="8" w:color="2C2C2C"/>
            </w:tcBorders>
            <w:gridSpan w:val="7"/>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9"/>
          </w:tcPr>
          <w:p>
            <w:pPr>
              <w:jc w:val="center"/>
              <w:ind w:right="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By Wynn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12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12/22/2017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vMerge w:val="restart"/>
          </w:tcPr>
          <w:p>
            <w:pPr>
              <w:jc w:val="center"/>
              <w:ind w:right="298"/>
              <w:spacing w:after="0"/>
              <w:rPr>
                <w:sz w:val="20"/>
                <w:szCs w:val="20"/>
                <w:color w:val="auto"/>
              </w:rPr>
            </w:pPr>
            <w:r>
              <w:rPr>
                <w:rFonts w:ascii="Arial" w:cs="Arial" w:eastAsia="Arial" w:hAnsi="Arial"/>
                <w:sz w:val="14"/>
                <w:szCs w:val="14"/>
                <w:color w:val="0000FF"/>
              </w:rPr>
              <w:t>A</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89,418</w:t>
            </w:r>
          </w:p>
        </w:tc>
        <w:tc>
          <w:tcPr>
            <w:tcW w:w="480" w:type="dxa"/>
            <w:vAlign w:val="bottom"/>
            <w:vMerge w:val="restart"/>
          </w:tcPr>
          <w:p>
            <w:pPr>
              <w:ind w:left="240"/>
              <w:spacing w:after="0"/>
              <w:rPr>
                <w:sz w:val="20"/>
                <w:szCs w:val="20"/>
                <w:color w:val="auto"/>
              </w:rPr>
            </w:pPr>
            <w:r>
              <w:rPr>
                <w:rFonts w:ascii="Arial" w:cs="Arial" w:eastAsia="Arial" w:hAnsi="Arial"/>
                <w:sz w:val="18"/>
                <w:szCs w:val="18"/>
                <w:color w:val="0000FF"/>
              </w:rPr>
              <w:t>A</w:t>
            </w:r>
          </w:p>
        </w:tc>
        <w:tc>
          <w:tcPr>
            <w:tcW w:w="620" w:type="dxa"/>
            <w:vAlign w:val="bottom"/>
            <w:vMerge w:val="restart"/>
          </w:tcPr>
          <w:p>
            <w:pPr>
              <w:jc w:val="center"/>
              <w:spacing w:after="0" w:line="386"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8"/>
                <w:szCs w:val="18"/>
                <w:color w:val="0000FF"/>
              </w:rPr>
              <w:t>12,169,218</w:t>
            </w:r>
          </w:p>
        </w:tc>
        <w:tc>
          <w:tcPr>
            <w:tcW w:w="32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rPr>
              <w:t>Limited</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By Wynn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12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12/22/2017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vMerge w:val="restart"/>
          </w:tcPr>
          <w:p>
            <w:pPr>
              <w:jc w:val="center"/>
              <w:ind w:right="278"/>
              <w:spacing w:after="0"/>
              <w:rPr>
                <w:sz w:val="20"/>
                <w:szCs w:val="20"/>
                <w:color w:val="auto"/>
              </w:rPr>
            </w:pPr>
            <w:r>
              <w:rPr>
                <w:rFonts w:ascii="Arial" w:cs="Arial" w:eastAsia="Arial" w:hAnsi="Arial"/>
                <w:sz w:val="14"/>
                <w:szCs w:val="14"/>
                <w:color w:val="0000FF"/>
                <w:w w:val="92"/>
              </w:rPr>
              <w:t>F</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37,511</w:t>
            </w:r>
          </w:p>
        </w:tc>
        <w:tc>
          <w:tcPr>
            <w:tcW w:w="480" w:type="dxa"/>
            <w:vAlign w:val="bottom"/>
            <w:vMerge w:val="restart"/>
          </w:tcPr>
          <w:p>
            <w:pPr>
              <w:ind w:left="240"/>
              <w:spacing w:after="0"/>
              <w:rPr>
                <w:sz w:val="20"/>
                <w:szCs w:val="20"/>
                <w:color w:val="auto"/>
              </w:rPr>
            </w:pPr>
            <w:r>
              <w:rPr>
                <w:rFonts w:ascii="Arial" w:cs="Arial" w:eastAsia="Arial" w:hAnsi="Arial"/>
                <w:sz w:val="18"/>
                <w:szCs w:val="18"/>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167.75</w:t>
            </w:r>
          </w:p>
        </w:tc>
        <w:tc>
          <w:tcPr>
            <w:tcW w:w="80" w:type="dxa"/>
            <w:vAlign w:val="bottom"/>
          </w:tcPr>
          <w:p>
            <w:pPr>
              <w:spacing w:after="0"/>
              <w:rPr>
                <w:sz w:val="18"/>
                <w:szCs w:val="18"/>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8"/>
                <w:szCs w:val="18"/>
                <w:color w:val="0000FF"/>
              </w:rPr>
              <w:t>12,131,707</w:t>
            </w:r>
          </w:p>
        </w:tc>
        <w:tc>
          <w:tcPr>
            <w:tcW w:w="32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20" w:type="dxa"/>
            <w:vAlign w:val="bottom"/>
            <w:gridSpan w:val="7"/>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rPr>
              <w:t>Limited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left="3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80" w:type="dxa"/>
            <w:vAlign w:val="bottom"/>
            <w:gridSpan w:val="12"/>
          </w:tcPr>
          <w:p>
            <w:pPr>
              <w:jc w:val="center"/>
              <w:ind w:left="13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4"/>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2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WYNN STEPHEN A</w:t>
              </w:r>
            </w:hyperlink>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w w:val="95"/>
              </w:rPr>
              <w:t>C/O WYNN RESORTS, LIMITED</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0000FF"/>
              </w:rPr>
              <w:t>3131 LAS VEGAS BOULEVARD SOUTH</w:t>
            </w: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NV</w:t>
            </w:r>
          </w:p>
        </w:tc>
        <w:tc>
          <w:tcPr>
            <w:tcW w:w="380" w:type="dxa"/>
            <w:vAlign w:val="bottom"/>
          </w:tcPr>
          <w:p>
            <w:pPr>
              <w:spacing w:after="0"/>
              <w:rPr>
                <w:sz w:val="21"/>
                <w:szCs w:val="21"/>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gridSpan w:val="2"/>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4"/>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Wynn Family Limited Partnership</w:t>
              </w:r>
            </w:hyperlink>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3131 LAS VEGAS BOULEVARD SOUTH</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LAS VEGAS</w:t>
      </w:r>
      <w:r>
        <w:rPr>
          <w:sz w:val="20"/>
          <w:szCs w:val="20"/>
          <w:color w:val="auto"/>
        </w:rPr>
        <w:tab/>
      </w:r>
      <w:r>
        <w:rPr>
          <w:rFonts w:ascii="Arial" w:cs="Arial" w:eastAsia="Arial" w:hAnsi="Arial"/>
          <w:sz w:val="18"/>
          <w:szCs w:val="18"/>
          <w:color w:val="0000FF"/>
        </w:rPr>
        <w:t>NV</w:t>
      </w:r>
      <w:r>
        <w:rPr>
          <w:sz w:val="20"/>
          <w:szCs w:val="20"/>
          <w:color w:val="auto"/>
        </w:rPr>
        <w:tab/>
      </w:r>
      <w:r>
        <w:rPr>
          <w:rFonts w:ascii="Arial" w:cs="Arial" w:eastAsia="Arial" w:hAnsi="Arial"/>
          <w:sz w:val="15"/>
          <w:szCs w:val="15"/>
          <w:color w:val="0000FF"/>
        </w:rPr>
        <w:t>89109</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84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184150"/>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common stock, par value $0.01 per share, of Wynn Resorts, Limited (the "Company") granted pursuant to the Company's 2014 Omnibus Incentive Plan, which shares vested immediately upon grant.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Exhibit List: Exhibit 24 - (1) Power of Attorney (Stephen A. Wynn); (2) Power of Attorney (Wynn Family Limited Partnership)</w:t>
      </w:r>
    </w:p>
    <w:p>
      <w:pPr>
        <w:sectPr>
          <w:pgSz w:w="11900" w:h="16838" w:orient="portrait"/>
          <w:cols w:equalWidth="0" w:num="1">
            <w:col w:w="11040"/>
          </w:cols>
          <w:pgMar w:left="280" w:top="140" w:right="579" w:bottom="1440" w:gutter="0" w:footer="0" w:header="0"/>
        </w:sectPr>
      </w:pPr>
    </w:p>
    <w:p>
      <w:pPr>
        <w:spacing w:after="0" w:line="7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Kathleen Tam,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1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4175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fact for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1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4173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Kathleen Tam,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1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4175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fact for Wynn Family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3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508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0000FF"/>
        </w:rPr>
        <w:t>12/27/2017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12/27/2017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40" w:space="180"/>
            <w:col w:w="1920"/>
          </w:cols>
          <w:pgMar w:left="280" w:top="140" w:right="579" w:bottom="1440" w:gutter="0" w:footer="0" w:header="0"/>
          <w:type w:val="continuous"/>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2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40"/>
          </w:cols>
          <w:pgMar w:left="280" w:top="140" w:right="5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Craig Billings,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19th day of April,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Signed: </w:t>
      </w:r>
      <w:r>
        <w:rPr>
          <w:rFonts w:ascii="Arial" w:cs="Arial" w:eastAsia="Arial" w:hAnsi="Arial"/>
          <w:sz w:val="22"/>
          <w:szCs w:val="22"/>
          <w:u w:val="single" w:color="auto"/>
          <w:color w:val="auto"/>
        </w:rPr>
        <w:t>/s/ Stephen A. Wynn__________</w:t>
      </w:r>
    </w:p>
    <w:p>
      <w:pPr>
        <w:sectPr>
          <w:pgSz w:w="11900" w:h="16838" w:orient="portrait"/>
          <w:cols w:equalWidth="0" w:num="1">
            <w:col w:w="11420"/>
          </w:cols>
          <w:pgMar w:left="240" w:top="37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and Section 13 of the Securities Exchange Act of 1934, as amended, and appoints each of Kimmarie Sinatra, Craig Billings,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and Section 13 of such act, and the rules and regulations thereunder, and requisite documents in connection with such filings, respecting securities of Wynn Resorts, Limited, a Nevada corporation, including but not limited to Forms 3, 4 and 5 and Schedules 13D and 13G, and any amendments thereto, under such act and any amendments thereto with the Securities and Exchange Commission thereby ratifying and confirming all that said attorney-in-fact may do or cause to be done by virtue hereof.</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19th day of April,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Wynn Family Limited Partnership</w:t>
      </w:r>
    </w:p>
    <w:p>
      <w:pPr>
        <w:spacing w:after="0" w:line="260" w:lineRule="exact"/>
        <w:rPr>
          <w:sz w:val="20"/>
          <w:szCs w:val="20"/>
          <w:color w:val="auto"/>
        </w:rPr>
      </w:pPr>
    </w:p>
    <w:p>
      <w:pPr>
        <w:ind w:left="3420"/>
        <w:spacing w:after="0"/>
        <w:tabs>
          <w:tab w:leader="none" w:pos="3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 GP, LLC, its General Partner</w:t>
      </w:r>
    </w:p>
    <w:p>
      <w:pPr>
        <w:spacing w:after="0" w:line="22" w:lineRule="exact"/>
        <w:rPr>
          <w:sz w:val="20"/>
          <w:szCs w:val="20"/>
          <w:color w:val="auto"/>
        </w:rPr>
      </w:pPr>
    </w:p>
    <w:p>
      <w:pPr>
        <w:ind w:left="3420"/>
        <w:spacing w:after="0"/>
        <w:tabs>
          <w:tab w:leader="none" w:pos="3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Stephen A. Wynn Revocable Trust</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U/D/T Dated June 24, 2010, its</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Manager</w:t>
      </w:r>
    </w:p>
    <w:p>
      <w:pPr>
        <w:spacing w:after="0" w:line="24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Stephen A. Wynn_______________</w:t>
      </w:r>
    </w:p>
    <w:p>
      <w:pPr>
        <w:spacing w:after="0" w:line="2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Stephen A. Wynn</w:t>
      </w:r>
    </w:p>
    <w:p>
      <w:pPr>
        <w:spacing w:after="0" w:line="4" w:lineRule="exact"/>
        <w:rPr>
          <w:sz w:val="20"/>
          <w:szCs w:val="20"/>
          <w:color w:val="auto"/>
        </w:rPr>
      </w:pPr>
    </w:p>
    <w:p>
      <w:pPr>
        <w:ind w:left="3420"/>
        <w:spacing w:after="0"/>
        <w:tabs>
          <w:tab w:leader="none" w:pos="40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Trustee</w:t>
      </w:r>
    </w:p>
    <w:sectPr>
      <w:pgSz w:w="11900" w:h="16838" w:orient="portrait"/>
      <w:cols w:equalWidth="0" w:num="1">
        <w:col w:w="11420"/>
      </w:cols>
      <w:pgMar w:left="240" w:top="6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2" Type="http://schemas.openxmlformats.org/officeDocument/2006/relationships/hyperlink" Target="http://www.sec.govhttp//www.sec.gov/cgi-bin/browse-edgar?action=getcompany&amp;CIK=0000904396" TargetMode="External"/><Relationship Id="rId13" Type="http://schemas.openxmlformats.org/officeDocument/2006/relationships/hyperlink" Target="http://www.sec.gov/cgi-bin/browse-edgar?action=getcompany&amp;CIK=0001174922" TargetMode="External"/><Relationship Id="rId14" Type="http://schemas.openxmlformats.org/officeDocument/2006/relationships/hyperlink" Target="http://www.sec.gov/cgi-bin/browse-edgar?action=getcompany&amp;CIK=0001656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2019-12-04T00:43:17Z</dcterms:created>
  <dcterms:modified xsi:type="dcterms:W3CDTF">2019-12-04T00:43:17Z</dcterms:modified>
</cp:coreProperties>
</file>