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250825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262255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78"/>
        </w:trPr>
        <w:tc>
          <w:tcPr>
            <w:tcW w:w="2940" w:type="dxa"/>
            <w:vAlign w:val="bottom"/>
          </w:tcPr>
          <w:p>
            <w:pPr>
              <w:jc w:val="center"/>
              <w:ind w:right="12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5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2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5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LAS VEGAS, LLC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0" w:type="dxa"/>
        <w:tblCellMar>
          <w:top w:w="0" w:type="dxa"/>
          <w:left w:w="0" w:type="dxa"/>
          <w:bottom w:w="0" w:type="dxa"/>
          <w:right w:w="0" w:type="dxa"/>
        </w:tblCellMar>
      </w:tblP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333-100768</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88-0494875</w:t>
            </w:r>
          </w:p>
        </w:tc>
      </w:tr>
      <w:tr>
        <w:trPr>
          <w:trHeight w:val="17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460" w:type="dxa"/>
            <w:vAlign w:val="bottom"/>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8"/>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22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of each registrant)</w:t>
            </w:r>
          </w:p>
        </w:tc>
        <w:tc>
          <w:tcPr>
            <w:tcW w:w="4460" w:type="dxa"/>
            <w:vAlign w:val="bottom"/>
          </w:tcPr>
          <w:p>
            <w:pPr>
              <w:spacing w:after="0"/>
              <w:rPr>
                <w:sz w:val="19"/>
                <w:szCs w:val="19"/>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85"/>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04"/>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140" w:lineRule="exact"/>
        <w:rPr>
          <w:sz w:val="24"/>
          <w:szCs w:val="24"/>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1" w:right="239" w:bottom="1440" w:gutter="0" w:footer="0" w:header="0"/>
        </w:sectPr>
      </w:pPr>
    </w:p>
    <w:bookmarkStart w:id="1" w:name="page2"/>
    <w:bookmarkEnd w:id="1"/>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ind w:right="380" w:firstLine="405"/>
        <w:spacing w:after="0" w:line="313" w:lineRule="auto"/>
        <w:rPr>
          <w:sz w:val="20"/>
          <w:szCs w:val="20"/>
          <w:color w:val="auto"/>
        </w:rPr>
      </w:pPr>
      <w:r>
        <w:rPr>
          <w:rFonts w:ascii="Times New Roman" w:cs="Times New Roman" w:eastAsia="Times New Roman" w:hAnsi="Times New Roman"/>
          <w:sz w:val="17"/>
          <w:szCs w:val="17"/>
          <w:color w:val="auto"/>
        </w:rPr>
        <w:t>Today, Wynn Resorts, Limited disclosed the historical financial information of Wynn America, LLC, an indirect wholly owned subsidiary of Wynn Resorts, Limited, attached to this Current Report on Form 8-K as Exhibit 99.1 and Exhibit 99.2, in connection with a potential financing transaction.</w:t>
      </w:r>
    </w:p>
    <w:p>
      <w:pPr>
        <w:spacing w:after="0" w:line="1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furnished under Items 7.01 and 9.01 of this Current Report on Form 8-K, including Exhibit 99.1 and Exhibit 99.2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  Exhibits.</w:t>
            </w:r>
          </w:p>
        </w:tc>
        <w:tc>
          <w:tcPr>
            <w:tcW w:w="70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3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Audited consolidated financial statements of Wynn America, LLC and subsidiaries as of and for the years ended December 31, 2016 and</w:t>
            </w: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9140" w:type="dxa"/>
            <w:vAlign w:val="bottom"/>
          </w:tcPr>
          <w:p>
            <w:pPr>
              <w:spacing w:after="0"/>
              <w:rPr>
                <w:sz w:val="20"/>
                <w:szCs w:val="20"/>
                <w:color w:val="auto"/>
              </w:rPr>
            </w:pPr>
          </w:p>
        </w:tc>
      </w:t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80" w:type="dxa"/>
            <w:vAlign w:val="bottom"/>
          </w:tcPr>
          <w:p>
            <w:pPr>
              <w:spacing w:after="0"/>
              <w:rPr>
                <w:sz w:val="21"/>
                <w:szCs w:val="21"/>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of Wynn America, LLC and subsidiaries as of March 31, 2017 and for the three</w:t>
            </w: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ended March 31, 2017 and 2016.</w:t>
            </w:r>
          </w:p>
        </w:tc>
      </w:tr>
    </w:tbl>
    <w:p>
      <w:pPr>
        <w:sectPr>
          <w:pgSz w:w="11900" w:h="16838" w:orient="portrait"/>
          <w:cols w:equalWidth="0" w:num="1">
            <w:col w:w="11400"/>
          </w:cols>
          <w:pgMar w:left="240" w:top="954" w:right="25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Times New Roman" w:cs="Times New Roman" w:eastAsia="Times New Roman" w:hAnsi="Times New Roman"/>
          <w:sz w:val="18"/>
          <w:szCs w:val="18"/>
          <w:color w:val="auto"/>
        </w:rPr>
        <w:t>Dated: May 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80"/>
          </w:cols>
          <w:pgMar w:left="240" w:top="792" w:right="87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WYNN LAS VEGAS, LLC</w:t>
            </w:r>
          </w:p>
        </w:tc>
      </w:tr>
      <w:tr>
        <w:trPr>
          <w:trHeight w:val="37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2017</w:t>
            </w:r>
          </w:p>
        </w:tc>
        <w:tc>
          <w:tcPr>
            <w:tcW w:w="31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Las Vegas Holdings, LLC, its</w:t>
            </w:r>
          </w:p>
        </w:tc>
      </w:t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America, LLC, its sole member</w:t>
            </w:r>
          </w:p>
        </w:tc>
      </w:tr>
      <w:tr>
        <w:trPr>
          <w:trHeight w:val="549"/>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Resorts Holdings, LLC, its</w:t>
            </w:r>
          </w:p>
        </w:tc>
      </w:t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member</w:t>
            </w:r>
          </w:p>
        </w:tc>
      </w:tr>
      <w:tr>
        <w:trPr>
          <w:trHeight w:val="549"/>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Resorts, Limited, its</w:t>
            </w:r>
          </w:p>
        </w:tc>
      </w:t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7"/>
        </w:trPr>
        <w:tc>
          <w:tcPr>
            <w:tcW w:w="4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8"/>
        </w:trPr>
        <w:tc>
          <w:tcPr>
            <w:tcW w:w="4100" w:type="dxa"/>
            <w:vAlign w:val="bottom"/>
          </w:tcPr>
          <w:p>
            <w:pPr>
              <w:spacing w:after="0"/>
              <w:rPr>
                <w:sz w:val="19"/>
                <w:szCs w:val="19"/>
                <w:color w:val="auto"/>
              </w:rPr>
            </w:pPr>
          </w:p>
        </w:tc>
        <w:tc>
          <w:tcPr>
            <w:tcW w:w="694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Craig S. Billings</w:t>
            </w:r>
          </w:p>
        </w:tc>
      </w:tr>
    </w:tbl>
    <w:p>
      <w:pPr>
        <w:spacing w:after="0" w:line="4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080"/>
          </w:cols>
          <w:pgMar w:left="240" w:top="792"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4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3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Audited consolidated financial statements of Wynn America, LLC and subsidiaries as of and for the years ended December 31, 2016 and</w:t>
            </w:r>
          </w:p>
        </w:tc>
      </w:tr>
      <w:tr>
        <w:trPr>
          <w:trHeight w:val="234"/>
        </w:trPr>
        <w:tc>
          <w:tcPr>
            <w:tcW w:w="700" w:type="dxa"/>
            <w:vAlign w:val="bottom"/>
          </w:tcPr>
          <w:p>
            <w:pPr>
              <w:spacing w:after="0"/>
              <w:rPr>
                <w:sz w:val="20"/>
                <w:szCs w:val="20"/>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2015.</w:t>
            </w:r>
          </w:p>
        </w:tc>
        <w:tc>
          <w:tcPr>
            <w:tcW w:w="9140" w:type="dxa"/>
            <w:vAlign w:val="bottom"/>
          </w:tcPr>
          <w:p>
            <w:pPr>
              <w:spacing w:after="0"/>
              <w:rPr>
                <w:sz w:val="20"/>
                <w:szCs w:val="20"/>
                <w:color w:val="auto"/>
              </w:rPr>
            </w:pPr>
          </w:p>
        </w:tc>
      </w:tr>
      <w:tr>
        <w:trPr>
          <w:trHeight w:val="46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8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of Wynn America, LLC and subsidiaries as of March 31, 2017 and for the three</w:t>
            </w:r>
          </w:p>
        </w:tc>
      </w:t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ended March 31, 2017 and 2016.</w:t>
            </w:r>
          </w:p>
        </w:tc>
      </w:tr>
    </w:tbl>
    <w:p>
      <w:pPr>
        <w:sectPr>
          <w:pgSz w:w="11900" w:h="16838" w:orient="portrait"/>
          <w:cols w:equalWidth="0" w:num="1">
            <w:col w:w="11220"/>
          </w:cols>
          <w:pgMar w:left="280" w:top="79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WYNN AMERICA, LLC AND SUBSIDIARIES</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CONSOLIDATED FINANCIAL STATEMENTS</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YEARS ENDED DECEMBER 31, 2016 AND 2015</w:t>
      </w:r>
    </w:p>
    <w:p>
      <w:pPr>
        <w:spacing w:after="0" w:line="1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WITH REPORT OF INDEPENDENT AUDITORS</w:t>
      </w:r>
    </w:p>
    <w:p>
      <w:pPr>
        <w:sectPr>
          <w:pgSz w:w="11900" w:h="16838" w:orient="portrait"/>
          <w:cols w:equalWidth="0" w:num="1">
            <w:col w:w="10220"/>
          </w:cols>
          <w:pgMar w:left="1440" w:top="1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7780" w:type="dxa"/>
            <w:vAlign w:val="bottom"/>
            <w:gridSpan w:val="2"/>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WYNN AMERICA, LLC AND SUBSIDIARIES</w:t>
            </w:r>
          </w:p>
        </w:tc>
      </w:tr>
      <w:tr>
        <w:trPr>
          <w:trHeight w:val="216"/>
        </w:trPr>
        <w:tc>
          <w:tcPr>
            <w:tcW w:w="3380" w:type="dxa"/>
            <w:vAlign w:val="bottom"/>
          </w:tcPr>
          <w:p>
            <w:pPr>
              <w:spacing w:after="0"/>
              <w:rPr>
                <w:sz w:val="18"/>
                <w:szCs w:val="18"/>
                <w:color w:val="auto"/>
              </w:rPr>
            </w:pPr>
          </w:p>
        </w:tc>
        <w:tc>
          <w:tcPr>
            <w:tcW w:w="778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r>
      <w:tr>
        <w:trPr>
          <w:trHeight w:val="238"/>
        </w:trPr>
        <w:tc>
          <w:tcPr>
            <w:tcW w:w="3380" w:type="dxa"/>
            <w:vAlign w:val="bottom"/>
          </w:tcPr>
          <w:p>
            <w:pPr>
              <w:spacing w:after="0"/>
              <w:rPr>
                <w:sz w:val="20"/>
                <w:szCs w:val="20"/>
                <w:color w:val="auto"/>
              </w:rPr>
            </w:pPr>
          </w:p>
        </w:tc>
        <w:tc>
          <w:tcPr>
            <w:tcW w:w="778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2016 AND 2015</w:t>
            </w:r>
          </w:p>
        </w:tc>
      </w:tr>
      <w:tr>
        <w:trPr>
          <w:trHeight w:val="810"/>
        </w:trPr>
        <w:tc>
          <w:tcPr>
            <w:tcW w:w="3380" w:type="dxa"/>
            <w:vAlign w:val="bottom"/>
          </w:tcPr>
          <w:p>
            <w:pPr>
              <w:spacing w:after="0"/>
              <w:rPr>
                <w:sz w:val="24"/>
                <w:szCs w:val="24"/>
                <w:color w:val="auto"/>
              </w:rPr>
            </w:pPr>
          </w:p>
        </w:tc>
        <w:tc>
          <w:tcPr>
            <w:tcW w:w="7780" w:type="dxa"/>
            <w:vAlign w:val="bottom"/>
            <w:gridSpan w:val="2"/>
          </w:tcPr>
          <w:p>
            <w:pPr>
              <w:jc w:val="center"/>
              <w:ind w:right="329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55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76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3</w:t>
              </w:r>
            </w:hyperlink>
          </w:p>
        </w:tc>
      </w:tr>
      <w:tr>
        <w:trPr>
          <w:trHeight w:val="25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76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4</w:t>
              </w:r>
            </w:hyperlink>
          </w:p>
        </w:tc>
      </w:tr>
      <w:tr>
        <w:trPr>
          <w:trHeight w:val="25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9</w:t>
              </w:r>
            </w:hyperlink>
          </w:p>
        </w:tc>
      </w:tr>
    </w:tbl>
    <w:p>
      <w:pPr>
        <w:sectPr>
          <w:pgSz w:w="11900" w:h="16838" w:orient="portrait"/>
          <w:cols w:equalWidth="0" w:num="1">
            <w:col w:w="11160"/>
          </w:cols>
          <w:pgMar w:left="380" w:top="52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America, LLC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Wynn America, LLC and subsidiaries (the “Company”), which comprise the consolidated balance sheets as of December 31, 2016 and 2015, and the related consolidated statements of comprehensive loss, member’s deficit and cash flows for the years then ended, and the related notes to the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Wynn America, LLC and subsidiaries at December 31, 2016 and 2015, and the consolidated results of their operations and their cash flows for the years then ended in conformity with U.S. generally accepted accounting principles.</w:t>
      </w:r>
    </w:p>
    <w:p>
      <w:pPr>
        <w:spacing w:after="0" w:line="200" w:lineRule="exact"/>
        <w:rPr>
          <w:sz w:val="20"/>
          <w:szCs w:val="20"/>
          <w:color w:val="auto"/>
        </w:rPr>
      </w:pPr>
    </w:p>
    <w:p>
      <w:pPr>
        <w:spacing w:after="0" w:line="30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4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370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937,633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146,175</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120,558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127,356</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51,293</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30,807</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1,114,927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355,631</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3,019,084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2,904,734</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94,087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89,087</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47,603</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4,300,099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3,397,782</w:t>
            </w:r>
          </w:p>
        </w:tc>
      </w:tr>
      <w:tr>
        <w:trPr>
          <w:trHeight w:val="67"/>
        </w:trPr>
        <w:tc>
          <w:tcPr>
            <w:tcW w:w="3700" w:type="dxa"/>
            <w:vAlign w:val="bottom"/>
            <w:tcBorders>
              <w:bottom w:val="single" w:sz="8" w:color="CCEEFF"/>
            </w:tcBorders>
          </w:tcPr>
          <w:p>
            <w:pPr>
              <w:spacing w:after="0"/>
              <w:rPr>
                <w:sz w:val="5"/>
                <w:szCs w:val="5"/>
                <w:color w:val="auto"/>
              </w:rPr>
            </w:pPr>
          </w:p>
        </w:tc>
        <w:tc>
          <w:tcPr>
            <w:tcW w:w="4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370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3700" w:type="dxa"/>
            <w:vAlign w:val="bottom"/>
          </w:tcPr>
          <w:p>
            <w:pPr>
              <w:spacing w:after="0"/>
              <w:rPr>
                <w:sz w:val="21"/>
                <w:szCs w:val="21"/>
                <w:color w:val="auto"/>
              </w:rPr>
            </w:pPr>
          </w:p>
        </w:tc>
        <w:tc>
          <w:tcPr>
            <w:tcW w:w="500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5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56,773</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deposits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95,259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84,094</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Gaming taxes payable</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11,610</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53,175</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48,950</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30,823</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8,052</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364,461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293,477</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4,153,523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3,219,787</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3,219</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4,526,579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3,516,483</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deficit: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Contributed capital</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1,152,094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1,205,004</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(1,323,705)</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member’s deficit</w:t>
            </w:r>
          </w:p>
        </w:tc>
        <w:tc>
          <w:tcPr>
            <w:tcW w:w="4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(118,701)</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4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4,300,099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3,397,782</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38"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613,071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619,494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436,613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413,152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520,187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227,896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233,711</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1,785,817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1,786,544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1,616,519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1,612,868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291,710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144,439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339,764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136,746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254,665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246,660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35,415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182,011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1,490,338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1,447,997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126,181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164,871</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(148,317)</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900"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MEMBER'S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Wynn Las Vegas, LLC</w:t>
            </w:r>
          </w:p>
        </w:tc>
        <w:tc>
          <w:tcPr>
            <w:tcW w:w="16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Wynn America, LLC</w:t>
            </w:r>
          </w:p>
        </w:tc>
        <w:tc>
          <w:tcPr>
            <w:tcW w:w="140" w:type="dxa"/>
            <w:vAlign w:val="bottom"/>
          </w:tcPr>
          <w:p>
            <w:pPr>
              <w:spacing w:after="0"/>
              <w:rPr>
                <w:sz w:val="13"/>
                <w:szCs w:val="13"/>
                <w:color w:val="auto"/>
              </w:rPr>
            </w:pPr>
          </w:p>
        </w:tc>
        <w:tc>
          <w:tcPr>
            <w:tcW w:w="15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member's equity</w:t>
            </w:r>
          </w:p>
        </w:tc>
      </w:tr>
      <w:tr>
        <w:trPr>
          <w:trHeight w:val="195"/>
        </w:trPr>
        <w:tc>
          <w:tcPr>
            <w:tcW w:w="608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member's equity (deficit)</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member's equity (deficit)</w:t>
            </w:r>
          </w:p>
        </w:tc>
        <w:tc>
          <w:tcPr>
            <w:tcW w:w="140" w:type="dxa"/>
            <w:vAlign w:val="bottom"/>
          </w:tcPr>
          <w:p>
            <w:pPr>
              <w:spacing w:after="0"/>
              <w:rPr>
                <w:sz w:val="16"/>
                <w:szCs w:val="16"/>
                <w:color w:val="auto"/>
              </w:rPr>
            </w:pP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69"/>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221,774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181,824</w:t>
            </w:r>
          </w:p>
        </w:tc>
      </w:tr>
      <w:tr>
        <w:trPr>
          <w:trHeight w:val="237"/>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to Wynn Las Vegas Reorganization:</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(105,925)</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 to parent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Wynn Resorts, Limited 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1,874</w:t>
            </w: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associated with Wynn Las Vegas Reorganization</w:t>
            </w:r>
          </w:p>
        </w:tc>
        <w:tc>
          <w:tcPr>
            <w:tcW w:w="1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Subsequent to Wynn Las Vegas Reorganization:</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(42,392)</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 contribution from parent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Wynn Resorts, Limited stock-based compensation</w:t>
            </w:r>
          </w:p>
        </w:tc>
        <w:tc>
          <w:tcPr>
            <w:tcW w:w="1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w:t>
            </w:r>
          </w:p>
        </w:tc>
      </w:tr>
      <w:tr>
        <w:trPr>
          <w:trHeight w:val="27"/>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(118,701)</w:t>
            </w:r>
          </w:p>
        </w:tc>
      </w:tr>
      <w:tr>
        <w:trPr>
          <w:trHeight w:val="237"/>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(54,869)</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to parent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Receivable contribution from parent</w:t>
            </w:r>
          </w:p>
        </w:tc>
        <w:tc>
          <w:tcPr>
            <w:tcW w:w="1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Wynn Resorts, Limited stock-based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1,787</w:t>
            </w:r>
          </w:p>
        </w:tc>
      </w:tr>
      <w:tr>
        <w:trPr>
          <w:trHeight w:val="25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(226,480)</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90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182,011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write-off of deferred financing costs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126,277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 net of distributions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(203,393)</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226,005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intangibles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investment in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14,744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(168,971)</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to parent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(1,603,610)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926,538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(236,231)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382,406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937,633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146,175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22"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173,180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188,583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accounts and construction payables related to property and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10,498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 contribution from parent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Retail net assets distribution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22"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Wynn America, LLC, a Nevada limited liability company, (together with its subsidiaries, "Wynn America" or the "Company") was organized primarily to develop, own and operate destination casino resorts (integrated resorts). Wynn America is a direct wholly owned subsidiary of Wynn Resorts Holdings, LLC (“Holdings”) and Holdings is a direct wholly owned subsidiary of Wynn Resorts, Limited (“Wynn Resorts”).</w:t>
      </w:r>
    </w:p>
    <w:p>
      <w:pPr>
        <w:spacing w:after="0" w:line="1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November 2014, Wynn MA, LLC ("Wynn MA"), a Nevada limited liability company and wholly owned subsidiary of the Company, was awarded a gaming license to develop and construct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80"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Wynn America Credit Facilities (defined below), Wynn America agreed to use commercially reasonable efforts to cause a corporate restructuring (the "Wynn Las Vegas Reorganization") that would result in Wynn Las Vegas Holdings, LLC ("WLVH"), a direct wholly owned subsidiary of Wynn America, being the 100% owner of Wynn Las Vegas, LLC and its subsidiaries. Approvals required under applicable gaming laws and regulations with respect to the Wynn Las Vegas Reorganization were obtained on August 20, 2015. On September 1, 2015, Holdings transferred its equity interest in Wynn Las Vegas, LLC and its subsidiaries to WLVH and effectuated the Wynn Las Vegas Reorganization.</w:t>
      </w:r>
    </w:p>
    <w:p>
      <w:pPr>
        <w:spacing w:after="0" w:line="18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Wynn Las Vegas, LLC, a Nevada limited liability company, was organized primarily to construct and operate Wynn Las Vegas, an integrated destination casino resort in Las Vegas, Nevada. 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99,000 square feet of retail space (of which, effective December 28, 2016, approximately 88,000 square feet is owned and operated by a subsidiary of Wynn Resorts), as well as two showrooms, three nightclubs and a beach club.</w:t>
      </w:r>
    </w:p>
    <w:p>
      <w:pPr>
        <w:spacing w:after="0" w:line="18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Wynn Las Vegas Capital Corp. ("Capital Corp.") is a wholly owned subsidiary of Wynn Las Vegas, LLC, organized solely for the purpose of obtaining financing for Wynn Las Vegas, LLC. Capital Corp., authorized to issue 2,000 shares of common stock, par value $0.01. As of December 31, 2016, Wynn Las Vegas, LLC owned the one share that was issued and outstanding. Capital Corp. has neither any significant net assets nor has had any operating activity. Its sole function is to serve as the co-issuer of the first mortgage and senior notes. Wynn Las Vegas, LLC and Capital Corp. together are hereinafter referred to as the "Issuers."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The Wynn Las Vegas Reorganization was accounted for as a transaction among entities under common control in accordance with business combinations accounting guidance. Accordingly, the consolidated financial statements for all periods are presented as if the Wynn Las Vegas Reorganization occurred at the beginning of the earliest period presented and include the accounts of WLVH on a historical cost basis. Certain amounts in the consolidated financial statements for the previous years have been reclassified to be consistent with the current year presentation. These reclassifications had no effect on the previously reported net income. All intercompany accounts and transactions have been eliminated.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9" w:right="2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Cash equivalents are carried at cost, which approximates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2016 and 2015, approximately 80.3% and 80.1%,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Inventories consist of retail merchandise and food and beverage items, which are stated at the lower of cost or market value and certain operating supplies. Cost is determined by the first-in, first-out, weighted average and specific identification methods.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3 to 20 years</w:t>
            </w:r>
          </w:p>
        </w:tc>
      </w:tr>
    </w:tbl>
    <w:p>
      <w:pPr>
        <w:spacing w:after="0" w:line="22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weighted average cost of the Company's outstanding borrowings. Interest of $3.3 million was capitalized for the year ended December 31, 2016, and no interest was capitalized for the year ended December 31, 2015.</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9" w:right="2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trademarks. The value of the trademarks primarily represents the costs to acquire the "Le Rêve" name. Indefinite-lived intangible assets are not amortized, but are reviewed for impairment annually. The Company's finite-lived intangible assets consist of a Massachusetts gaming license. These amounts will be amortized beginning upon the opening of the resort over an estimated useful life of 15 years, which is the term of the gaming license.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right="340" w:firstLine="405"/>
        <w:spacing w:after="0" w:line="258" w:lineRule="auto"/>
        <w:rPr>
          <w:sz w:val="20"/>
          <w:szCs w:val="20"/>
          <w:color w:val="auto"/>
        </w:rPr>
      </w:pPr>
      <w:r>
        <w:rPr>
          <w:rFonts w:ascii="Times New Roman" w:cs="Times New Roman" w:eastAsia="Times New Roman" w:hAnsi="Times New Roman"/>
          <w:sz w:val="18"/>
          <w:szCs w:val="18"/>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the Company's revolving credit facility are presented in noncurrent assets on the Consolidated Balance Sheets. All other deferred financing costs are presented as a direct reduction of long-term debt on the Consolidated Balance Sheets. During the years ended December 31, 2016 and 2015, $8.5 million and $8.2 million was amortized to interest expense,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Cash discounts, other cash incentives and points earned by customers from the Company's loyalty programs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4"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47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75,234</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4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80,007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4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18,435</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169,298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173,676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4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4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33,264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11,421</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102,111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106,343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Loyalty Program</w:t>
      </w:r>
    </w:p>
    <w:p>
      <w:pPr>
        <w:spacing w:after="0" w:line="22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 offers a loyalty program whereby customers earn points based on their level of slots play, which can be redeemed for free play. The Company records a liability for points expected to be redeemed as a reduction to casino revenue. The initial recognition of the point liability is at fair value based on points earned multiplied by redemption value, less an estimate for points not expected to be redeemed. The revenue from the points is recognized when redeemed.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 in which it operates, subject to applicable jurisdictional adjustments. These gaming taxes are an assessment on the Company's gross gaming revenue and are recorded as casino expenses in the accompanying Consolidated Statements of Comprehensive Loss. These taxes totaled $44.6 million for both years ended December 31, 2016 and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$25.0 million and $20.6 million for the years ended December 31, 2016 and 2015,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227"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Pre-opening costs represent personnel and other costs incurred prior to the opening of new ventures and are expensed as incurred. Pre-opening costs incurred for the periods presented are mainly associated with the development of Wynn Boston Harbor.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related to equity shares of Wynn Resorts granted to its employees in accordance with accounting standards which require the compensation cost relating to share-based payment transactions be recognized in Wynn Resorts' Consolidated Statements of Comprehensive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9 "Benefit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9"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significant development and construction risks associated with the planned development of Wynn Boston Harbor, including construction costs exceeding budgeted amounts and the commencement of operations not meeting planned schedule. Failure to complete the project on schedule or within budget may have a significant negative effect on the Company and the Company's ability to make payments on its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effective date for this guidance is for financial statements for fiscal years beginning after December 15, 2017, and interim periods within those fiscal periods and early application is permitted. The Company is currently assessing the impact the adoption of this guidance will have on its consolidated financial statements.</w:t>
      </w:r>
    </w:p>
    <w:p>
      <w:pPr>
        <w:spacing w:after="0" w:line="18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adopted this guidance on January 1, 2017, and does not expect the adoption of this update to have a material effect on its consolidated financial statements.</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deferred financing costs related to a recognized debt liability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which clarifies that the guidance issued in April 2015 does not apply to line-of-credit arrangements. According to the additional guidance, deferred financing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9"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Consolidated Balance Sheet at December 31, 2015. This change in accounting principle resulted in net deferred financing costs of $50.2 million incurred in connection with the issuance of the Company's long-term debt (excluding revolving credit facilities) being reclassified from noncurrent assets to a direct reduction of the long-term debt balance. The presentation of the $5.7 million of net deferred financing costs incurred in connection with the issuance of the Company's revolving credit facility as of December 31, 2015, are not affected by the adoption of this new accounting guidance and are included in other assets on the Consolidated Balance Sheet.</w:t>
      </w:r>
    </w:p>
    <w:p>
      <w:pPr>
        <w:spacing w:after="0" w:line="189"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guidance will have on its consolidated financial statements. The Company expects the goods and services provided to customers without charge currently included in both gross revenues and promotional allowances in the accompanying Consolidated Statements of Comprehensive Loss will be presented on a net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116,723</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20,014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29,288</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150,118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166,025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120,558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127,356</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683,772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671,464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2,603,972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2,630,788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1,420,804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1,419,294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287,778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44,010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4,996,326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4,765,556</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(1,860,822)</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3,019,084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2,904,734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Construction in progress consists primarily of costs capitalized, including interest, for the construction of Wynn Boston Harbor.</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2016 and 2015 was $181.2 million and $179.5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Intangible Assets,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92,700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87,700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6"/>
              </w:rPr>
              <w:t>92,700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87,700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94,087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89,087</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trademarks. The value of the trademarks primarily represents the costs to acquire the "Le Rêve" name. Indefinite-lived intangible assets are not amortized, but are reviewed for impairment annually.</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license to operate a casino in Massachusetts. The consideration paid to the State of Massachusetts for the license fee and certain costs incurred in connection with and contractually related to obtaining the license will be considered a finite-lived intangible asset. These amounts will be amortized over a period of 15 years, which is the term of the gaming license, beginning upon the opening of the resort.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(2.52%</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1.99% as of December 31, 2016 and 2015, respectively), net of debt issuance costs of $15,436 and $15,712</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2016 and 2015, respectively</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984,564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$6,709 and $7,791 as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 and 2015,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893,291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892,209</w:t>
            </w:r>
          </w:p>
        </w:tc>
        <w:tc>
          <w:tcPr>
            <w:tcW w:w="0" w:type="dxa"/>
            <w:vAlign w:val="bottom"/>
          </w:tcPr>
          <w:p>
            <w:pPr>
              <w:spacing w:after="0"/>
              <w:rPr>
                <w:sz w:val="1"/>
                <w:szCs w:val="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$2,819 and $3,183 as of December 31, 2016</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2015, respectively</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497,181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$21,513 and $23,527 as of December 31,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and 2015,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1,778,487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1,776,473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4,153,523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3,219,787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4,153,523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3,219,787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Company's credit facilities include a fully funded $1.0 billion senior secured term loan facility and a $375 million secured revolving credit facility (the "Wynn America Credit Facilities"). The Company expects to use the proceeds primarily to fund the development, construction and pre-opening expenses of Wynn Boston Harbor and for general corporate purposes.</w:t>
      </w:r>
    </w:p>
    <w:p>
      <w:pPr>
        <w:spacing w:after="0" w:line="1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has executed amendments to extend the available borrowing periods. Most recently, on June 30, 2016, the Company amended the Wynn America Credit Facilities to extend the available borrowing period for the majority of the existing $875 million senior secured term loan facility (the "WA Senior Term Loan Facility I") from June 30, 2016 to December 31, 2016. In addition, on July 1, 2016, the Company amended the Wynn America Credit Facilities to increase the WA Senior Term Loan Facility I by a principal amount of $125 million with the available borrowing period ending on December 31, 2016 (such increase, the "WA Senior Term Loan Facility II" and together with WA Senior Term Loan Facility I, the "WA Senior Term Loan Facilities"). The Company paid customary fees and expenses in connection with these amendments.</w:t>
      </w:r>
    </w:p>
    <w:p>
      <w:pPr>
        <w:spacing w:after="0" w:line="18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available borrowing capacity of $361.3 million under the senior secured revolving credit facility ("WA Senior Revolving Credit Facility"), net of $13.7 million in outstanding letters of credit.</w:t>
      </w:r>
    </w:p>
    <w:p>
      <w:pPr>
        <w:spacing w:after="0" w:line="162"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WA Senior Revolving Credit Facility matures in November 2019. WA Senior Term Loan Facility I is repayable in quarterly installments of $21.9 million commencing June 2018, with a final installment of $656.3 million repayable in November 2020. WA Senior Term Loan Facility II has no required scheduled repayments until maturity in November 2020. Subject to certain exceptions, the Wynn America Credit Facilities bear interest at either base rate plus 0.75% per annum or LIBOR plus 1.75% per annum. The annual fee required to pay for unborrowed amounts, if any, is 0.30% per annum, payable quarterly in arrears, calculated based on the daily average of the unborrowed amounts under such credit facilities.</w:t>
      </w:r>
    </w:p>
    <w:p>
      <w:pPr>
        <w:spacing w:after="0" w:line="18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Wynn Boston Harbor occurs, the Maximum Consolidated Senior Secured Net Leverage Ratio is not to exceed 2.75 to 1. Commencing with the fiscal quarter ending December 31, 2015, the Minimum Consolidated EBITDA is not to be less than $200.0 million.</w:t>
      </w:r>
    </w:p>
    <w:p>
      <w:pPr>
        <w:spacing w:after="0" w:line="189"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Wynn Resorts has provided a completion guaranty in favor of the lenders under the Wynn America Credit Facilities to support the development of Wynn Boston Harbor.</w:t>
      </w:r>
    </w:p>
    <w:p>
      <w:pPr>
        <w:spacing w:after="0" w:line="16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3/8% First Mortgage Notes due 2022</w:t>
      </w:r>
    </w:p>
    <w:p>
      <w:pPr>
        <w:spacing w:after="0" w:line="2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March 2012, the Issuers issued in a private offering, $900 million aggregate principal amount of 5 3/8% First Mortgage Notes due 2022 (the "2022 Notes"). A portion of the proceeds was used to repay all amounts outstanding under the Wynn Las Vegas, LLC term loan facilities. In October 2012, the Issuers commenced an offer to exchange all of the 2022 Notes for notes registered under the Securities Act. The exchange offer closed on November 6, 2012. Interest is due on the 2022 Notes on March 15 and September 15 of each year. Commencing March 15, 2017, the 2022 Notes are redeemable at the Issuers' option at a price equal to 102.688% of the principal amount redeemed and the premium over the principal amount declines ratably on March 15 of each year thereafter to zero on or after March 15, 2020. The 2022 Notes are senior obligations of the Issuers and are unsecured (except by the first priority pledge by WLVH), of its equity interests in Wynn Las Vegas, LLC. The Issuers' obligations under the 2022 Notes rank pari passu in right of payment with the 2023 Notes and 2025 Notes (each as defined below).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279" w:right="29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merge or consolidate with another company; transfer and sell assets or create dividend and other payment restrictions affecting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1/4% Senior Notes due 2023</w:t>
      </w:r>
    </w:p>
    <w:p>
      <w:pPr>
        <w:spacing w:after="0" w:line="227" w:lineRule="exact"/>
        <w:rPr>
          <w:sz w:val="20"/>
          <w:szCs w:val="20"/>
          <w:color w:val="auto"/>
        </w:rPr>
      </w:pPr>
    </w:p>
    <w:p>
      <w:pPr>
        <w:ind w:right="340" w:firstLine="432"/>
        <w:spacing w:after="0" w:line="256" w:lineRule="auto"/>
        <w:rPr>
          <w:sz w:val="20"/>
          <w:szCs w:val="20"/>
          <w:color w:val="auto"/>
        </w:rPr>
      </w:pPr>
      <w:r>
        <w:rPr>
          <w:rFonts w:ascii="Times New Roman" w:cs="Times New Roman" w:eastAsia="Times New Roman" w:hAnsi="Times New Roman"/>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previously issued notes that were to mature in November 2017. In addition, the Issuers satisfied and discharged the indenture governing the 7 7/8% First Mortgage Notes due 2017 (the "2017 Notes") and, in November 2013, used the remaining net proceeds to redeem any and all of the 2017 Notes not previously tendered.</w:t>
      </w:r>
    </w:p>
    <w:p>
      <w:pPr>
        <w:spacing w:after="0" w:line="18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8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2023 Notes are the Issuers' senior unsecured obligations and rank pari passu in right of payment with the Issuers' 2022 Notes and 2025 Notes (as defined below). The 2023 Notes are unsecured (except by the first priority pledge by WLVH of its equity interests in Wynn Las Vegas, LLC). Such equity interests in Wynn Las Vegas, LLC also secure the Issuers' 2022 Notes and 2025 Notes. If Wynn Resorts receives an investment grade rating from one or more ratings agencies, the first priority pledge securing the 2023 Notes will be released.</w:t>
      </w:r>
    </w:p>
    <w:p>
      <w:pPr>
        <w:spacing w:after="0" w:line="180"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2023 Notes are jointly and severally guaranteed by all of the Issuers' subsidiaries, other than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76"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Events of default under the 2023 Indenture include, among others, the following: default for 30 days in the payment of interest when due on the 2023 Notes; default in payment of the principal when due,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1/2% Senior Notes due 2025</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Guarantors and U.S. Bank National Association, as trustee. The 2025 Notes were issued at par. The Company used the net proceeds from the 2025 Notes to cover the cost of purchasing the 7 7/8% First Mortgage Notes due May 1, 2020 (the "7 7/8% 2020 Notes") and the 7 3/4% First Mortgage Notes due August 15, 2020 (the "7 3/4% 2020 Notes" and together with the 7 7/8% 2020 Notes, the "2020 Notes") and for general corporate purposes.</w:t>
      </w:r>
    </w:p>
    <w:p>
      <w:pPr>
        <w:spacing w:after="0" w:line="130"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9" w:right="2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3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2022 Notes and 2023 Notes (together, the "Existing Notes"). The 2025 Notes are unsecured (except by the first priority pledge by WLVH of its equity interests in Wynn Las Vegas, LLC). Such equity interests in Wynn Las Vegas, LLC also secure the Existing Notes. If Wynn Resorts receives an investment grade rating from one or more ratings agencies, the first priority pledge securing the 2025 Notes will be released.</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2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2"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of interest when due on the 2025 Notes; default in payment of the principal when due, or premium, if any,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2023 Notes and 2025 Notes were offered pursuant to an exemption under the Securities Act. The 2023 Notes and 2025 Notes were offered only to qualified institutional buyers in reliance on Rule 144A under the Securities Act or outside the United States to certain persons in reliance on Regulation S under the Securities Act. The 2023 Notes and 2025 Notes have not been and will not be registered under the Securities Act or under any state securities laws. Therefore, the 2023 Notes and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187"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amounts of the 2020 Notes. The premium portion of the aggregate total consideration was $101.2 million and was recorded as a loss on extinguishment of debt in the accompanying Consolidated Statements of Comprehensive Loss. In connection with the cash tender, the Company expensed $17.3 million of unamortized deferred financing costs and original issue discount related to the 2020 Notes and incurred other fees of $0.1 million that are included in loss on extinguishment of debt in the accompanying Consolidated Statements of Comprehensive Loss.</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Consolidated Statements of Comprehensive Loss.</w:t>
      </w:r>
    </w:p>
    <w:p>
      <w:pPr>
        <w:spacing w:after="0" w:line="176" w:lineRule="exact"/>
        <w:rPr>
          <w:sz w:val="20"/>
          <w:szCs w:val="20"/>
          <w:color w:val="auto"/>
        </w:rPr>
      </w:pPr>
    </w:p>
    <w:p>
      <w:pPr>
        <w:jc w:val="both"/>
        <w:ind w:right="500" w:firstLine="392"/>
        <w:spacing w:after="0" w:line="266" w:lineRule="auto"/>
        <w:rPr>
          <w:sz w:val="20"/>
          <w:szCs w:val="20"/>
          <w:color w:val="auto"/>
        </w:rPr>
      </w:pPr>
      <w:r>
        <w:rPr>
          <w:rFonts w:ascii="Times New Roman" w:cs="Times New Roman" w:eastAsia="Times New Roman" w:hAnsi="Times New Roman"/>
          <w:sz w:val="18"/>
          <w:szCs w:val="18"/>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Consolidated Statements of Comprehensive Loss.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9" w:right="2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Claim</w:t>
      </w:r>
    </w:p>
    <w:p>
      <w:pPr>
        <w:spacing w:after="0" w:line="227"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As further discussed in Note 9 "Commitments and Contingencies," on June 19, 2012, Elaine Wynn asserted a cross claim against Mr. Wynn and Aruze (defined below) seeking a declaration that (1) any and all of Elaine Wynn's duties under the Stockholders Agreement (defined below)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On May 5, 2016, the court granted Wynn Resorts' and Wynn Resorts' General Counsel's motions to dismiss.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continuing to oppose Elaine Wynn's cross claim.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 of December 31, 2016, management believes the Company was in compliance with all debt covenants.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0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2016 are as follows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0"/>
        </w:trPr>
        <w:tc>
          <w:tcPr>
            <w:tcW w:w="10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2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6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65,625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7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87,500</w:t>
            </w:r>
          </w:p>
        </w:tc>
      </w:tr>
      <w:tr>
        <w:trPr>
          <w:trHeight w:val="27"/>
        </w:trPr>
        <w:tc>
          <w:tcPr>
            <w:tcW w:w="25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7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846,875</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7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3,200,000</w:t>
            </w:r>
          </w:p>
        </w:tc>
      </w:tr>
      <w:tr>
        <w:trPr>
          <w:trHeight w:val="237"/>
        </w:trPr>
        <w:tc>
          <w:tcPr>
            <w:tcW w:w="25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4,200,000</w:t>
            </w:r>
          </w:p>
        </w:tc>
      </w:tr>
      <w:tr>
        <w:trPr>
          <w:trHeight w:val="27"/>
        </w:trPr>
        <w:tc>
          <w:tcPr>
            <w:tcW w:w="25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issuance costs,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(46,477)</w:t>
            </w:r>
          </w:p>
        </w:tc>
      </w:tr>
      <w:tr>
        <w:trPr>
          <w:trHeight w:val="237"/>
        </w:trPr>
        <w:tc>
          <w:tcPr>
            <w:tcW w:w="25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4,153,523</w:t>
            </w:r>
          </w:p>
        </w:tc>
      </w:tr>
      <w:tr>
        <w:trPr>
          <w:trHeight w:val="27"/>
        </w:trPr>
        <w:tc>
          <w:tcPr>
            <w:tcW w:w="25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Affiliates, net</w:t>
      </w:r>
    </w:p>
    <w:p>
      <w:pPr>
        <w:spacing w:after="0" w:line="2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 periodically settles net amounts due to affiliates with cash payments. As of December 31, 2016 and 2015, the Company's net current due to affiliates of $45.1 million and $8.1 million, respectively, are primarily comprised of management fees, license fees, and corporate allocations.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 and corporate allocations</w:t>
      </w:r>
    </w:p>
    <w:p>
      <w:pPr>
        <w:spacing w:after="0" w:line="22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Wynn MA and Wynn Las Vegas, LLC have each entered into corporate support services agreements with Wynn Resorts. Under the agreements, Wynn Resorts provides the Company legal, accounting, human resources, information technology services, real estate and other corporate support services. The corporate support service allocations have been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9" w:right="2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determined on a basis that Wynn Resorts and the Company consider to be reasonable estimates of the utilization of service provided or the benefit received by the Company. Wynn Resorts maintains corporate offices at Wynn Las Vegas without charge from the Company. In addition, aircraft operated by Wynn Resorts are available for use by Wynn MA and Wynn Las Vegas, LLC. Under the agreements, the Company also pays a management fee of 1.5% of net revenues. During the years ended December 31, 2016 and 2015, $50.3 million and $55.4 million, respectively, was charged to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Wynn MA and Wynn Las Vegas, LLC have each entered into agreements with Wynn Resorts and a wholly owned subsidiary of Wynn Resorts, under which the Company licenses certain intellectual property, including certain trademarks, domain names, copyrights and service marks in connection with a variety of goods and services. Under the Wynn MA agreement, dated November 20, 2014, the monthly licensing fee payable is $1.5 million prior to the opening of Wynn Boston Harbor and will be 3% of gross monthly revenues upon the opening of the resort. In February 2015, Wynn Las Vegas, LLC entered into a license agreement, which requires payment of fees equal to 1.5% of gross monthly revenues so long as the original license agreement, dated December 14, 2004, is in effect and not terminated, and 3.0% subsequent to termination of this original license agreement. During the years ended December 31, 2016 and 2015, $44.8 million and $40.6 million, respectively, of licensing fees were charged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services agreement</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December 2016, in connection with the distribution of the majority of the Company’s retail net assets, the Company entered into a retail services agreement with Wynn Retail, LLC ("Wynn Retail"), a wholly owned subsidiary of Wynn Resorts, to provide services to Wynn Retail to support retail operations at Wynn Las Vegas. See Note 11 "Member's Equity" for discussion of the retail net assets distribution. Under the agreement, the allocation of costs have been determined on a basis that Wynn Retail and the Company consider to be reasonable estimates of the utilization of services provided by the Company. During the year ended December 31, 2016, the amount charged by the Company for services under the agreement was immaterial.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 net</w:t>
      </w:r>
    </w:p>
    <w:p>
      <w:pPr>
        <w:spacing w:after="0" w:line="22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Mr. Wynn currently leases property at Wynn Las Vegas for use as his personal residence and pays the Company annual rent at its fair market value of the accommodations based on an independent third-party expert opinion of value. Pursuant to the 2013 Second Amended and Restated Agreement of Lease, as amended (the "Second A&amp;R Lease"), Mr. Wynn leased three fairway villas as his personal residence and paid $525,000 per year from November 5, 2013 through February 28, 2015, and $559,295 per year from March 1, 2015 through November 3, 2016. In December 2016, Mr. Wynn and Wynn Las Vegas replaced the Second A&amp;R Lease with a Third Amended and Restated Agreement of Lease, which was effective November 3, 2016 (the "Third A&amp;R Lease"), to reduce the space leased to Mr. Wynn as his personal residence and to adjust the annual rent paid to $305,680 per year. The lease, including each amendment and restatement, have been approved by the Audit Committee of the Board of Directors of Wynn Resorts and provides that Wynn Las Vegas, LLC pays for all capital improvements to the villas; certain services for, and maintenance of, the villas are included in the annual rent; and the annual rent will be re-determined every two years during the term of the lease.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9"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August 6, 2004, Holdings entered into agreements with Mr. Wynn that confirm and clarify Holding's rights to use the "Wynn" surname and</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Mr. Wynn's persona in connection with casino resorts. Under the parties' Surname Rights Agreement, Mr. Wynn granted Holdings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Golf Course Lease</w:t>
      </w:r>
    </w:p>
    <w:p>
      <w:pPr>
        <w:spacing w:after="0" w:line="22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September 18, 2012, the Company distributed to Wynn Resorts,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Charges and Other</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Property charges and other expense was $34.4 million for the year ended December 31, 2016, compared to $3.5 million for the same period in 2015. During the year ended December 31, 2016, the Company incurred a $15.5 million exit fee for the right to procure energy from the wholesale energy markets instead of from the local public electric utility, $8.8 million in abandonment charges primarily related to construction of additional retail space and $5.5 million for the write-off of show production costs due to the closing of Steve Wynn's ShowStoppers in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Savings Plan</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50% of employee contributions, up to 6% of employees' eligible compensation, with a one-time annual matching cap per employee of $1,200 for the year ended December 31, 2015. There was no matching cap per employee for the year ended December 31, 2016. The Company expenses related to these matching contributions of $5.4 million and $3.0 million for the years ended December 31, 2016 and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227"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7"/>
          <w:szCs w:val="17"/>
          <w:color w:val="auto"/>
        </w:rPr>
        <w:t>Wynn Las Vegas, LLC contributes to a multi-employer defined benefit pension plan for certain of its union employees under the terms of the Southern Nevada Culinary and Bartenders Union collective-bargaining agreement. The collective-bargaining agreement that covers these union-represented employees was set to expire in July 2015. An extension was in place until February 2017 when the Company entered into a new collective bargaining agreement, which expires July 2021. The legal name of the multi-employer pension plan is the Southern Nevada Culinary and Bartenders Pension Plan (the "Plan") (EIN: 88-6016617 Plan Number: 1). The Company recorded expenses of $9.3 million and $9.4 million for contributions to the Plan for the years ended December 31, 2016 and 2015, respectively. For the 2015 plan year, the most recent for which plan data is available, the Company's contributions were identified by the Plan to exceed 5% of total contributions for that year. Based on the information the Company received from the Plan, it was certified to be in neither endangered nor critical status for the 2015 plan year. Risks of participating in a multi-employer plan differ from single-employer plans for the following reasons:</w:t>
      </w:r>
    </w:p>
    <w:p>
      <w:pPr>
        <w:spacing w:after="0" w:line="1" w:lineRule="exact"/>
        <w:rPr>
          <w:sz w:val="20"/>
          <w:szCs w:val="20"/>
          <w:color w:val="auto"/>
        </w:rPr>
      </w:pPr>
    </w:p>
    <w:p>
      <w:pPr>
        <w:ind w:firstLine="8"/>
        <w:spacing w:after="0" w:line="254"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9"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Wynn Resorts established the 2002 Stock Incentive Plan (the "Stock Plan"), which provides for the grant of (i) Incentive Stock Options,</w:t>
      </w:r>
    </w:p>
    <w:p>
      <w:pPr>
        <w:spacing w:after="0" w:line="27" w:lineRule="exact"/>
        <w:rPr>
          <w:sz w:val="20"/>
          <w:szCs w:val="20"/>
          <w:color w:val="auto"/>
        </w:rPr>
      </w:pPr>
    </w:p>
    <w:p>
      <w:pPr>
        <w:jc w:val="both"/>
        <w:ind w:right="42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86"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On May 16, 2014, Wynn Resorts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Stock Plan. Under the approval of the Omnibus Plan, no new awards may be made under the Stock Plan. The outstanding awards under the Stock Plan were transferred to the Omnibus Plan and will remain pursuant to their existing terms and related award agreements. Wynn Resorts reserved 4,409,390 shares of its common stock for issuance under the Omnibus Plan. These shares were transferred from the remaining available amount under the Stock Plan.</w:t>
      </w:r>
    </w:p>
    <w:p>
      <w:pPr>
        <w:spacing w:after="0" w:line="188"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(the "Committee") of the Wynn Resorts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relating to stock options and nonvested stock is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10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6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r>
      <w:tr>
        <w:trPr>
          <w:trHeight w:val="27"/>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Certain members of the Company's executive management team receive a portion of their annual incentive bonus in shares of Wynn Resorts' stock. The number of shares is determined based on the closing price on the date the annual incentive bonus is settled. As the number of shares is variable, the Company records a liability for the fixed monetary amount over the service period. For the year ended December 31, 2016, the Company recorded $1.3 million of stock-based compensation expense associated with these awards. Wynn resorts settled this obligation by issuing immediately vested shares in January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is the lessee under leases for certain land, buildings and office equipment. As of December 31, 2016, the Company was obligated under non-cancelable operating leases to make future minimum lease payments as follows (in thousands):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94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9"/>
        </w:trPr>
        <w:tc>
          <w:tcPr>
            <w:tcW w:w="2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71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4,297</w:t>
            </w: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7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4,333</w:t>
            </w:r>
          </w:p>
        </w:tc>
      </w:tr>
      <w:tr>
        <w:trPr>
          <w:trHeight w:val="27"/>
        </w:trPr>
        <w:tc>
          <w:tcPr>
            <w:tcW w:w="2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7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3,911</w:t>
            </w:r>
          </w:p>
        </w:tc>
      </w:tr>
      <w:tr>
        <w:trPr>
          <w:trHeight w:val="24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7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3,233</w:t>
            </w:r>
          </w:p>
        </w:tc>
      </w:tr>
      <w:tr>
        <w:trPr>
          <w:trHeight w:val="27"/>
        </w:trPr>
        <w:tc>
          <w:tcPr>
            <w:tcW w:w="228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3,136</w:t>
            </w:r>
          </w:p>
        </w:tc>
      </w:tr>
      <w:tr>
        <w:trPr>
          <w:trHeight w:val="243"/>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54,721</w:t>
            </w:r>
          </w:p>
        </w:tc>
      </w:tr>
      <w:tr>
        <w:trPr>
          <w:trHeight w:val="27"/>
        </w:trPr>
        <w:tc>
          <w:tcPr>
            <w:tcW w:w="228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22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73,631</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expense for the years ended December 31, 2016 and 2015 was $21.7 million and $19.7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9" w:right="2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2016, the Company was obligated to make future payments of $33.8 million, $21.0 million, $7.8 million, $1.7 million and $0.2 million during the years ending December 2017, 2018, 2019, 2020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has additional contractual commitments for performance and other contracts. As of December 31, 2016, the Company was obligated to make future payments of $45.1 million, $28.4 million and $16.3 million during the years ending December 2017, 2018 and 2019, respectively. These amounts do not include community payments associated with the continuing operations of Wynn Boston Harbor, which commence upon the opening of the resort and are approximately $10.5 million per year with minimal annual increases.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2016, the Company had outstanding letters of credit of $13.7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8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9" w:right="2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1"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9" w:right="2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7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2023 Notes or the 2025 Notes,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19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February 12, 2016, and February 13, 2017, Wynn Resorts issued a check for the interest payment due at those times to the clerk of the court for deposit into the clerk's trust account.</w:t>
      </w:r>
    </w:p>
    <w:p>
      <w:pPr>
        <w:spacing w:after="0" w:line="15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9"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On January 23, 2017, the court issued a temporary restraining order that halted QE’s participation in the case, with the sole exception of contesting their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Company information. On March 27, 2017, the stay was lifted.</w:t>
      </w:r>
    </w:p>
    <w:p>
      <w:pPr>
        <w:spacing w:after="0" w:line="18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litigation is currently in the discovery phase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Wynn Resorts directors) in February 2016 and as to Wynn Resorts in March 2016, thus upholding the motion for dismissal of the Okada Japan Parties' defamation action against the Wynn Parties.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9"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Macau SA and compensatory damages. The Macau Court has served the complaint on the defendants and the Wynn Macau Parties filed their response on May 17, 2016.</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Wynn Resorts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firstLine="8"/>
        <w:spacing w:after="0" w:line="25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93"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4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1"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ind w:right="240" w:firstLine="392"/>
        <w:spacing w:after="0" w:line="282" w:lineRule="auto"/>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62" w:lineRule="exact"/>
        <w:rPr>
          <w:sz w:val="20"/>
          <w:szCs w:val="20"/>
          <w:color w:val="auto"/>
        </w:rPr>
      </w:pPr>
    </w:p>
    <w:p>
      <w:pPr>
        <w:ind w:firstLine="392"/>
        <w:spacing w:after="0" w:line="252" w:lineRule="auto"/>
        <w:rPr>
          <w:sz w:val="20"/>
          <w:szCs w:val="20"/>
          <w:color w:val="auto"/>
        </w:rPr>
      </w:pPr>
      <w:r>
        <w:rPr>
          <w:rFonts w:ascii="Times New Roman" w:cs="Times New Roman" w:eastAsia="Times New Roman" w:hAnsi="Times New Roman"/>
          <w:sz w:val="18"/>
          <w:szCs w:val="18"/>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SJC has also granted, as of September 20, 2016, the City of Revere and IBEW's application for direct appellate review. On March 10, 2017, the SJC affirmed the trial court’s dismissal of the City of Revere’s claims and IBEW’s claims. The SJC affirmed the court’s dismissal of Mohegan’s claims except for the certiorari claim, which the SJC remanded to the Suffolk Superior Court. The SJC reversed the court’s dismissal of the individual plaintiffs’ open meeting law claim and remanded that claim to the Suffolk Superior Court.</w:t>
      </w:r>
    </w:p>
    <w:p>
      <w:pPr>
        <w:spacing w:after="0" w:line="19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Somerville Action: On December 4, 2014, the City of Somerville filed a complaint similar to the one in the Revere Action against the MGC and each of the five gaming commissioners in Suffolk Superior Court. The case was previously stayed at the City of Somerville's request, pending the results of the Massachusetts Department of Environmental Protection's review of Wynn MA's proposed project and the required mitigation actions. However, on July 12, 2016, the City of Somerville filed an amended complaint to add information about certain environmental filings and events over the last year. On August 22, 2016 the City of Somerville and Wynn MA entered into a Settlement Agreement and Release pursuant to which all actions among the City of Somerville, Wynn MA and the MGC were resolved. As part of that Settlement Agreement, this action has been dismissed with prejudice.</w:t>
      </w:r>
    </w:p>
    <w:p>
      <w:pPr>
        <w:spacing w:after="0" w:line="18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9"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Wynn MA. The complaint seeks to contest the MGC's decision that Boston is a surrounding community, rather than a host community to Wynn Boston Harbor. On May 20, 2015, the City of Boston filed an amended complaint requesting the court to nullify and vacate all decisions made by the MGC leading to and resulting in the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was not named in the above complaints. The MGC retained private legal representation at its own nontaxpayer-funded expense.</w:t>
      </w:r>
    </w:p>
    <w:p>
      <w:pPr>
        <w:spacing w:after="0" w:line="22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August 28, 2015, the Secretary of Energy and Environmental Affairs issued a certificate determining that Wynn MA's 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All City of Boston claims have been resolved by settlement between Wynn MA and the City of Boston.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Wynn MA responded to the complaint in June 2016. As stated above, on August 22, 2016, the City of Somerville and Wynn MA entered into a Settlement Agreement and Release. As part of that Settlement Agreement, this action has been dismissed with prejudice.</w:t>
      </w:r>
    </w:p>
    <w:p>
      <w:pPr>
        <w:spacing w:after="0" w:line="18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February 11, 2016, the City of Somerville filed an appeal challenging the draft waterways license ("Chapter 91 License") issued by the Massachusetts Department of Environmental Protection ("MassDEP") on January 22, 2016, contending that it failed to conform to applicable regulations. The Chapter 91 License authorized Wynn MA's proposed remediation and redevelopment of the project site. An administrative hearing was held on June 2, 2016. On July 15, 2016, MassDEP's Office of Appeals and Dispute Resolution issued a recommended final decision approving Wynn MA's Chapter 91 License, subject to certain conditions. The recommended final decision was adopted by MassDEP's Commissioner on July 22, 2016, with minor modifications. On August 3, 2016, MassDEP issued the final Chapter 91 License to Wynn MA. As a result of the final issuance, Wynn MA has commenced construction activities. As discussed above, on August 22, 2016, the City of Somerville and Wynn MA entered into a Settlement Agreement and Release. As part of that Settlement Agreement, the City of Somerville and Wynn MA agreed not to seek judicial review of the Commissioner's Final Decision in the Chapter 91 appeal.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Member's Equity</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On December 28, 2016, Wynn Resorts formed a joint venture (the "Retail Joint Venture") with Crown Acquisitions Inc. ("Crown") to own and operate approximately 88,000 square feet of existing retail space at Wynn Las Vegas. In connection with the transaction, the Company distributed $59.7 million in net assets associated with its retail operations to Wynn Resorts. These retail net assets include building and improvements, retail inventory for stores operated by the Company and other related assets and liabilities. The Company transferred all interests as lessor in third-party retail store leases to the Retail Joint Venture as part of the transaction and the majority of the retail stores previously operated by the Company are now operated under a master lease agreement between Wynn Retail, as lessee, and the Retail Joint Venture, as lessor (the "Master Lease"). As a result of the transaction, the Company's financial results will no longer reflect the retail operations associated with the distributed retail net assets. The net income from the retail operations was $27.4 million during the year ended December 31, 2016.</w:t>
      </w:r>
    </w:p>
    <w:p>
      <w:pPr>
        <w:spacing w:after="0" w:line="18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Also in December 2016, Wynn Resorts entered into an agreement with Crown to form a joint venture that will own and operate approximately 73,000 square feet of additional retail space that is currently under construction at Wynn Las Vegas. The Company expects to transfer certain assets and liabilities associated with the additional retail space to Wynn Resorts prior to opening for business in the first quarter of 2018. As of December 31, 2016, the Company has $19.5 million in construction in progress associated with the additional retail space under construction.</w:t>
      </w:r>
    </w:p>
    <w:p>
      <w:pPr>
        <w:spacing w:after="0" w:line="18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Retail Joint Venture, Wynn Las Vegas, LLC agreed to guarantee the full and timely payment of all amounts due by Wynn Retail to the Retail Joint Venture under the Master Lease, not to exceed $75 million, and expenses relating to the enforcement of lessor's rights.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9" w:right="259" w:bottom="1440" w:gutter="0" w:footer="0" w:header="0"/>
        </w:sectPr>
      </w:pPr>
    </w:p>
    <w:bookmarkStart w:id="34" w:name="page35"/>
    <w:bookmarkEnd w:id="3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December 2016 and 2015, Wynn Resorts contributed and assigned its right to a $5.0 million and $15.0 million receivable, respectively, from Wynn MA to the Company.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December 2015, Wynn Las Vegas, LLC distributed $170.0 million in cash to Wynn Resorts.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has evaluated events through March 30, 2017, which is the date the financial statements were available to be issued.</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279"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WYNN AMERICA, LLC AND SUBSIDIARIES</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CONDENSED CONSOLIDATED FINANCIAL STATEMENTS</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OF MARCH 31, 2017 AND</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FOR THE THREE MONTHS ENDED MARCH 31, 2017 AND 2016</w:t>
      </w:r>
    </w:p>
    <w:p>
      <w:pPr>
        <w:sectPr>
          <w:pgSz w:w="11900" w:h="16838" w:orient="portrait"/>
          <w:cols w:equalWidth="0" w:num="1">
            <w:col w:w="10220"/>
          </w:cols>
          <w:pgMar w:left="1440" w:top="117" w:right="2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Review 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America, LLC</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reviewed the accompanying condensed consolidated financial information of Wynn America, LLC and subsidiaries (the “Company”), which comprise the condensed consolidated balance sheets as of March 31, 2017 and December 31, 2016, and the related condensed consolidated statements of comprehensive income (loss), member’s deficit and cash flows for the three month periods ended March 31, 2017 and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Information</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condensed consolidated financial information in conformity with U.S. generally accepted accounting principles; this includes the design, implementation and maintenance of internal control sufficient to provide a reasonable basis for the preparation and fair presentation of interim financial information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responsibility is to conduct our review in accordance with auditing standards generally accepted in the United States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auditing standards generally accepted in the United States, the objective of which is the expression of an opinion regarding the financial information. Accordingly, we do not express such an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review, we are not aware of any material modifications that should be made to the condensed consolidated financial information referred to above for it to be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Condensed Balance Sheet as of December 31, 2016</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auditing standards generally accepted in the United States, the consolidated balance sheet of Wynn America, LLC and subsidiaries as of December 31, 2016, and the related consolidated statements of comprehensive loss, member’s deficit and cash flows for the year then ended (not presented herein); and we expressed an unmodified audit opinion on those audited consolidated financial statements. In our opinion, the accompanying condensed consolidated balance sheet of Wynn America, LLC and subsidiaries as of December 31, 2016, is consistent, in all material respects, with the consolidated balance sheet from which it has been derived.</w:t>
      </w:r>
    </w:p>
    <w:p>
      <w:pPr>
        <w:spacing w:after="0" w:line="40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3700" w:type="dxa"/>
            <w:vAlign w:val="bottom"/>
            <w:tcBorders>
              <w:bottom w:val="single" w:sz="8" w:color="CCEEFF"/>
            </w:tcBorders>
          </w:tcPr>
          <w:p>
            <w:pPr>
              <w:spacing w:after="0"/>
              <w:rPr>
                <w:sz w:val="23"/>
                <w:szCs w:val="23"/>
                <w:color w:val="auto"/>
              </w:rPr>
            </w:pPr>
          </w:p>
        </w:tc>
        <w:tc>
          <w:tcPr>
            <w:tcW w:w="46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370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spacing w:after="0"/>
              <w:rPr>
                <w:sz w:val="21"/>
                <w:szCs w:val="21"/>
                <w:color w:val="auto"/>
              </w:rPr>
            </w:pPr>
          </w:p>
        </w:tc>
        <w:tc>
          <w:tcPr>
            <w:tcW w:w="48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860,854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937,633</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120,558</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23,938</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32,798</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1,025,489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1,114,927</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3,141,283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3,019,084</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94,087</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72,001</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4,331,833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4,300,099</w:t>
            </w:r>
          </w:p>
        </w:tc>
      </w:tr>
      <w:tr>
        <w:trPr>
          <w:trHeight w:val="67"/>
        </w:trPr>
        <w:tc>
          <w:tcPr>
            <w:tcW w:w="3700" w:type="dxa"/>
            <w:vAlign w:val="bottom"/>
            <w:tcBorders>
              <w:bottom w:val="single" w:sz="8" w:color="CCEEFF"/>
            </w:tcBorders>
          </w:tcPr>
          <w:p>
            <w:pPr>
              <w:spacing w:after="0"/>
              <w:rPr>
                <w:sz w:val="5"/>
                <w:szCs w:val="5"/>
                <w:color w:val="auto"/>
              </w:rPr>
            </w:pPr>
          </w:p>
        </w:tc>
        <w:tc>
          <w:tcPr>
            <w:tcW w:w="46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305"/>
        </w:trPr>
        <w:tc>
          <w:tcPr>
            <w:tcW w:w="370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3700" w:type="dxa"/>
            <w:vAlign w:val="bottom"/>
          </w:tcPr>
          <w:p>
            <w:pPr>
              <w:spacing w:after="0"/>
              <w:rPr>
                <w:sz w:val="21"/>
                <w:szCs w:val="21"/>
                <w:color w:val="auto"/>
              </w:rPr>
            </w:pPr>
          </w:p>
        </w:tc>
        <w:tc>
          <w:tcPr>
            <w:tcW w:w="48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4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132,322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72,809</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deposits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95,259</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Gaming taxes payable</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11,121</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63,327</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49,017</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27,819</w:t>
            </w: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45,109</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364,461</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4,155,408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4,153,523</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8,595</w:t>
            </w:r>
          </w:p>
        </w:tc>
      </w:tr>
      <w:tr>
        <w:trPr>
          <w:trHeight w:val="237"/>
        </w:trPr>
        <w:tc>
          <w:tcPr>
            <w:tcW w:w="3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4,556,105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4,526,579</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deficit</w:t>
            </w:r>
          </w:p>
        </w:tc>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(226,480)</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4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4,331,833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4,300,099</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22"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1"/>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78"/>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166,327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160,960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105,139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110,927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55,225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435,075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432,251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396,220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389,435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74,521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36,521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74,433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33,577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and license fees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16,825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348,656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358,392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47,564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31,043</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r>
      <w:tr>
        <w:trPr>
          <w:trHeight w:val="243"/>
        </w:trPr>
        <w:tc>
          <w:tcPr>
            <w:tcW w:w="8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900" w:right="2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MEMBER'S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member's equity</w:t>
            </w:r>
          </w:p>
        </w:tc>
      </w:tr>
      <w:tr>
        <w:trPr>
          <w:trHeight w:val="195"/>
        </w:trPr>
        <w:tc>
          <w:tcPr>
            <w:tcW w:w="7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(118,701)</w:t>
            </w:r>
          </w:p>
        </w:tc>
      </w:tr>
      <w:tr>
        <w:trPr>
          <w:trHeight w:val="243"/>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Resorts, Limited 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778</w:t>
            </w:r>
          </w:p>
        </w:tc>
      </w:tr>
      <w:tr>
        <w:trPr>
          <w:trHeight w:val="29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2016</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(132,338)</w:t>
            </w:r>
          </w:p>
        </w:tc>
      </w:tr>
      <w:tr>
        <w:trPr>
          <w:trHeight w:val="311"/>
        </w:trPr>
        <w:tc>
          <w:tcPr>
            <w:tcW w:w="7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r>
      <w:tr>
        <w:trPr>
          <w:trHeight w:val="243"/>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Liability settled with shares of Wynn Resorts, Limited common stock</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1,278</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Resorts, Limited 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r>
      <w:tr>
        <w:trPr>
          <w:trHeight w:val="25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2017</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(224,272)</w:t>
            </w:r>
          </w:p>
        </w:tc>
      </w:tr>
      <w:tr>
        <w:trPr>
          <w:trHeight w:val="20"/>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00"/>
          </w:cols>
          <w:pgMar w:left="1360" w:top="900" w:right="1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WYNN AMERICA,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1"/>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78"/>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45,319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Due to affiliates,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8,176</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10,270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 of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Return of investment in unconsolidated affiliates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Due to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(36,854)</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100,333</w:t>
            </w: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100,333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73,749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937,633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146,175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860,854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219,924</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22" w:right="239" w:bottom="1440" w:gutter="0" w:footer="0" w:header="0"/>
        </w:sectPr>
      </w:pPr>
    </w:p>
    <w:bookmarkStart w:id="41" w:name="page42"/>
    <w:bookmarkEnd w:id="41"/>
    <w:p>
      <w:pPr>
        <w:jc w:val="center"/>
        <w:ind w:left="280" w:right="2720"/>
        <w:spacing w:after="0" w:line="278" w:lineRule="auto"/>
        <w:rPr>
          <w:sz w:val="20"/>
          <w:szCs w:val="20"/>
          <w:color w:val="auto"/>
        </w:rPr>
      </w:pPr>
      <w:r>
        <w:rPr>
          <w:rFonts w:ascii="Times New Roman" w:cs="Times New Roman" w:eastAsia="Times New Roman" w:hAnsi="Times New Roman"/>
          <w:sz w:val="18"/>
          <w:szCs w:val="18"/>
          <w:b w:val="1"/>
          <w:bCs w:val="1"/>
          <w:color w:val="auto"/>
        </w:rPr>
        <w:t>WYNN AMERICA, LLC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Wynn America, LLC, a Nevada limited liability company, (together with its subsidiaries, "Wynn America" or the "Company") was organized primarily to develop, own and operate destination casino resorts (integrated resorts). Wynn America is a direct wholly owned subsidiary of Wynn Resorts Holdings, LLC (“Holdings”) and Holdings is a direct wholly owned subsidiary of Wynn Resorts, Limited (“Wynn Resorts”).</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November 2014, Wynn MA, LLC ("Wynn MA"), a Nevada limited liability company and wholly owned subsidiary of the Company, was awarded a gaming license to develop and construct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80"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Wynn Las Vegas, LLC, a Nevada limited liability company, and indirect wholly owned subsidiary of the Company, was organized primarily to construct and operate Wynn Las Vegas, an integrated destination casino resort in Las Vegas, Nevada. 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95,000 square feet of retail space (of which, effective December 2016, approximately 88,000 square feet is owned and operated by a subsidiary of Wynn Resorts), as well as two showrooms, three nightclubs and a beach club.</w:t>
      </w:r>
    </w:p>
    <w:p>
      <w:pPr>
        <w:spacing w:after="0" w:line="16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Wynn Las Vegas Capital Corp. ("Capital Corp.") is a wholly owned subsidiary of Wynn Las Vegas, LLC, organized solely for the purpose of obtaining financing for Wynn Las Vegas, LLC. Capital Corp., authorized to issue 2,000 shares of common stock, par value $0.01. As of March 31, 2017, Wynn Las Vegas, LLC owned the one share that was issued and outstanding. Capital Corp. has neither any significant net assets nor has had any operating activity. Its sole function is to serve as the co-issuer of the first mortgage and senior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U.S. generally accepted accounting principles ("GAAP") for interim reporting. Certain information and footnote disclosures normally included in annual financial statements prepared in accordance with GAAP have been condensed or omitted pursuant to such rules,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2017 are not necessarily indicative of results to be expected for the full fiscal year. These condensed consolidated financial statements should be read in conjunction with the Company's consolidated financial statements and notes thereto for the year ended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In April 2016, Wynn Las Vegas, LLC dissolved its 50%-owned joint venture operating the Ferrari and Maserati automobile dealership inside Wynn Las Vegas, which was closed in October 2015 and was accounted for under the equity method. All intercompany accounts and transactions have been eliminated.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17"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Cash equivalents are carried at cost, which approximates fair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2017 and December 31, 2016, approximately 75.5% and 80.3%,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the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Cash discounts, other cash incentives and points earned by customers from the Company's loyalty programs are recorded as a reduction to casino revenues. Rooms, food and beverage, entertainment and other operating revenues are recognized when services are performed or events are held. Advance deposits on rooms and advance ticket sales are recorded as customer deposits until services are provided to the customer.</w:t>
      </w:r>
    </w:p>
    <w:p>
      <w:pPr>
        <w:spacing w:after="0" w:line="180"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are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18,361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19,532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4,923</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38,855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42,816</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7,840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15,762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3,202</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23,866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26,804</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920" w:firstLine="432"/>
        <w:spacing w:after="0" w:line="282"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 in which it operates, subject to applicable jurisdictional adjustments, which taxes are recorded as casino expenses in the accompanying Condensed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2" w:right="239" w:bottom="1440" w:gutter="0" w:footer="0" w:header="0"/>
        </w:sectPr>
      </w:pPr>
    </w:p>
    <w:bookmarkStart w:id="43" w:name="page44"/>
    <w:bookmarkEnd w:id="43"/>
    <w:p>
      <w:pPr>
        <w:ind w:right="200"/>
        <w:spacing w:after="0" w:line="282" w:lineRule="auto"/>
        <w:rPr>
          <w:sz w:val="20"/>
          <w:szCs w:val="20"/>
          <w:color w:val="auto"/>
        </w:rPr>
      </w:pPr>
      <w:r>
        <w:rPr>
          <w:rFonts w:ascii="Times New Roman" w:cs="Times New Roman" w:eastAsia="Times New Roman" w:hAnsi="Times New Roman"/>
          <w:sz w:val="18"/>
          <w:szCs w:val="18"/>
          <w:color w:val="auto"/>
        </w:rPr>
        <w:t>Consolidated Statements of Comprehensive Income (Loss). These taxes totaled $12.2 million and $11.1 million for the three months ended March 31, 2017 and 2016,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Wynn Resorts' stock on the grant date for unvested share awards. The cost is recognized as an expense on a straight-line basis over the employee's requisite service period (the vesting period of the award). For the three months ended March 31, 2017 and 2016, the Company recorded $0.5 million and $0.8 million of stock-based compensation costs,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significant development and construction risks associated with the planned development of Wynn Boston Harbor, including construction costs exceeding budgeted amounts and the commencement of operations not meeting planned schedule. Failure to complete the project on schedule or within budget may have a significant negative effect on the Company and the Company's ability to make payments on its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This guidance is effective for financial statements with fiscal years beginning after December 15, 2017, and interim periods within those fiscal periods and early adoption is permitted. The Company is currently assessing the impact the adoption of this standard will have on its consolidated financial statements.</w:t>
      </w:r>
    </w:p>
    <w:p>
      <w:pPr>
        <w:spacing w:after="0" w:line="188"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In March 2016, the FASB issued an accounting standards update that involves several aspects of the accounting for share-based payment transactions, including income tax consequences, classification of awards as either equity or liabilities, and classification on the statement of cash flows. Under the new guidance (i) income tax benefits and deficiencies are to be recognized as income tax expense or benefit in the income statement and the tax effects of exercised or vested awards will be treated as discrete items in the reporting period in which they occur, (ii) an entity should recognize excess tax benefits regardless of whether the benefit reduces taxes payable in the current period, and (iii) excess tax benefits should be classified along with other income tax cash flows as an operating activity. The Company adopted this guidance on January 1, 2017. Under the new guidance, the Company elected an accounting policy change to account for forfeitures when they occur. The adoption of this new guidance did not have a material effect on the Company's condensed consolidated financial statements.</w:t>
      </w:r>
    </w:p>
    <w:p>
      <w:pPr>
        <w:spacing w:after="0" w:line="18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This guidance is effective for financial statements with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44" w:name="page45"/>
    <w:bookmarkEnd w:id="44"/>
    <w:p>
      <w:pPr>
        <w:ind w:right="40"/>
        <w:spacing w:after="0" w:line="255" w:lineRule="auto"/>
        <w:rPr>
          <w:sz w:val="20"/>
          <w:szCs w:val="20"/>
          <w:color w:val="auto"/>
        </w:rPr>
      </w:pPr>
      <w:r>
        <w:rPr>
          <w:rFonts w:ascii="Times New Roman" w:cs="Times New Roman" w:eastAsia="Times New Roman" w:hAnsi="Times New Roman"/>
          <w:sz w:val="18"/>
          <w:szCs w:val="18"/>
          <w:color w:val="auto"/>
        </w:rPr>
        <w:t>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adoption is permitted for annual and interim periods beginning after December 15, 2016. The Company will adopt this standard effective January 1, 2018. The Company is currently assessing the impact the adoption of this standard will have on its consolidated financial statements. The Company expects the goods and services provided to customers without charge currently included in both gross revenues and promotional allowances in the accompanying Condensed Consolidated Statements of Comprehensive Income (Loss) will be presented on a net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Retail Joint Venture</w:t>
      </w:r>
    </w:p>
    <w:p>
      <w:pPr>
        <w:spacing w:after="0" w:line="229"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In December 2016, Wynn Resorts formed a joint venture (the "Retail Joint Venture") with Crown Acquisitions Inc. ("Crown") to own and operate approximately 88,000 square feet of existing retail space at Wynn Las Vegas. In connection with the transaction, the Company distributed $59.7 million of net assets associated with its retail operations to Wynn Resorts. These retail net assets include building and improvements, retail inventory for stores operated by the Company and other related assets and liabilities. The Company also transferred all its interests as lessor in third-party retail store leases to the Retail Joint Venture as part of the transaction and the majority of the retail stores previously operated by the Company are now operated under a master lease agreement between Wynn Retail, LLC ("Wynn Retail"), a wholly owned subsidiary of Wynn Resorts, as lessee, and the Retail Joint Venture, as lessor (the "Master Lease"). As a result of the transaction, the Company's financial results no longer reflect the retail operations associated with the distributed retail net assets.</w:t>
      </w:r>
    </w:p>
    <w:p>
      <w:pPr>
        <w:spacing w:after="0" w:line="172" w:lineRule="exact"/>
        <w:rPr>
          <w:sz w:val="20"/>
          <w:szCs w:val="20"/>
          <w:color w:val="auto"/>
        </w:rPr>
      </w:pPr>
    </w:p>
    <w:p>
      <w:pPr>
        <w:jc w:val="both"/>
        <w:ind w:right="14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Retail Joint Venture, Wynn Las Vegas, LLC agreed to guarantee the full and timely payment of all amounts due by Wynn Retail to the Retail Joint Venture under the Master Lease, not to exceed $75 million, and expenses relating to the enforcement of lessor's rights.</w:t>
      </w:r>
    </w:p>
    <w:p>
      <w:pPr>
        <w:spacing w:after="0" w:line="162"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Also in December 2016, Wynn Resorts entered into an agreement with Crown to form a joint venture that will own and operate approximately 73,000 square feet of additional retail space that is currently under construction at Wynn Las Vegas. On April 3, 2017, the Company distributed $38.8 million of net assets associated with the additional retail space to Wynn Resorts. These retail net assets primarily included land, construction in progress and other related assets and liabilities. The Company expects the opening of the additional retail space to be in the first quarter of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0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107,519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24,610</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132,450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150,118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103,839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120,558</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vMerge w:val="continu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0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683,772</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2,606,580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2,603,972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1,429,454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1,420,804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441,107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287,778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5,160,937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4,996,326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(1,977,242)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3,141,283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3,019,084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(2.54%</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March 31, 2017 and 2.52% as of December 31, 2016), net of debt issuance costs of $14,445 as of March</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2017 and $15,436 as of December 31, 2016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985,555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984,564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$6,429 as of March 31, 2017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$6,709 as of December 31, 2016</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893,291</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 1/4% Senior Notes, due May 30, 2023, net of debt issuance costs of $2,725 as of March 31, 2017 and $2,819 as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December 31, 2016</w:t>
            </w:r>
          </w:p>
        </w:tc>
        <w:tc>
          <w:tcPr>
            <w:tcW w:w="2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497,181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$20,993 as of March 31, 2017 and $21,513</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2016</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1,779,007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1,778,487</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4,155,408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4,153,523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4,155,408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4,153,523</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collectively the "Wynn America Credit Facilities"). The borrower is Wynn America, LLC, an indirect wholly owned subsidiary of the Company. As of March 31, 2017, the Company had available borrowing capacity of $360.4 million, net of $14.6 million in outstanding letters of credit, under the WA Senior Revolving Credit Facility.</w:t>
      </w:r>
    </w:p>
    <w:p>
      <w:pPr>
        <w:spacing w:after="0" w:line="18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April 24, 2017, the Company amended the Wynn America Credit Facilities to, among other things, extend the maturity of portions of the credit facilities. Pursuant to the amendment, (i) the maturity date with respect to $805.4 million in aggregate principal amount of the WA Senior Term Loan Facility I was extended from November 2020 to December 2021, with repayment in quarterly installments of $20.1 million commencing in March 2020 and a final installment of $664.5 million in December 2021; (ii) the maturity date of the $125 million in aggregate principal amount of the WA Senior Term Loan Facility II was extended from November 2020 to December 2021, with no required scheduled repayments until maturity in December 2021; and (iii) the maturity date with respect to $333.0 million in aggregate principal amount of the WA Senior Revolving Credit Facility was extended from November 2019 to December 2021. The Company paid customary fees and expenses in connection with the amendment.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believes that as of March 31, 2017, the Company was in compliance with all debt covenants.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 Term Debt</w:t>
      </w:r>
    </w:p>
    <w:p>
      <w:pPr>
        <w:spacing w:after="0" w:line="227" w:lineRule="exact"/>
        <w:rPr>
          <w:sz w:val="20"/>
          <w:szCs w:val="20"/>
          <w:color w:val="auto"/>
        </w:rPr>
      </w:pPr>
    </w:p>
    <w:p>
      <w:pPr>
        <w:ind w:right="440"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March 31, 2017 and December 31, 2016 was $4.24 billion and $4.16 billion, respectively, compared to its carrying value, excluding debt issuance costs, of $4.20 billion. The estimated fair value of the Company's long-term debt is based on recent trades, if available, and indicative pricing from market information (Level 2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Affiliates, net</w:t>
      </w:r>
    </w:p>
    <w:p>
      <w:pPr>
        <w:spacing w:after="0" w:line="227"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Company periodically settles net amounts due to affiliates with cash payments. As of March 31, 2017 and December 31, 2016, the Company's net current due to affiliates of $55.8 million and $45.1 million, respectively, were primarily comprised of management fees, license fees and corporate allocations.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Management Fee and Corporate Allocations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Wynn MA and Wynn Las Vegas, LLC have each entered into corporate support services agreements with Wynn Resorts. Under the agreements, Wynn Resorts provides the Company legal, accounting, human resources, information technology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In addition, aircraft operated by Wynn Resorts are available for use by Wynn MA and Wynn Las Vegas, LLC. Under the agreements, the Company also pays a management fee of 1.5% of net revenues. For the three months ended March 31, 2017 and 2016, $22.8 million and $21.0 million, respectively, were charged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Wynn MA and Wynn Las Vegas, LLC have each entered into agreements with Wynn Resorts and a wholly owned subsidiary of Wynn Resorts, under which the Company licenses certain intellectual property, including certain trademarks, domain names, copyrights and service marks in connection with a variety of goods and services. Under the Wynn MA agreement, dated November 20, 2014, the monthly licensing fee payable is $1.5 million prior to the opening of Wynn Boston Harbor and will be 3% of gross monthly revenues upon the opening of the resort. In February 2015, Wynn Las Vegas, LLC entered into a license agreement, which requires payment of fees equal to 1.5% of gross monthly revenues so long as the original license agreement, dated December 14, 2004, is in effect and not terminated, and 3.0% subsequent to termination of this original license agreement. For both the three months ended March 31, 2017 and 2016, $17.6 million and $17.5 million, respectively, in license fees were charged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Services Agreement</w:t>
      </w:r>
    </w:p>
    <w:p>
      <w:pPr>
        <w:spacing w:after="0" w:line="227" w:lineRule="exact"/>
        <w:rPr>
          <w:sz w:val="20"/>
          <w:szCs w:val="20"/>
          <w:color w:val="auto"/>
        </w:rPr>
      </w:pPr>
    </w:p>
    <w:p>
      <w:pPr>
        <w:ind w:right="240" w:firstLine="405"/>
        <w:spacing w:after="0" w:line="281" w:lineRule="auto"/>
        <w:rPr>
          <w:sz w:val="20"/>
          <w:szCs w:val="20"/>
          <w:color w:val="auto"/>
        </w:rPr>
      </w:pPr>
      <w:r>
        <w:rPr>
          <w:rFonts w:ascii="Times New Roman" w:cs="Times New Roman" w:eastAsia="Times New Roman" w:hAnsi="Times New Roman"/>
          <w:sz w:val="17"/>
          <w:szCs w:val="17"/>
          <w:color w:val="auto"/>
        </w:rPr>
        <w:t>In December 2016, in connection with the distribution of the majority of the Company's retail net assets, Wynn Las Vegas, LLC entered into a retail services agreement with Wynn Retail. Under that agreement, Wynn Las Vegas, LLC provides services to Wynn Retail to support certain retail operations at Wynn Las Vegas and the allocation of costs have been determined on a basis that Wynn Retail and the Company consider to be reasonable estimates of the utilization of services provided by the Company. For the three months ended March 31, 2017, $3.5 million was charged by the Company to Wynn Retail.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Boston Harbor Development</w:t>
      </w:r>
    </w:p>
    <w:p>
      <w:pPr>
        <w:spacing w:after="0" w:line="227"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On April 28, 2017, Wynn MA, LLC ("Wynn MA"), an indirect wholly owned subsidiary of the Company, and Suffolk Construction Company, Inc. (the "Construction Manager"), entered into an agreement concerning the construction of Wynn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8" w:right="2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USA, Inc. and Affiliates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8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Capital Corp.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9"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1"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8" w:right="23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 On May 1, 2017, the court granted Elaine Wynn leave to file an amended cross claim against the Wynn Cross Defendants which substantially repeats the allegations contained in the previous version of Ms. Wynn’s cross claim, which the court dismissed against Wynn Resorts and Wynn Resorts' General Counsel on May 5, 2016. Upon filing by Elaine Wynn, the Wynn Cross Defendants intend to once again move the court to dismiss Elaine Wynn’s cross claims and vigorously defend against the claims asserted against them.</w:t>
      </w:r>
    </w:p>
    <w:p>
      <w:pPr>
        <w:spacing w:after="0" w:line="196"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2" w:right="239" w:bottom="1440" w:gutter="0" w:footer="0" w:header="0"/>
        </w:sectPr>
      </w:pPr>
    </w:p>
    <w:bookmarkStart w:id="49" w:name="page50"/>
    <w:bookmarkEnd w:id="49"/>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19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February 12, 2016, and February 13, 2017, Wynn Resorts issued a check for the interest payment due at those times to the clerk of the court for deposit into the clerk's trust account.</w:t>
      </w:r>
    </w:p>
    <w:p>
      <w:pPr>
        <w:spacing w:after="0" w:line="185"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9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On January 23, 2017, the court issued a temporary restraining order that halted QE's participation in the case, with the sole exception of contesting the firm's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Wynn Resorts information. On March 27, 2017, the stay was lifted.</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litigation is currently in the discovery phase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any. An adverse judgment or settlement involving payment of a material amount could cause a material adverse effect on Wynn Resorts' financial condition.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w:t>
      </w:r>
    </w:p>
    <w:p>
      <w:pPr>
        <w:spacing w:after="0" w:line="3" w:lineRule="exact"/>
        <w:rPr>
          <w:sz w:val="20"/>
          <w:szCs w:val="20"/>
          <w:color w:val="auto"/>
        </w:rPr>
      </w:pPr>
    </w:p>
    <w:p>
      <w:pPr>
        <w:ind w:left="420" w:right="3000" w:hanging="412"/>
        <w:spacing w:after="0" w:line="490" w:lineRule="auto"/>
        <w:tabs>
          <w:tab w:leader="none" w:pos="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stayed the claims asserted by Wynn Resorts against Mr. Okada pending the resolution of the Redemption Action. </w:t>
      </w:r>
      <w:r>
        <w:rPr>
          <w:rFonts w:ascii="Times New Roman" w:cs="Times New Roman" w:eastAsia="Times New Roman" w:hAnsi="Times New Roman"/>
          <w:sz w:val="18"/>
          <w:szCs w:val="18"/>
          <w:u w:val="single" w:color="auto"/>
          <w:color w:val="auto"/>
        </w:rPr>
        <w:t>Macau Action:</w:t>
      </w:r>
    </w:p>
    <w:p>
      <w:pPr>
        <w:spacing w:after="0" w:line="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Macau Court has served the complaint on the defendants and the Wynn Macau Parties filed their response on May 17, 2016.</w:t>
      </w:r>
    </w:p>
    <w:p>
      <w:pPr>
        <w:spacing w:after="0" w:line="1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Wynn Resorts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364" w:right="259" w:bottom="1440" w:gutter="0" w:footer="0" w:header="0"/>
        </w:sectPr>
      </w:pPr>
    </w:p>
    <w:bookmarkStart w:id="51" w:name="page52"/>
    <w:bookmarkEnd w:id="51"/>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The four federal actions brought by the plaintiffs (collectively, the “Federal Plaintiffs”) were consolidated.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8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Two state derivative actions were commenced against Wynn Resorts and all members of its Board of Directors in the Eighth Judicial District Court of Clark County, Nevada.</w:t>
      </w:r>
    </w:p>
    <w:p>
      <w:pPr>
        <w:spacing w:after="0" w:line="162"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These state court actions brought by the following plaintiffs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w:t>
      </w:r>
    </w:p>
    <w:p>
      <w:pPr>
        <w:spacing w:after="0" w:line="227" w:lineRule="exact"/>
        <w:rPr>
          <w:sz w:val="20"/>
          <w:szCs w:val="20"/>
          <w:color w:val="auto"/>
        </w:rPr>
      </w:pPr>
    </w:p>
    <w:p>
      <w:pPr>
        <w:ind w:right="240" w:firstLine="392"/>
        <w:spacing w:after="0" w:line="282" w:lineRule="auto"/>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62" w:lineRule="exact"/>
        <w:rPr>
          <w:sz w:val="20"/>
          <w:szCs w:val="20"/>
          <w:color w:val="auto"/>
        </w:rPr>
      </w:pPr>
    </w:p>
    <w:p>
      <w:pPr>
        <w:ind w:right="20" w:firstLine="392"/>
        <w:spacing w:after="0" w:line="269" w:lineRule="auto"/>
        <w:rPr>
          <w:sz w:val="20"/>
          <w:szCs w:val="20"/>
          <w:color w:val="auto"/>
        </w:rPr>
      </w:pPr>
      <w:r>
        <w:rPr>
          <w:rFonts w:ascii="Times New Roman" w:cs="Times New Roman" w:eastAsia="Times New Roman" w:hAnsi="Times New Roman"/>
          <w:sz w:val="17"/>
          <w:szCs w:val="17"/>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claim. All three petitions for interlocutory review were denied. On April 22, 2016, the MGC filed an appeal to the Massachusetts Supreme Judicial Court ("SJC"). On May 11, 2016, the SJC granted the application. The SJC has also granted, as of September 20, 2016, the City of Revere and IBEW's application for direct appellate review. On March 10, 2017, the SJC affirmed the trial court’s dismissal of the City of Revere’s claims and IBEW’s claims. The SJC affirmed the court’s dismissal of Mohegan’s claims except for the certiorari claim, which the SJC remanded to the Suffolk Superior Court. The SJC reversed the court’s dismissal of the individual plaintiffs’ open meeting law claim and remanded that claim to the Suffolk Superior Court.</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was not named in the above complaint. The MGC retained private legal representation at its own nontaxpayer-funded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has evaluated events through May 3, 2017, which is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2019-12-29T07:24:09Z</dcterms:created>
  <dcterms:modified xsi:type="dcterms:W3CDTF">2019-12-29T07:24:09Z</dcterms:modified>
</cp:coreProperties>
</file>