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8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889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Sinatra Kimmarie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11/29/2016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EVP/General Counsel/Secretary</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72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8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NV</w:t>
            </w: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89109</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80" w:type="dxa"/>
            <w:vAlign w:val="bottom"/>
            <w:gridSpan w:val="6"/>
          </w:tcPr>
          <w:p>
            <w:pPr>
              <w:ind w:left="60"/>
              <w:spacing w:after="0"/>
              <w:rPr>
                <w:sz w:val="20"/>
                <w:szCs w:val="20"/>
                <w:color w:val="auto"/>
              </w:rPr>
            </w:pPr>
            <w:r>
              <w:rPr>
                <w:rFonts w:ascii="Arial" w:cs="Arial" w:eastAsia="Arial" w:hAnsi="Arial"/>
                <w:sz w:val="17"/>
                <w:szCs w:val="17"/>
                <w:color w:val="0000FF"/>
                <w:w w:val="97"/>
              </w:rPr>
              <w:t>Common Stock, par value $0.01 per share</w:t>
            </w:r>
          </w:p>
        </w:tc>
        <w:tc>
          <w:tcPr>
            <w:tcW w:w="1200" w:type="dxa"/>
            <w:vAlign w:val="bottom"/>
            <w:gridSpan w:val="3"/>
          </w:tcPr>
          <w:p>
            <w:pPr>
              <w:jc w:val="center"/>
              <w:spacing w:after="0"/>
              <w:rPr>
                <w:sz w:val="20"/>
                <w:szCs w:val="20"/>
                <w:color w:val="auto"/>
              </w:rPr>
            </w:pPr>
            <w:r>
              <w:rPr>
                <w:rFonts w:ascii="Arial" w:cs="Arial" w:eastAsia="Arial" w:hAnsi="Arial"/>
                <w:sz w:val="17"/>
                <w:szCs w:val="17"/>
                <w:color w:val="0000FF"/>
                <w:w w:val="91"/>
              </w:rPr>
              <w:t>11/29/2016</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10"/>
              <w:spacing w:after="0"/>
              <w:rPr>
                <w:sz w:val="20"/>
                <w:szCs w:val="20"/>
                <w:color w:val="auto"/>
              </w:rPr>
            </w:pPr>
            <w:r>
              <w:rPr>
                <w:rFonts w:ascii="Arial" w:cs="Arial" w:eastAsia="Arial" w:hAnsi="Arial"/>
                <w:sz w:val="17"/>
                <w:szCs w:val="17"/>
                <w:color w:val="0000FF"/>
                <w:w w:val="92"/>
              </w:rPr>
              <w:t>50,000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47.12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143,472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80" w:type="dxa"/>
            <w:vAlign w:val="bottom"/>
            <w:tcBorders>
              <w:bottom w:val="single" w:sz="8" w:color="2C2C2C"/>
            </w:tcBorders>
            <w:gridSpan w:val="6"/>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7"/>
              </w:rPr>
              <w:t>Common Stock, par value $0.01 per share</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11/29/2016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92"/>
              </w:rPr>
              <w:t>41,743</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99.76</w:t>
            </w:r>
            <w:r>
              <w:rPr>
                <w:rFonts w:ascii="Arial" w:cs="Arial" w:eastAsia="Arial" w:hAnsi="Arial"/>
                <w:sz w:val="22"/>
                <w:szCs w:val="22"/>
                <w:color w:val="008000"/>
                <w:w w:val="88"/>
                <w:vertAlign w:val="superscript"/>
              </w:rPr>
              <w:t>(1)</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101,729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7"/>
              </w:rPr>
              <w:t>Common Stock, par value $0.01 per share</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11/29/2016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98"/>
              </w:rPr>
              <w:t>600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100.22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101,129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3"/>
              </w:rPr>
              <w:t>Stock,</w:t>
            </w: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47.12</w:t>
            </w:r>
          </w:p>
        </w:tc>
        <w:tc>
          <w:tcPr>
            <w:tcW w:w="140" w:type="dxa"/>
            <w:vAlign w:val="bottom"/>
          </w:tcPr>
          <w:p>
            <w:pPr>
              <w:spacing w:after="0"/>
              <w:rPr>
                <w:sz w:val="5"/>
                <w:szCs w:val="5"/>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11/29/2016</w:t>
            </w: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5"/>
                <w:szCs w:val="5"/>
                <w:color w:val="auto"/>
              </w:rPr>
            </w:pP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50,000</w:t>
            </w:r>
          </w:p>
        </w:tc>
        <w:tc>
          <w:tcPr>
            <w:tcW w:w="800" w:type="dxa"/>
            <w:vAlign w:val="bottom"/>
            <w:vMerge w:val="continue"/>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05/06/2019</w:t>
            </w:r>
          </w:p>
        </w:tc>
        <w:tc>
          <w:tcPr>
            <w:tcW w:w="600" w:type="dxa"/>
            <w:vAlign w:val="bottom"/>
            <w:vMerge w:val="restart"/>
          </w:tcPr>
          <w:p>
            <w:pPr>
              <w:ind w:left="60"/>
              <w:spacing w:after="0"/>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75,000</w:t>
            </w:r>
          </w:p>
        </w:tc>
        <w:tc>
          <w:tcPr>
            <w:tcW w:w="280" w:type="dxa"/>
            <w:vAlign w:val="bottom"/>
          </w:tcPr>
          <w:p>
            <w:pPr>
              <w:spacing w:after="0"/>
              <w:rPr>
                <w:sz w:val="5"/>
                <w:szCs w:val="5"/>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36"/>
        </w:trPr>
        <w:tc>
          <w:tcPr>
            <w:tcW w:w="36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900" w:type="dxa"/>
            <w:vAlign w:val="bottom"/>
          </w:tcPr>
          <w:p>
            <w:pPr>
              <w:jc w:val="center"/>
              <w:ind w:left="3313"/>
              <w:spacing w:after="0" w:line="136" w:lineRule="exact"/>
              <w:rPr>
                <w:sz w:val="20"/>
                <w:szCs w:val="20"/>
                <w:color w:val="auto"/>
              </w:rPr>
            </w:pPr>
            <w:r>
              <w:rPr>
                <w:rFonts w:ascii="Arial" w:cs="Arial" w:eastAsia="Arial" w:hAnsi="Arial"/>
                <w:sz w:val="13"/>
                <w:szCs w:val="13"/>
                <w:color w:val="0000FF"/>
                <w:w w:val="94"/>
              </w:rPr>
              <w:t>$0.01 per</w:t>
            </w:r>
          </w:p>
        </w:tc>
        <w:tc>
          <w:tcPr>
            <w:tcW w:w="0" w:type="dxa"/>
            <w:vAlign w:val="bottom"/>
          </w:tcPr>
          <w:p>
            <w:pPr>
              <w:spacing w:after="0"/>
              <w:rPr>
                <w:sz w:val="1"/>
                <w:szCs w:val="1"/>
                <w:color w:val="auto"/>
              </w:rPr>
            </w:pPr>
          </w:p>
        </w:tc>
      </w:tr>
      <w:tr>
        <w:trPr>
          <w:trHeight w:val="91"/>
        </w:trPr>
        <w:tc>
          <w:tcPr>
            <w:tcW w:w="3640" w:type="dxa"/>
            <w:vAlign w:val="bottom"/>
            <w:vMerge w:val="continue"/>
          </w:tcPr>
          <w:p>
            <w:pPr>
              <w:spacing w:after="0"/>
              <w:rPr>
                <w:sz w:val="7"/>
                <w:szCs w:val="7"/>
                <w:color w:val="auto"/>
              </w:rPr>
            </w:pPr>
          </w:p>
        </w:tc>
        <w:tc>
          <w:tcPr>
            <w:tcW w:w="3900" w:type="dxa"/>
            <w:vAlign w:val="bottom"/>
            <w:vMerge w:val="restart"/>
          </w:tcPr>
          <w:p>
            <w:pPr>
              <w:jc w:val="center"/>
              <w:ind w:left="3313"/>
              <w:spacing w:after="0"/>
              <w:rPr>
                <w:sz w:val="20"/>
                <w:szCs w:val="20"/>
                <w:color w:val="auto"/>
              </w:rPr>
            </w:pPr>
            <w:r>
              <w:rPr>
                <w:rFonts w:ascii="Arial" w:cs="Arial" w:eastAsia="Arial" w:hAnsi="Arial"/>
                <w:sz w:val="13"/>
                <w:szCs w:val="13"/>
                <w:color w:val="0000FF"/>
                <w:w w:val="85"/>
              </w:rPr>
              <w:t>share</w:t>
            </w:r>
          </w:p>
        </w:tc>
        <w:tc>
          <w:tcPr>
            <w:tcW w:w="0" w:type="dxa"/>
            <w:vAlign w:val="bottom"/>
          </w:tcPr>
          <w:p>
            <w:pPr>
              <w:spacing w:after="0"/>
              <w:rPr>
                <w:sz w:val="1"/>
                <w:szCs w:val="1"/>
                <w:color w:val="auto"/>
              </w:rPr>
            </w:pPr>
          </w:p>
        </w:tc>
      </w:tr>
      <w:tr>
        <w:trPr>
          <w:trHeight w:val="80"/>
        </w:trPr>
        <w:tc>
          <w:tcPr>
            <w:tcW w:w="3640" w:type="dxa"/>
            <w:vAlign w:val="bottom"/>
          </w:tcPr>
          <w:p>
            <w:pPr>
              <w:spacing w:after="0"/>
              <w:rPr>
                <w:sz w:val="6"/>
                <w:szCs w:val="6"/>
                <w:color w:val="auto"/>
              </w:rPr>
            </w:pPr>
          </w:p>
        </w:tc>
        <w:tc>
          <w:tcPr>
            <w:tcW w:w="3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$99.20 and $100.19. The reporting person, upon request by the staff of the SEC, Wynn Resorts, Limited (the "Company") or by a security holder of the Company, undertakes to provide further information regarding the number of securities sold at each separate price.</w:t>
      </w:r>
    </w:p>
    <w:p>
      <w:pPr>
        <w:spacing w:after="0" w:line="9"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$100.21 and $100.23. The reporting person, upon request by the staff of the SEC, the Company or by a security holder of the Company, undertakes to provide further information regarding the number of securities sold at each separate price.</w:t>
      </w:r>
    </w:p>
    <w:p>
      <w:pPr>
        <w:spacing w:after="0" w:line="9"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original grant of 250,000 options vests 10 percent per year on each anniversary of the date of grant; provided, that if the reporting person ceases to be an employee of the Company any options that are unvested at such time will be forfeited.</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List: Exhibit 24 - Power of Attorney</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Kimmarie Sinatra</w:t>
            </w:r>
          </w:p>
        </w:tc>
        <w:tc>
          <w:tcPr>
            <w:tcW w:w="8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12/01/2016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1"/>
          <w:szCs w:val="21"/>
          <w:color w:val="auto"/>
        </w:rPr>
        <w:t>Power of Attorney</w:t>
      </w:r>
    </w:p>
    <w:p>
      <w:pPr>
        <w:spacing w:after="0" w:line="268" w:lineRule="exact"/>
        <w:rPr>
          <w:sz w:val="20"/>
          <w:szCs w:val="20"/>
          <w:color w:val="auto"/>
        </w:rPr>
      </w:pPr>
    </w:p>
    <w:p>
      <w:pPr>
        <w:jc w:val="both"/>
        <w:ind w:firstLine="1288"/>
        <w:spacing w:after="0" w:line="271" w:lineRule="auto"/>
        <w:rPr>
          <w:sz w:val="20"/>
          <w:szCs w:val="20"/>
          <w:color w:val="auto"/>
        </w:rPr>
      </w:pPr>
      <w:r>
        <w:rPr>
          <w:rFonts w:ascii="Arial" w:cs="Arial" w:eastAsia="Arial" w:hAnsi="Arial"/>
          <w:sz w:val="20"/>
          <w:szCs w:val="20"/>
          <w:color w:val="auto"/>
        </w:rPr>
        <w:t>KNOW ALL MEN BY THESE PRESENTS, that the person whose signature appears below revokes all prior Powers of Attorney relating to Section 16 of the Securities Exchange Act of 1934, as amended, and appoints each of Kimmarie Sinatra, John Strzemp, Stephen Cootey,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power of attorney shall be valid from the date hereof until revoked by the undersigned.</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day of August, 2016.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Signed: /s/ Kimmarie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-11430</wp:posOffset>
            </wp:positionV>
            <wp:extent cx="1544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44320" cy="8255"/>
                    </a:xfrm>
                    <a:prstGeom prst="rect">
                      <a:avLst/>
                    </a:prstGeom>
                    <a:noFill/>
                  </pic:spPr>
                </pic:pic>
              </a:graphicData>
            </a:graphic>
          </wp:anchor>
        </w:drawing>
      </w:r>
    </w:p>
    <w:sectPr>
      <w:pgSz w:w="11900" w:h="16838" w:orient="portrait"/>
      <w:cols w:equalWidth="0" w:num="1">
        <w:col w:w="11420"/>
      </w:cols>
      <w:pgMar w:left="240" w:top="3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67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2019-12-07T17:10:01Z</dcterms:created>
  <dcterms:modified xsi:type="dcterms:W3CDTF">2019-12-07T17:10:01Z</dcterms:modified>
</cp:coreProperties>
</file>