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384810</wp:posOffset>
            </wp:positionH>
            <wp:positionV relativeFrom="page">
              <wp:posOffset>676275</wp:posOffset>
            </wp:positionV>
            <wp:extent cx="493077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0775" cy="51435"/>
                    </a:xfrm>
                    <a:prstGeom prst="rect">
                      <a:avLst/>
                    </a:prstGeom>
                    <a:noFill/>
                  </pic:spPr>
                </pic:pic>
              </a:graphicData>
            </a:graphic>
          </wp:anchor>
        </w:drawing>
      </w:r>
    </w:p>
    <w:p>
      <w:pPr>
        <w:jc w:val="center"/>
        <w:ind w:right="21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1711960</wp:posOffset>
            </wp:positionH>
            <wp:positionV relativeFrom="paragraph">
              <wp:posOffset>182880</wp:posOffset>
            </wp:positionV>
            <wp:extent cx="17449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4980" cy="342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30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1711960</wp:posOffset>
            </wp:positionH>
            <wp:positionV relativeFrom="paragraph">
              <wp:posOffset>182245</wp:posOffset>
            </wp:positionV>
            <wp:extent cx="17449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4980" cy="342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323"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24, 2003</w:t>
      </w:r>
    </w:p>
    <w:p>
      <w:pPr>
        <w:spacing w:after="0" w:line="200" w:lineRule="exact"/>
        <w:rPr>
          <w:sz w:val="24"/>
          <w:szCs w:val="24"/>
          <w:color w:val="auto"/>
        </w:rPr>
      </w:pPr>
    </w:p>
    <w:p>
      <w:pPr>
        <w:spacing w:after="0" w:line="282" w:lineRule="exact"/>
        <w:rPr>
          <w:sz w:val="24"/>
          <w:szCs w:val="24"/>
          <w:color w:val="auto"/>
        </w:rPr>
      </w:pPr>
    </w:p>
    <w:p>
      <w:pPr>
        <w:ind w:left="2960"/>
        <w:spacing w:after="0"/>
        <w:rPr>
          <w:sz w:val="20"/>
          <w:szCs w:val="20"/>
          <w:color w:val="auto"/>
        </w:rPr>
      </w:pPr>
      <w:r>
        <w:rPr>
          <w:rFonts w:ascii="Arial" w:cs="Arial" w:eastAsia="Arial" w:hAnsi="Arial"/>
          <w:sz w:val="22"/>
          <w:szCs w:val="22"/>
          <w:b w:val="1"/>
          <w:bCs w:val="1"/>
          <w:color w:val="auto"/>
        </w:rPr>
        <w:t>Wynn Resorts, Limited</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5620" w:type="dxa"/>
            <w:vAlign w:val="bottom"/>
            <w:gridSpan w:val="2"/>
          </w:tcPr>
          <w:p>
            <w:pPr>
              <w:jc w:val="center"/>
              <w:ind w:left="1652"/>
              <w:spacing w:after="0"/>
              <w:rPr>
                <w:sz w:val="20"/>
                <w:szCs w:val="20"/>
                <w:color w:val="auto"/>
              </w:rPr>
            </w:pPr>
            <w:r>
              <w:rPr>
                <w:rFonts w:ascii="Arial" w:cs="Arial" w:eastAsia="Arial" w:hAnsi="Arial"/>
                <w:sz w:val="18"/>
                <w:szCs w:val="18"/>
                <w:color w:val="auto"/>
                <w:w w:val="88"/>
              </w:rPr>
              <w:t>(Exact Name of Registrant as Specified in its Charter)</w:t>
            </w:r>
          </w:p>
        </w:tc>
        <w:tc>
          <w:tcPr>
            <w:tcW w:w="2120" w:type="dxa"/>
            <w:vAlign w:val="bottom"/>
          </w:tcPr>
          <w:p>
            <w:pPr>
              <w:spacing w:after="0"/>
              <w:rPr>
                <w:sz w:val="19"/>
                <w:szCs w:val="19"/>
                <w:color w:val="auto"/>
              </w:rPr>
            </w:pPr>
          </w:p>
        </w:tc>
      </w:tr>
      <w:tr>
        <w:trPr>
          <w:trHeight w:val="682"/>
        </w:trPr>
        <w:tc>
          <w:tcPr>
            <w:tcW w:w="380" w:type="dxa"/>
            <w:vAlign w:val="bottom"/>
          </w:tcPr>
          <w:p>
            <w:pPr>
              <w:spacing w:after="0"/>
              <w:rPr>
                <w:sz w:val="24"/>
                <w:szCs w:val="24"/>
                <w:color w:val="auto"/>
              </w:rPr>
            </w:pPr>
          </w:p>
        </w:tc>
        <w:tc>
          <w:tcPr>
            <w:tcW w:w="2920" w:type="dxa"/>
            <w:vAlign w:val="bottom"/>
          </w:tcPr>
          <w:p>
            <w:pPr>
              <w:jc w:val="center"/>
              <w:ind w:right="852"/>
              <w:spacing w:after="0"/>
              <w:rPr>
                <w:sz w:val="20"/>
                <w:szCs w:val="20"/>
                <w:color w:val="auto"/>
              </w:rPr>
            </w:pPr>
            <w:r>
              <w:rPr>
                <w:rFonts w:ascii="Arial" w:cs="Arial" w:eastAsia="Arial" w:hAnsi="Arial"/>
                <w:sz w:val="18"/>
                <w:szCs w:val="18"/>
                <w:b w:val="1"/>
                <w:bCs w:val="1"/>
                <w:color w:val="auto"/>
                <w:w w:val="90"/>
              </w:rPr>
              <w:t>Nevada</w:t>
            </w:r>
          </w:p>
        </w:tc>
        <w:tc>
          <w:tcPr>
            <w:tcW w:w="2700" w:type="dxa"/>
            <w:vAlign w:val="bottom"/>
          </w:tcPr>
          <w:p>
            <w:pPr>
              <w:jc w:val="center"/>
              <w:ind w:right="1052"/>
              <w:spacing w:after="0"/>
              <w:rPr>
                <w:sz w:val="20"/>
                <w:szCs w:val="20"/>
                <w:color w:val="auto"/>
              </w:rPr>
            </w:pPr>
            <w:r>
              <w:rPr>
                <w:rFonts w:ascii="Arial" w:cs="Arial" w:eastAsia="Arial" w:hAnsi="Arial"/>
                <w:sz w:val="18"/>
                <w:szCs w:val="18"/>
                <w:b w:val="1"/>
                <w:bCs w:val="1"/>
                <w:color w:val="auto"/>
                <w:w w:val="88"/>
              </w:rPr>
              <w:t>000-50028</w:t>
            </w:r>
          </w:p>
        </w:tc>
        <w:tc>
          <w:tcPr>
            <w:tcW w:w="2120" w:type="dxa"/>
            <w:vAlign w:val="bottom"/>
          </w:tcPr>
          <w:p>
            <w:pPr>
              <w:jc w:val="center"/>
              <w:ind w:right="432"/>
              <w:spacing w:after="0"/>
              <w:rPr>
                <w:sz w:val="20"/>
                <w:szCs w:val="20"/>
                <w:color w:val="auto"/>
              </w:rPr>
            </w:pPr>
            <w:r>
              <w:rPr>
                <w:rFonts w:ascii="Arial" w:cs="Arial" w:eastAsia="Arial" w:hAnsi="Arial"/>
                <w:sz w:val="18"/>
                <w:szCs w:val="18"/>
                <w:b w:val="1"/>
                <w:bCs w:val="1"/>
                <w:color w:val="auto"/>
                <w:w w:val="87"/>
              </w:rPr>
              <w:t>46-0484987</w:t>
            </w:r>
          </w:p>
        </w:tc>
      </w:tr>
      <w:tr>
        <w:trPr>
          <w:trHeight w:val="216"/>
        </w:trPr>
        <w:tc>
          <w:tcPr>
            <w:tcW w:w="3300" w:type="dxa"/>
            <w:vAlign w:val="bottom"/>
            <w:gridSpan w:val="2"/>
          </w:tcPr>
          <w:p>
            <w:pPr>
              <w:jc w:val="center"/>
              <w:ind w:right="512"/>
              <w:spacing w:after="0"/>
              <w:rPr>
                <w:sz w:val="20"/>
                <w:szCs w:val="20"/>
                <w:color w:val="auto"/>
              </w:rPr>
            </w:pPr>
            <w:r>
              <w:rPr>
                <w:rFonts w:ascii="Arial" w:cs="Arial" w:eastAsia="Arial" w:hAnsi="Arial"/>
                <w:sz w:val="18"/>
                <w:szCs w:val="18"/>
                <w:color w:val="auto"/>
                <w:w w:val="89"/>
              </w:rPr>
              <w:t>(State or Other Jurisdiction of</w:t>
            </w:r>
          </w:p>
        </w:tc>
        <w:tc>
          <w:tcPr>
            <w:tcW w:w="2700" w:type="dxa"/>
            <w:vAlign w:val="bottom"/>
          </w:tcPr>
          <w:p>
            <w:pPr>
              <w:jc w:val="center"/>
              <w:ind w:right="1092"/>
              <w:spacing w:after="0"/>
              <w:rPr>
                <w:sz w:val="20"/>
                <w:szCs w:val="20"/>
                <w:color w:val="auto"/>
              </w:rPr>
            </w:pPr>
            <w:r>
              <w:rPr>
                <w:rFonts w:ascii="Arial" w:cs="Arial" w:eastAsia="Arial" w:hAnsi="Arial"/>
                <w:sz w:val="18"/>
                <w:szCs w:val="18"/>
                <w:color w:val="auto"/>
                <w:w w:val="91"/>
              </w:rPr>
              <w:t>(Commission</w:t>
            </w:r>
          </w:p>
        </w:tc>
        <w:tc>
          <w:tcPr>
            <w:tcW w:w="2120" w:type="dxa"/>
            <w:vAlign w:val="bottom"/>
          </w:tcPr>
          <w:p>
            <w:pPr>
              <w:jc w:val="center"/>
              <w:ind w:right="492"/>
              <w:spacing w:after="0"/>
              <w:rPr>
                <w:sz w:val="20"/>
                <w:szCs w:val="20"/>
                <w:color w:val="auto"/>
              </w:rPr>
            </w:pPr>
            <w:r>
              <w:rPr>
                <w:rFonts w:ascii="Arial" w:cs="Arial" w:eastAsia="Arial" w:hAnsi="Arial"/>
                <w:sz w:val="18"/>
                <w:szCs w:val="18"/>
                <w:color w:val="auto"/>
                <w:w w:val="90"/>
              </w:rPr>
              <w:t>(IRS Employer</w:t>
            </w:r>
          </w:p>
        </w:tc>
      </w:tr>
      <w:tr>
        <w:trPr>
          <w:trHeight w:val="222"/>
        </w:trPr>
        <w:tc>
          <w:tcPr>
            <w:tcW w:w="380" w:type="dxa"/>
            <w:vAlign w:val="bottom"/>
          </w:tcPr>
          <w:p>
            <w:pPr>
              <w:spacing w:after="0"/>
              <w:rPr>
                <w:sz w:val="19"/>
                <w:szCs w:val="19"/>
                <w:color w:val="auto"/>
              </w:rPr>
            </w:pPr>
          </w:p>
        </w:tc>
        <w:tc>
          <w:tcPr>
            <w:tcW w:w="2920" w:type="dxa"/>
            <w:vAlign w:val="bottom"/>
          </w:tcPr>
          <w:p>
            <w:pPr>
              <w:jc w:val="center"/>
              <w:ind w:right="892"/>
              <w:spacing w:after="0"/>
              <w:rPr>
                <w:sz w:val="20"/>
                <w:szCs w:val="20"/>
                <w:color w:val="auto"/>
              </w:rPr>
            </w:pPr>
            <w:r>
              <w:rPr>
                <w:rFonts w:ascii="Arial" w:cs="Arial" w:eastAsia="Arial" w:hAnsi="Arial"/>
                <w:sz w:val="18"/>
                <w:szCs w:val="18"/>
                <w:color w:val="auto"/>
                <w:w w:val="91"/>
              </w:rPr>
              <w:t>Incorporation)</w:t>
            </w:r>
          </w:p>
        </w:tc>
        <w:tc>
          <w:tcPr>
            <w:tcW w:w="2700" w:type="dxa"/>
            <w:vAlign w:val="bottom"/>
          </w:tcPr>
          <w:p>
            <w:pPr>
              <w:jc w:val="center"/>
              <w:ind w:right="1092"/>
              <w:spacing w:after="0"/>
              <w:rPr>
                <w:sz w:val="20"/>
                <w:szCs w:val="20"/>
                <w:color w:val="auto"/>
              </w:rPr>
            </w:pPr>
            <w:r>
              <w:rPr>
                <w:rFonts w:ascii="Arial" w:cs="Arial" w:eastAsia="Arial" w:hAnsi="Arial"/>
                <w:sz w:val="18"/>
                <w:szCs w:val="18"/>
                <w:color w:val="auto"/>
                <w:w w:val="92"/>
              </w:rPr>
              <w:t>File Number)</w:t>
            </w:r>
          </w:p>
        </w:tc>
        <w:tc>
          <w:tcPr>
            <w:tcW w:w="2120" w:type="dxa"/>
            <w:vAlign w:val="bottom"/>
          </w:tcPr>
          <w:p>
            <w:pPr>
              <w:jc w:val="center"/>
              <w:ind w:right="492"/>
              <w:spacing w:after="0"/>
              <w:rPr>
                <w:sz w:val="20"/>
                <w:szCs w:val="20"/>
                <w:color w:val="auto"/>
              </w:rPr>
            </w:pPr>
            <w:r>
              <w:rPr>
                <w:rFonts w:ascii="Arial" w:cs="Arial" w:eastAsia="Arial" w:hAnsi="Arial"/>
                <w:sz w:val="18"/>
                <w:szCs w:val="18"/>
                <w:color w:val="auto"/>
                <w:w w:val="92"/>
              </w:rPr>
              <w:t>Identification No.)</w:t>
            </w:r>
          </w:p>
        </w:tc>
      </w:tr>
      <w:tr>
        <w:trPr>
          <w:trHeight w:val="690"/>
        </w:trPr>
        <w:tc>
          <w:tcPr>
            <w:tcW w:w="380" w:type="dxa"/>
            <w:vAlign w:val="bottom"/>
          </w:tcPr>
          <w:p>
            <w:pPr>
              <w:spacing w:after="0"/>
              <w:rPr>
                <w:sz w:val="24"/>
                <w:szCs w:val="24"/>
                <w:color w:val="auto"/>
              </w:rPr>
            </w:pPr>
          </w:p>
        </w:tc>
        <w:tc>
          <w:tcPr>
            <w:tcW w:w="5620" w:type="dxa"/>
            <w:vAlign w:val="bottom"/>
            <w:gridSpan w:val="2"/>
          </w:tcPr>
          <w:p>
            <w:pPr>
              <w:jc w:val="center"/>
              <w:ind w:right="1552"/>
              <w:spacing w:after="0"/>
              <w:rPr>
                <w:sz w:val="20"/>
                <w:szCs w:val="20"/>
                <w:color w:val="auto"/>
              </w:rPr>
            </w:pPr>
            <w:r>
              <w:rPr>
                <w:rFonts w:ascii="Arial" w:cs="Arial" w:eastAsia="Arial" w:hAnsi="Arial"/>
                <w:sz w:val="18"/>
                <w:szCs w:val="18"/>
                <w:b w:val="1"/>
                <w:bCs w:val="1"/>
                <w:color w:val="auto"/>
                <w:w w:val="86"/>
              </w:rPr>
              <w:t>3145 Las Vegas Boulevard South</w:t>
            </w:r>
          </w:p>
        </w:tc>
        <w:tc>
          <w:tcPr>
            <w:tcW w:w="2120" w:type="dxa"/>
            <w:vAlign w:val="bottom"/>
          </w:tcPr>
          <w:p>
            <w:pPr>
              <w:spacing w:after="0"/>
              <w:rPr>
                <w:sz w:val="24"/>
                <w:szCs w:val="24"/>
                <w:color w:val="auto"/>
              </w:rPr>
            </w:pPr>
          </w:p>
        </w:tc>
      </w:tr>
      <w:tr>
        <w:trPr>
          <w:trHeight w:val="222"/>
        </w:trPr>
        <w:tc>
          <w:tcPr>
            <w:tcW w:w="380" w:type="dxa"/>
            <w:vAlign w:val="bottom"/>
          </w:tcPr>
          <w:p>
            <w:pPr>
              <w:spacing w:after="0"/>
              <w:rPr>
                <w:sz w:val="19"/>
                <w:szCs w:val="19"/>
                <w:color w:val="auto"/>
              </w:rPr>
            </w:pPr>
          </w:p>
        </w:tc>
        <w:tc>
          <w:tcPr>
            <w:tcW w:w="2920" w:type="dxa"/>
            <w:vAlign w:val="bottom"/>
          </w:tcPr>
          <w:p>
            <w:pPr>
              <w:jc w:val="center"/>
              <w:ind w:left="972"/>
              <w:spacing w:after="0"/>
              <w:rPr>
                <w:sz w:val="20"/>
                <w:szCs w:val="20"/>
                <w:color w:val="auto"/>
              </w:rPr>
            </w:pPr>
            <w:r>
              <w:rPr>
                <w:rFonts w:ascii="Arial" w:cs="Arial" w:eastAsia="Arial" w:hAnsi="Arial"/>
                <w:sz w:val="18"/>
                <w:szCs w:val="18"/>
                <w:b w:val="1"/>
                <w:bCs w:val="1"/>
                <w:color w:val="auto"/>
                <w:w w:val="87"/>
              </w:rPr>
              <w:t>Las Vegas, Nevada</w:t>
            </w:r>
          </w:p>
        </w:tc>
        <w:tc>
          <w:tcPr>
            <w:tcW w:w="2700" w:type="dxa"/>
            <w:vAlign w:val="bottom"/>
          </w:tcPr>
          <w:p>
            <w:pPr>
              <w:spacing w:after="0"/>
              <w:rPr>
                <w:sz w:val="19"/>
                <w:szCs w:val="19"/>
                <w:color w:val="auto"/>
              </w:rPr>
            </w:pPr>
          </w:p>
        </w:tc>
        <w:tc>
          <w:tcPr>
            <w:tcW w:w="2120" w:type="dxa"/>
            <w:vAlign w:val="bottom"/>
          </w:tcPr>
          <w:p>
            <w:pPr>
              <w:jc w:val="right"/>
              <w:ind w:right="1392"/>
              <w:spacing w:after="0"/>
              <w:rPr>
                <w:sz w:val="20"/>
                <w:szCs w:val="20"/>
                <w:color w:val="auto"/>
              </w:rPr>
            </w:pPr>
            <w:r>
              <w:rPr>
                <w:rFonts w:ascii="Arial" w:cs="Arial" w:eastAsia="Arial" w:hAnsi="Arial"/>
                <w:sz w:val="18"/>
                <w:szCs w:val="18"/>
                <w:b w:val="1"/>
                <w:bCs w:val="1"/>
                <w:color w:val="auto"/>
              </w:rPr>
              <w:t>89109</w:t>
            </w:r>
          </w:p>
        </w:tc>
      </w:tr>
      <w:tr>
        <w:trPr>
          <w:trHeight w:val="222"/>
        </w:trPr>
        <w:tc>
          <w:tcPr>
            <w:tcW w:w="380" w:type="dxa"/>
            <w:vAlign w:val="bottom"/>
          </w:tcPr>
          <w:p>
            <w:pPr>
              <w:spacing w:after="0"/>
              <w:rPr>
                <w:sz w:val="19"/>
                <w:szCs w:val="19"/>
                <w:color w:val="auto"/>
              </w:rPr>
            </w:pPr>
          </w:p>
        </w:tc>
        <w:tc>
          <w:tcPr>
            <w:tcW w:w="5620" w:type="dxa"/>
            <w:vAlign w:val="bottom"/>
            <w:gridSpan w:val="2"/>
          </w:tcPr>
          <w:p>
            <w:pPr>
              <w:jc w:val="center"/>
              <w:ind w:right="1552"/>
              <w:spacing w:after="0"/>
              <w:rPr>
                <w:sz w:val="20"/>
                <w:szCs w:val="20"/>
                <w:color w:val="auto"/>
              </w:rPr>
            </w:pPr>
            <w:r>
              <w:rPr>
                <w:rFonts w:ascii="Arial" w:cs="Arial" w:eastAsia="Arial" w:hAnsi="Arial"/>
                <w:sz w:val="18"/>
                <w:szCs w:val="18"/>
                <w:color w:val="auto"/>
                <w:w w:val="90"/>
              </w:rPr>
              <w:t>(Address of Principal Executive Offices)</w:t>
            </w:r>
          </w:p>
        </w:tc>
        <w:tc>
          <w:tcPr>
            <w:tcW w:w="2120" w:type="dxa"/>
            <w:vAlign w:val="bottom"/>
          </w:tcPr>
          <w:p>
            <w:pPr>
              <w:jc w:val="center"/>
              <w:ind w:right="1172"/>
              <w:spacing w:after="0"/>
              <w:rPr>
                <w:sz w:val="20"/>
                <w:szCs w:val="20"/>
                <w:color w:val="auto"/>
              </w:rPr>
            </w:pPr>
            <w:r>
              <w:rPr>
                <w:rFonts w:ascii="Arial" w:cs="Arial" w:eastAsia="Arial" w:hAnsi="Arial"/>
                <w:sz w:val="18"/>
                <w:szCs w:val="18"/>
                <w:color w:val="auto"/>
                <w:w w:val="91"/>
              </w:rPr>
              <w:t>(Zip Code)</w:t>
            </w:r>
          </w:p>
        </w:tc>
      </w:tr>
      <w:tr>
        <w:trPr>
          <w:trHeight w:val="696"/>
        </w:trPr>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700" w:type="dxa"/>
            <w:vAlign w:val="bottom"/>
          </w:tcPr>
          <w:p>
            <w:pPr>
              <w:jc w:val="center"/>
              <w:ind w:right="1092"/>
              <w:spacing w:after="0"/>
              <w:rPr>
                <w:sz w:val="20"/>
                <w:szCs w:val="20"/>
                <w:color w:val="auto"/>
              </w:rPr>
            </w:pPr>
            <w:r>
              <w:rPr>
                <w:rFonts w:ascii="Arial" w:cs="Arial" w:eastAsia="Arial" w:hAnsi="Arial"/>
                <w:sz w:val="18"/>
                <w:szCs w:val="18"/>
                <w:b w:val="1"/>
                <w:bCs w:val="1"/>
                <w:color w:val="auto"/>
                <w:w w:val="87"/>
              </w:rPr>
              <w:t>(702) 733-4444</w:t>
            </w:r>
          </w:p>
        </w:tc>
        <w:tc>
          <w:tcPr>
            <w:tcW w:w="2120" w:type="dxa"/>
            <w:vAlign w:val="bottom"/>
          </w:tcPr>
          <w:p>
            <w:pPr>
              <w:spacing w:after="0"/>
              <w:rPr>
                <w:sz w:val="24"/>
                <w:szCs w:val="24"/>
                <w:color w:val="auto"/>
              </w:rPr>
            </w:pPr>
          </w:p>
        </w:tc>
      </w:tr>
      <w:tr>
        <w:trPr>
          <w:trHeight w:val="222"/>
        </w:trPr>
        <w:tc>
          <w:tcPr>
            <w:tcW w:w="380" w:type="dxa"/>
            <w:vAlign w:val="bottom"/>
          </w:tcPr>
          <w:p>
            <w:pPr>
              <w:spacing w:after="0"/>
              <w:rPr>
                <w:sz w:val="19"/>
                <w:szCs w:val="19"/>
                <w:color w:val="auto"/>
              </w:rPr>
            </w:pPr>
          </w:p>
        </w:tc>
        <w:tc>
          <w:tcPr>
            <w:tcW w:w="5620" w:type="dxa"/>
            <w:vAlign w:val="bottom"/>
            <w:gridSpan w:val="2"/>
          </w:tcPr>
          <w:p>
            <w:pPr>
              <w:jc w:val="center"/>
              <w:ind w:left="1652"/>
              <w:spacing w:after="0"/>
              <w:rPr>
                <w:sz w:val="20"/>
                <w:szCs w:val="20"/>
                <w:color w:val="auto"/>
              </w:rPr>
            </w:pPr>
            <w:r>
              <w:rPr>
                <w:rFonts w:ascii="Arial" w:cs="Arial" w:eastAsia="Arial" w:hAnsi="Arial"/>
                <w:sz w:val="18"/>
                <w:szCs w:val="18"/>
                <w:color w:val="auto"/>
                <w:w w:val="88"/>
              </w:rPr>
              <w:t>(Registrant's telephone number, including area code)</w:t>
            </w:r>
          </w:p>
        </w:tc>
        <w:tc>
          <w:tcPr>
            <w:tcW w:w="2120" w:type="dxa"/>
            <w:vAlign w:val="bottom"/>
          </w:tcPr>
          <w:p>
            <w:pPr>
              <w:spacing w:after="0"/>
              <w:rPr>
                <w:sz w:val="19"/>
                <w:szCs w:val="19"/>
                <w:color w:val="auto"/>
              </w:rPr>
            </w:pPr>
          </w:p>
        </w:tc>
      </w:tr>
      <w:tr>
        <w:trPr>
          <w:trHeight w:val="353"/>
        </w:trPr>
        <w:tc>
          <w:tcPr>
            <w:tcW w:w="380" w:type="dxa"/>
            <w:vAlign w:val="bottom"/>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r>
      <w:tr>
        <w:trPr>
          <w:trHeight w:val="436"/>
        </w:trPr>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4"/>
        </w:trPr>
        <w:tc>
          <w:tcPr>
            <w:tcW w:w="380" w:type="dxa"/>
            <w:vAlign w:val="bottom"/>
            <w:shd w:val="clear" w:color="auto" w:fill="808080"/>
          </w:tcPr>
          <w:p>
            <w:pPr>
              <w:spacing w:after="0"/>
              <w:rPr>
                <w:sz w:val="6"/>
                <w:szCs w:val="6"/>
                <w:color w:val="auto"/>
              </w:rPr>
            </w:pPr>
          </w:p>
        </w:tc>
        <w:tc>
          <w:tcPr>
            <w:tcW w:w="2920" w:type="dxa"/>
            <w:vAlign w:val="bottom"/>
            <w:shd w:val="clear" w:color="auto" w:fill="808080"/>
          </w:tcPr>
          <w:p>
            <w:pPr>
              <w:spacing w:after="0"/>
              <w:rPr>
                <w:sz w:val="6"/>
                <w:szCs w:val="6"/>
                <w:color w:val="auto"/>
              </w:rPr>
            </w:pPr>
          </w:p>
        </w:tc>
        <w:tc>
          <w:tcPr>
            <w:tcW w:w="2700" w:type="dxa"/>
            <w:vAlign w:val="bottom"/>
            <w:shd w:val="clear" w:color="auto" w:fill="808080"/>
          </w:tcPr>
          <w:p>
            <w:pPr>
              <w:spacing w:after="0"/>
              <w:rPr>
                <w:sz w:val="6"/>
                <w:szCs w:val="6"/>
                <w:color w:val="auto"/>
              </w:rPr>
            </w:pPr>
          </w:p>
        </w:tc>
        <w:tc>
          <w:tcPr>
            <w:tcW w:w="2120" w:type="dxa"/>
            <w:vAlign w:val="bottom"/>
            <w:shd w:val="clear" w:color="auto" w:fill="808080"/>
          </w:tcPr>
          <w:p>
            <w:pPr>
              <w:spacing w:after="0"/>
              <w:rPr>
                <w:sz w:val="6"/>
                <w:szCs w:val="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5129530</wp:posOffset>
            </wp:positionH>
            <wp:positionV relativeFrom="paragraph">
              <wp:posOffset>-374015</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-374015</wp:posOffset>
            </wp:positionV>
            <wp:extent cx="3429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Events</w:t>
      </w:r>
      <w:r>
        <w:rPr>
          <w:rFonts w:ascii="Arial" w:cs="Arial" w:eastAsia="Arial" w:hAnsi="Arial"/>
          <w:sz w:val="18"/>
          <w:szCs w:val="18"/>
          <w:color w:val="auto"/>
        </w:rPr>
        <w:t>.</w:t>
      </w:r>
    </w:p>
    <w:p>
      <w:pPr>
        <w:spacing w:after="0" w:line="252" w:lineRule="exact"/>
        <w:rPr>
          <w:sz w:val="24"/>
          <w:szCs w:val="24"/>
          <w:color w:val="auto"/>
        </w:rPr>
      </w:pPr>
    </w:p>
    <w:p>
      <w:pPr>
        <w:ind w:right="2139"/>
        <w:spacing w:after="0" w:line="289" w:lineRule="auto"/>
        <w:rPr>
          <w:sz w:val="20"/>
          <w:szCs w:val="20"/>
          <w:color w:val="auto"/>
        </w:rPr>
      </w:pPr>
      <w:r>
        <w:rPr>
          <w:rFonts w:ascii="Arial" w:cs="Arial" w:eastAsia="Arial" w:hAnsi="Arial"/>
          <w:sz w:val="16"/>
          <w:szCs w:val="16"/>
          <w:color w:val="auto"/>
        </w:rPr>
        <w:t>On June 24, 2003, Wynn Las Vegas, LLC (the “Company”), a wholly-owned subsidiary of Wynn Resorts, Limited, entered into an interest rate swap agreement with JPMorgan Chase Bank (“JPMorgan Chase”) to hedge a portion of the underlying interest risk on future borrowings under the Company’s existing credit facility. Pursuant to the hedge agreement, the Company will pay to JPMorgan Chase a fixed interest rate of approximately 2.69% on borrowings estimated to be incurred periodically under the Company’s existing credit facility up to a maximum of $500,000,000, in exchange for payments from JPMorgan Chase on the same amounts at a variable interest rate based on the applicable London Interbank Offered Rate (“LIBOR”) at the time of payment. The term of the agreement is October 26, 2004 through December 26, 2006.</w:t>
      </w:r>
    </w:p>
    <w:p>
      <w:pPr>
        <w:spacing w:after="0" w:line="199" w:lineRule="exact"/>
        <w:rPr>
          <w:sz w:val="24"/>
          <w:szCs w:val="24"/>
          <w:color w:val="auto"/>
        </w:rPr>
      </w:pPr>
    </w:p>
    <w:p>
      <w:pPr>
        <w:ind w:right="2159"/>
        <w:spacing w:after="0" w:line="288" w:lineRule="auto"/>
        <w:rPr>
          <w:sz w:val="20"/>
          <w:szCs w:val="20"/>
          <w:color w:val="auto"/>
        </w:rPr>
      </w:pPr>
      <w:r>
        <w:rPr>
          <w:rFonts w:ascii="Arial" w:cs="Arial" w:eastAsia="Arial" w:hAnsi="Arial"/>
          <w:sz w:val="16"/>
          <w:szCs w:val="16"/>
          <w:color w:val="auto"/>
        </w:rPr>
        <w:t>As reported in the Current Report on Form 8-K filed by Wynn Resorts, Limited on June 5, 2003, the Company has previously entered into a similar hedge agreement with JPMorgan Chase with respect to another $325,000,000 of estimated borrowings under the credit facility. As a result of these hedge agreements, the Company has effectively hedged the underlying interest risk of $825.0 million of the $1.0 billion of available borrowings under the credit facility. The Company’s credit facility currently anticipates annual interest charges on outstanding borrowings at LIBOR plus 4% on revolving loans and plus 5.5% on term loans. The Company currently has no amounts outstanding under its existing credit facility. The Company cannot predict with certainty that its actual borrowings under the credit facility will match, in timing or amount, the estimated borrowings upon which the hedge arrangements are based.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514985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4"/>
          <w:szCs w:val="24"/>
          <w:color w:val="auto"/>
        </w:rPr>
      </w:pPr>
    </w:p>
    <w:p>
      <w:pPr>
        <w:ind w:left="720"/>
        <w:spacing w:after="0"/>
        <w:rPr>
          <w:sz w:val="20"/>
          <w:szCs w:val="20"/>
          <w:color w:val="auto"/>
        </w:rPr>
      </w:pPr>
      <w:r>
        <w:rPr>
          <w:rFonts w:ascii="Arial" w:cs="Arial" w:eastAsia="Arial" w:hAnsi="Arial"/>
          <w:sz w:val="16"/>
          <w:szCs w:val="16"/>
          <w:color w:val="auto"/>
        </w:rPr>
        <w:t>Pursuant to the requirements of the Securities Exchange Act of 1934, the registrant has duly caused this</w:t>
      </w:r>
    </w:p>
    <w:p>
      <w:pPr>
        <w:sectPr>
          <w:pgSz w:w="11900" w:h="16843" w:orient="portrait"/>
          <w:cols w:equalWidth="0" w:num="1">
            <w:col w:w="10219"/>
          </w:cols>
          <w:pgMar w:left="240" w:top="1395" w:right="1440"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report to be signed on its behalf by the undersigned hereunto duly authorized.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2003</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2246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Executive Vice President and</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2019-12-12T04:05:07Z</dcterms:created>
  <dcterms:modified xsi:type="dcterms:W3CDTF">2019-12-12T04:05:07Z</dcterms:modified>
</cp:coreProperties>
</file>